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A7B" w:rsidRPr="001E34E7" w:rsidRDefault="00351D42" w:rsidP="00D50B89">
      <w:pPr>
        <w:pStyle w:val="BodyText"/>
        <w:framePr w:w="3371" w:h="274" w:wrap="none" w:hAnchor="page" w:x="6558" w:y="49"/>
        <w:shd w:val="clear" w:color="auto" w:fill="auto"/>
        <w:spacing w:after="0" w:line="240" w:lineRule="auto"/>
        <w:rPr>
          <w:sz w:val="22"/>
          <w:szCs w:val="22"/>
          <w:lang w:val="en-GB"/>
        </w:rPr>
      </w:pPr>
      <w:bookmarkStart w:id="0" w:name="_GoBack"/>
      <w:bookmarkEnd w:id="0"/>
      <w:r w:rsidRPr="001E34E7">
        <w:rPr>
          <w:b/>
          <w:bCs/>
          <w:sz w:val="22"/>
          <w:szCs w:val="22"/>
          <w:lang w:val="en-GB" w:eastAsia="en-US" w:bidi="en-US"/>
        </w:rPr>
        <w:t>Annex to Decision no</w:t>
      </w:r>
      <w:r w:rsidR="00D50B89">
        <w:rPr>
          <w:b/>
          <w:bCs/>
          <w:sz w:val="22"/>
          <w:szCs w:val="22"/>
          <w:lang w:val="en-GB" w:eastAsia="en-US" w:bidi="en-US"/>
        </w:rPr>
        <w:t>. 1409/28.12.2018</w:t>
      </w:r>
    </w:p>
    <w:p w:rsidR="009B6A7B" w:rsidRPr="001E34E7" w:rsidRDefault="009B6A7B">
      <w:pPr>
        <w:spacing w:after="402" w:line="1" w:lineRule="exact"/>
        <w:rPr>
          <w:sz w:val="22"/>
          <w:szCs w:val="22"/>
          <w:lang w:val="en-GB"/>
        </w:rPr>
      </w:pPr>
    </w:p>
    <w:p w:rsidR="009B6A7B" w:rsidRPr="001E34E7" w:rsidRDefault="009B6A7B">
      <w:pPr>
        <w:spacing w:line="1" w:lineRule="exact"/>
        <w:rPr>
          <w:sz w:val="22"/>
          <w:szCs w:val="22"/>
          <w:lang w:val="en-GB"/>
        </w:rPr>
        <w:sectPr w:rsidR="009B6A7B" w:rsidRPr="001E34E7">
          <w:footerReference w:type="default" r:id="rId8"/>
          <w:pgSz w:w="12240" w:h="15840"/>
          <w:pgMar w:top="820" w:right="1790" w:bottom="991" w:left="1771" w:header="0" w:footer="3" w:gutter="0"/>
          <w:pgNumType w:start="1"/>
          <w:cols w:space="720"/>
          <w:noEndnote/>
          <w:docGrid w:linePitch="360"/>
        </w:sectPr>
      </w:pPr>
    </w:p>
    <w:p w:rsidR="009B6A7B" w:rsidRPr="001E34E7" w:rsidRDefault="009B6A7B">
      <w:pPr>
        <w:spacing w:line="199" w:lineRule="exact"/>
        <w:rPr>
          <w:sz w:val="22"/>
          <w:szCs w:val="22"/>
          <w:lang w:val="en-GB"/>
        </w:rPr>
      </w:pPr>
    </w:p>
    <w:p w:rsidR="009B6A7B" w:rsidRPr="001E34E7" w:rsidRDefault="009B6A7B">
      <w:pPr>
        <w:spacing w:line="1" w:lineRule="exact"/>
        <w:rPr>
          <w:sz w:val="22"/>
          <w:szCs w:val="22"/>
          <w:lang w:val="en-GB"/>
        </w:rPr>
        <w:sectPr w:rsidR="009B6A7B" w:rsidRPr="001E34E7">
          <w:type w:val="continuous"/>
          <w:pgSz w:w="12240" w:h="15840"/>
          <w:pgMar w:top="107" w:right="0" w:bottom="2189" w:left="0" w:header="0" w:footer="3" w:gutter="0"/>
          <w:cols w:space="720"/>
          <w:noEndnote/>
          <w:docGrid w:linePitch="360"/>
        </w:sectPr>
      </w:pPr>
    </w:p>
    <w:p w:rsidR="009B6A7B" w:rsidRPr="001E34E7" w:rsidRDefault="00351D42">
      <w:pPr>
        <w:pStyle w:val="Heading30"/>
        <w:keepNext/>
        <w:keepLines/>
        <w:shd w:val="clear" w:color="auto" w:fill="auto"/>
        <w:spacing w:after="440" w:line="266" w:lineRule="auto"/>
        <w:ind w:firstLine="0"/>
        <w:jc w:val="center"/>
        <w:rPr>
          <w:sz w:val="22"/>
          <w:szCs w:val="22"/>
          <w:lang w:val="en-GB"/>
        </w:rPr>
      </w:pPr>
      <w:bookmarkStart w:id="1" w:name="bookmark2"/>
      <w:bookmarkStart w:id="2" w:name="bookmark3"/>
      <w:r w:rsidRPr="001E34E7">
        <w:rPr>
          <w:sz w:val="22"/>
          <w:szCs w:val="22"/>
          <w:lang w:val="en-GB" w:eastAsia="en-US" w:bidi="en-US"/>
        </w:rPr>
        <w:t>METHODOLOGY FOR ASSESSING INTEGRITY INCIDENTS WITHIN</w:t>
      </w:r>
      <w:r w:rsidRPr="001E34E7">
        <w:rPr>
          <w:sz w:val="22"/>
          <w:szCs w:val="22"/>
          <w:lang w:val="en-GB" w:eastAsia="en-US" w:bidi="en-US"/>
        </w:rPr>
        <w:br/>
        <w:t>SNTGN TRANSGAZ SA</w:t>
      </w:r>
      <w:bookmarkEnd w:id="1"/>
      <w:bookmarkEnd w:id="2"/>
    </w:p>
    <w:p w:rsidR="009B6A7B" w:rsidRPr="001E34E7" w:rsidRDefault="00351D42">
      <w:pPr>
        <w:pStyle w:val="Heading30"/>
        <w:keepNext/>
        <w:keepLines/>
        <w:numPr>
          <w:ilvl w:val="0"/>
          <w:numId w:val="1"/>
        </w:numPr>
        <w:shd w:val="clear" w:color="auto" w:fill="auto"/>
        <w:tabs>
          <w:tab w:val="left" w:pos="616"/>
        </w:tabs>
        <w:spacing w:after="200"/>
        <w:jc w:val="both"/>
        <w:rPr>
          <w:sz w:val="22"/>
          <w:szCs w:val="22"/>
          <w:lang w:val="en-GB"/>
        </w:rPr>
      </w:pPr>
      <w:bookmarkStart w:id="3" w:name="bookmark4"/>
      <w:bookmarkStart w:id="4" w:name="bookmark5"/>
      <w:r w:rsidRPr="001E34E7">
        <w:rPr>
          <w:sz w:val="22"/>
          <w:szCs w:val="22"/>
          <w:lang w:val="en-GB" w:eastAsia="en-US" w:bidi="en-US"/>
        </w:rPr>
        <w:t>SCOPE</w:t>
      </w:r>
      <w:bookmarkEnd w:id="3"/>
      <w:bookmarkEnd w:id="4"/>
    </w:p>
    <w:p w:rsidR="009B6A7B" w:rsidRPr="001E34E7" w:rsidRDefault="00351D42">
      <w:pPr>
        <w:pStyle w:val="BodyText"/>
        <w:shd w:val="clear" w:color="auto" w:fill="auto"/>
        <w:spacing w:after="120"/>
        <w:jc w:val="both"/>
        <w:rPr>
          <w:sz w:val="22"/>
          <w:szCs w:val="22"/>
          <w:lang w:val="en-GB"/>
        </w:rPr>
      </w:pPr>
      <w:r w:rsidRPr="001E34E7">
        <w:rPr>
          <w:sz w:val="22"/>
          <w:szCs w:val="22"/>
          <w:lang w:val="en-GB" w:eastAsia="en-US" w:bidi="en-US"/>
        </w:rPr>
        <w:t>The present assessment methodology aims at ex-post evaluation of integrity incidents within SNTGN TRANSGAZ SA by obtaining and analysing relevant information and proposing prevention and control measures. The evaluation of integrity incidents is the activity carried out by the person in charge designated for this purpose by the head of the company, consisting of obtaining and analysing relevant information on integrity incidents and proposing prevention and/or control measures.</w:t>
      </w:r>
    </w:p>
    <w:p w:rsidR="009B6A7B" w:rsidRPr="001E34E7" w:rsidRDefault="00351D42">
      <w:pPr>
        <w:pStyle w:val="Heading30"/>
        <w:keepNext/>
        <w:keepLines/>
        <w:numPr>
          <w:ilvl w:val="0"/>
          <w:numId w:val="1"/>
        </w:numPr>
        <w:shd w:val="clear" w:color="auto" w:fill="auto"/>
        <w:tabs>
          <w:tab w:val="left" w:pos="616"/>
        </w:tabs>
        <w:spacing w:after="120"/>
        <w:rPr>
          <w:sz w:val="22"/>
          <w:szCs w:val="22"/>
          <w:lang w:val="en-GB"/>
        </w:rPr>
      </w:pPr>
      <w:bookmarkStart w:id="5" w:name="bookmark6"/>
      <w:bookmarkStart w:id="6" w:name="bookmark7"/>
      <w:r w:rsidRPr="001E34E7">
        <w:rPr>
          <w:sz w:val="22"/>
          <w:szCs w:val="22"/>
          <w:lang w:val="en-GB" w:eastAsia="en-US" w:bidi="en-US"/>
        </w:rPr>
        <w:t>DEFINITIONS</w:t>
      </w:r>
      <w:bookmarkEnd w:id="5"/>
      <w:bookmarkEnd w:id="6"/>
    </w:p>
    <w:p w:rsidR="009B6A7B" w:rsidRPr="001E34E7" w:rsidRDefault="00351D42">
      <w:pPr>
        <w:pStyle w:val="BodyText"/>
        <w:shd w:val="clear" w:color="auto" w:fill="auto"/>
        <w:spacing w:after="120"/>
        <w:rPr>
          <w:sz w:val="22"/>
          <w:szCs w:val="22"/>
          <w:lang w:val="en-GB"/>
        </w:rPr>
      </w:pPr>
      <w:r w:rsidRPr="001E34E7">
        <w:rPr>
          <w:sz w:val="22"/>
          <w:szCs w:val="22"/>
          <w:lang w:val="en-GB" w:eastAsia="en-US" w:bidi="en-US"/>
        </w:rPr>
        <w:t>For the purposes of this assessing methodology, the following terms have the following meanings:</w:t>
      </w:r>
    </w:p>
    <w:p w:rsidR="009B6A7B" w:rsidRPr="001E34E7" w:rsidRDefault="00351D42">
      <w:pPr>
        <w:pStyle w:val="BodyText"/>
        <w:numPr>
          <w:ilvl w:val="0"/>
          <w:numId w:val="2"/>
        </w:numPr>
        <w:shd w:val="clear" w:color="auto" w:fill="auto"/>
        <w:tabs>
          <w:tab w:val="left" w:pos="654"/>
        </w:tabs>
        <w:spacing w:after="0" w:line="276" w:lineRule="auto"/>
        <w:ind w:firstLine="420"/>
        <w:rPr>
          <w:sz w:val="22"/>
          <w:szCs w:val="22"/>
          <w:lang w:val="en-GB"/>
        </w:rPr>
      </w:pPr>
      <w:r w:rsidRPr="001E34E7">
        <w:rPr>
          <w:b/>
          <w:bCs/>
          <w:sz w:val="22"/>
          <w:szCs w:val="22"/>
          <w:lang w:val="en-GB" w:eastAsia="en-US" w:bidi="en-US"/>
        </w:rPr>
        <w:t xml:space="preserve">corruption hazard ■ </w:t>
      </w:r>
      <w:r w:rsidRPr="001E34E7">
        <w:rPr>
          <w:sz w:val="22"/>
          <w:szCs w:val="22"/>
          <w:lang w:val="en-GB" w:eastAsia="en-US" w:bidi="en-US"/>
        </w:rPr>
        <w:t>a corrupt action or event that may occur within a specific activity of SNTGN TRANSGAZ SA or an organizational structure within it;</w:t>
      </w:r>
    </w:p>
    <w:p w:rsidR="009B6A7B" w:rsidRPr="001E34E7" w:rsidRDefault="00351D42">
      <w:pPr>
        <w:pStyle w:val="BodyText"/>
        <w:numPr>
          <w:ilvl w:val="0"/>
          <w:numId w:val="2"/>
        </w:numPr>
        <w:shd w:val="clear" w:color="auto" w:fill="auto"/>
        <w:tabs>
          <w:tab w:val="left" w:pos="658"/>
        </w:tabs>
        <w:spacing w:after="0" w:line="276" w:lineRule="auto"/>
        <w:ind w:firstLine="420"/>
        <w:rPr>
          <w:sz w:val="22"/>
          <w:szCs w:val="22"/>
          <w:lang w:val="en-GB"/>
        </w:rPr>
      </w:pPr>
      <w:r w:rsidRPr="001E34E7">
        <w:rPr>
          <w:b/>
          <w:bCs/>
          <w:sz w:val="22"/>
          <w:szCs w:val="22"/>
          <w:lang w:val="en-GB" w:eastAsia="en-US" w:bidi="en-US"/>
        </w:rPr>
        <w:t xml:space="preserve">integrity incident - </w:t>
      </w:r>
      <w:r w:rsidRPr="001E34E7">
        <w:rPr>
          <w:sz w:val="22"/>
          <w:szCs w:val="22"/>
          <w:lang w:val="en-GB" w:eastAsia="en-US" w:bidi="en-US"/>
        </w:rPr>
        <w:t>one of the following events concerning the situation of an employee of SNTGN TRANSGAZ SA:</w:t>
      </w:r>
    </w:p>
    <w:p w:rsidR="009B6A7B" w:rsidRPr="001E34E7" w:rsidRDefault="008C5CDE">
      <w:pPr>
        <w:pStyle w:val="BodyText"/>
        <w:numPr>
          <w:ilvl w:val="0"/>
          <w:numId w:val="3"/>
        </w:numPr>
        <w:shd w:val="clear" w:color="auto" w:fill="auto"/>
        <w:tabs>
          <w:tab w:val="left" w:pos="1333"/>
        </w:tabs>
        <w:spacing w:after="0"/>
        <w:ind w:left="680" w:firstLine="300"/>
        <w:jc w:val="both"/>
        <w:rPr>
          <w:sz w:val="22"/>
          <w:szCs w:val="22"/>
          <w:lang w:val="en-GB"/>
        </w:rPr>
      </w:pPr>
      <w:r w:rsidRPr="001E34E7">
        <w:rPr>
          <w:sz w:val="22"/>
          <w:szCs w:val="22"/>
          <w:lang w:val="en-GB"/>
        </w:rPr>
        <w:t>disciplinary termination of the individual employment contract following the commission of an act of corruption constituting a breach of the internal rules or other legal provisions for which this sanction is provided</w:t>
      </w:r>
      <w:r w:rsidR="00351D42" w:rsidRPr="001E34E7">
        <w:rPr>
          <w:sz w:val="22"/>
          <w:szCs w:val="22"/>
          <w:lang w:val="en-GB"/>
        </w:rPr>
        <w:t>;</w:t>
      </w:r>
    </w:p>
    <w:p w:rsidR="009B6A7B" w:rsidRPr="001E34E7" w:rsidRDefault="00F22946">
      <w:pPr>
        <w:pStyle w:val="BodyText"/>
        <w:numPr>
          <w:ilvl w:val="0"/>
          <w:numId w:val="3"/>
        </w:numPr>
        <w:shd w:val="clear" w:color="auto" w:fill="auto"/>
        <w:tabs>
          <w:tab w:val="left" w:pos="1333"/>
        </w:tabs>
        <w:spacing w:after="0"/>
        <w:ind w:left="680" w:firstLine="300"/>
        <w:jc w:val="both"/>
        <w:rPr>
          <w:sz w:val="22"/>
          <w:szCs w:val="22"/>
          <w:lang w:val="en-GB"/>
        </w:rPr>
      </w:pPr>
      <w:r w:rsidRPr="001E34E7">
        <w:rPr>
          <w:sz w:val="22"/>
          <w:szCs w:val="22"/>
          <w:lang w:val="en-GB"/>
        </w:rPr>
        <w:t>indictment or conviction for committing a corruption offence or an offence related to non-compliance with the regime of interdictions, incompatibilities, conflict of interest or declaration of assets; the final outcome of a finding issued by the National Integrity Agency regarding the violation of legal obligations regarding unjustified assets, conflict of interest or the regime of incompatibilities</w:t>
      </w:r>
      <w:r w:rsidR="00351D42" w:rsidRPr="001E34E7">
        <w:rPr>
          <w:sz w:val="22"/>
          <w:szCs w:val="22"/>
          <w:lang w:val="en-GB"/>
        </w:rPr>
        <w:t>;</w:t>
      </w:r>
    </w:p>
    <w:p w:rsidR="009B6A7B" w:rsidRPr="001E34E7" w:rsidRDefault="009D3A4B">
      <w:pPr>
        <w:pStyle w:val="BodyText"/>
        <w:numPr>
          <w:ilvl w:val="0"/>
          <w:numId w:val="2"/>
        </w:numPr>
        <w:shd w:val="clear" w:color="auto" w:fill="auto"/>
        <w:tabs>
          <w:tab w:val="left" w:pos="658"/>
        </w:tabs>
        <w:spacing w:after="0"/>
        <w:ind w:firstLine="420"/>
        <w:jc w:val="both"/>
        <w:rPr>
          <w:sz w:val="22"/>
          <w:szCs w:val="22"/>
          <w:lang w:val="en-GB"/>
        </w:rPr>
      </w:pPr>
      <w:r w:rsidRPr="001E34E7">
        <w:rPr>
          <w:b/>
          <w:bCs/>
          <w:sz w:val="22"/>
          <w:szCs w:val="22"/>
          <w:lang w:val="en-GB"/>
        </w:rPr>
        <w:t>prevention and/or control measures</w:t>
      </w:r>
      <w:r w:rsidR="00351D42" w:rsidRPr="001E34E7">
        <w:rPr>
          <w:b/>
          <w:bCs/>
          <w:sz w:val="22"/>
          <w:szCs w:val="22"/>
          <w:lang w:val="en-GB"/>
        </w:rPr>
        <w:t xml:space="preserve"> ■ </w:t>
      </w:r>
      <w:r w:rsidRPr="001E34E7">
        <w:rPr>
          <w:sz w:val="22"/>
          <w:szCs w:val="22"/>
          <w:lang w:val="en-GB"/>
        </w:rPr>
        <w:t>the set of actions ordered by the management of SNTGN TRANSGAZ SA in order to remove or keep under control the vulnerabilities identified following the occurrence of an integrity incident or to prevent the occurrence of similar integrity incidents</w:t>
      </w:r>
      <w:r w:rsidR="00351D42" w:rsidRPr="001E34E7">
        <w:rPr>
          <w:sz w:val="22"/>
          <w:szCs w:val="22"/>
          <w:lang w:val="en-GB"/>
        </w:rPr>
        <w:t>;</w:t>
      </w:r>
    </w:p>
    <w:p w:rsidR="009B6A7B" w:rsidRPr="00477337" w:rsidRDefault="00477337">
      <w:pPr>
        <w:pStyle w:val="BodyText"/>
        <w:numPr>
          <w:ilvl w:val="0"/>
          <w:numId w:val="2"/>
        </w:numPr>
        <w:shd w:val="clear" w:color="auto" w:fill="auto"/>
        <w:tabs>
          <w:tab w:val="left" w:pos="658"/>
        </w:tabs>
        <w:spacing w:after="0"/>
        <w:ind w:firstLine="420"/>
        <w:jc w:val="both"/>
        <w:rPr>
          <w:sz w:val="22"/>
          <w:szCs w:val="22"/>
          <w:lang w:val="en-US"/>
        </w:rPr>
      </w:pPr>
      <w:r w:rsidRPr="00477337">
        <w:rPr>
          <w:sz w:val="22"/>
          <w:szCs w:val="22"/>
          <w:lang w:val="en-US"/>
        </w:rPr>
        <w:t>corruption risk assessment process - series of actions through which vulnerabilities and risks to corruption in SNTGN TRANSGAZ SA are identified, assessed, prioritized and managed through specific intervention measures</w:t>
      </w:r>
      <w:r w:rsidR="00351D42" w:rsidRPr="00477337">
        <w:rPr>
          <w:sz w:val="22"/>
          <w:szCs w:val="22"/>
          <w:lang w:val="en-US"/>
        </w:rPr>
        <w:t>;</w:t>
      </w:r>
    </w:p>
    <w:p w:rsidR="009B6A7B" w:rsidRPr="001E34E7" w:rsidRDefault="00953964">
      <w:pPr>
        <w:pStyle w:val="BodyText"/>
        <w:numPr>
          <w:ilvl w:val="0"/>
          <w:numId w:val="2"/>
        </w:numPr>
        <w:shd w:val="clear" w:color="auto" w:fill="auto"/>
        <w:tabs>
          <w:tab w:val="left" w:pos="654"/>
        </w:tabs>
        <w:spacing w:after="0"/>
        <w:ind w:firstLine="420"/>
        <w:jc w:val="both"/>
        <w:rPr>
          <w:sz w:val="22"/>
          <w:szCs w:val="22"/>
          <w:lang w:val="en-GB"/>
        </w:rPr>
      </w:pPr>
      <w:r w:rsidRPr="00953964">
        <w:rPr>
          <w:b/>
          <w:bCs/>
          <w:sz w:val="22"/>
          <w:szCs w:val="22"/>
          <w:lang w:val="en-GB"/>
        </w:rPr>
        <w:t xml:space="preserve">person responsible for the implementation of the methodology - </w:t>
      </w:r>
      <w:r w:rsidRPr="00953964">
        <w:rPr>
          <w:bCs/>
          <w:sz w:val="22"/>
          <w:szCs w:val="22"/>
          <w:lang w:val="en-GB"/>
        </w:rPr>
        <w:t>person, working group within SNTGN TRANSGAZ SA, carrying out the activity of obtaining and analysing relevant information on integrity incidents and proposing prevention and/or control measures</w:t>
      </w:r>
      <w:r w:rsidR="00351D42" w:rsidRPr="001E34E7">
        <w:rPr>
          <w:sz w:val="22"/>
          <w:szCs w:val="22"/>
          <w:lang w:val="en-GB"/>
        </w:rPr>
        <w:t>;</w:t>
      </w:r>
    </w:p>
    <w:p w:rsidR="009B6A7B" w:rsidRPr="000517B8" w:rsidRDefault="00BE4F0E">
      <w:pPr>
        <w:pStyle w:val="BodyText"/>
        <w:numPr>
          <w:ilvl w:val="0"/>
          <w:numId w:val="2"/>
        </w:numPr>
        <w:shd w:val="clear" w:color="auto" w:fill="auto"/>
        <w:tabs>
          <w:tab w:val="left" w:pos="644"/>
        </w:tabs>
        <w:spacing w:after="0"/>
        <w:ind w:firstLine="420"/>
        <w:jc w:val="both"/>
        <w:rPr>
          <w:sz w:val="22"/>
          <w:szCs w:val="22"/>
          <w:lang w:val="en-US"/>
        </w:rPr>
      </w:pPr>
      <w:r w:rsidRPr="00BE4F0E">
        <w:rPr>
          <w:sz w:val="22"/>
          <w:szCs w:val="22"/>
          <w:lang w:val="en-GB"/>
        </w:rPr>
        <w:t>corruption risk - the likelihood of a corruption threat materialising, targeting an employee, a professional group or an area of activity, determined by specific duties and likely to have an impact on the achievement of SNTGN TRANSGAZ SA objectives or activities</w:t>
      </w:r>
      <w:r w:rsidR="00351D42" w:rsidRPr="000517B8">
        <w:rPr>
          <w:sz w:val="22"/>
          <w:szCs w:val="22"/>
          <w:lang w:val="en-US"/>
        </w:rPr>
        <w:t>;</w:t>
      </w:r>
    </w:p>
    <w:p w:rsidR="009B6A7B" w:rsidRPr="001E34E7" w:rsidRDefault="000517B8">
      <w:pPr>
        <w:pStyle w:val="BodyText"/>
        <w:numPr>
          <w:ilvl w:val="0"/>
          <w:numId w:val="2"/>
        </w:numPr>
        <w:shd w:val="clear" w:color="auto" w:fill="auto"/>
        <w:tabs>
          <w:tab w:val="left" w:pos="658"/>
        </w:tabs>
        <w:spacing w:after="0"/>
        <w:ind w:firstLine="420"/>
        <w:jc w:val="both"/>
        <w:rPr>
          <w:sz w:val="22"/>
          <w:szCs w:val="22"/>
          <w:lang w:val="en-GB"/>
        </w:rPr>
      </w:pPr>
      <w:r w:rsidRPr="000517B8">
        <w:rPr>
          <w:b/>
          <w:bCs/>
          <w:sz w:val="22"/>
          <w:szCs w:val="22"/>
          <w:lang w:val="en-GB"/>
        </w:rPr>
        <w:t xml:space="preserve">vulnerability - </w:t>
      </w:r>
      <w:r w:rsidRPr="000517B8">
        <w:rPr>
          <w:bCs/>
          <w:sz w:val="22"/>
          <w:szCs w:val="22"/>
          <w:lang w:val="en-GB"/>
        </w:rPr>
        <w:t>a weakness in the system of regulation or control of activities, which could be exploited and lead to corruption</w:t>
      </w:r>
      <w:r w:rsidR="00351D42" w:rsidRPr="001E34E7">
        <w:rPr>
          <w:sz w:val="22"/>
          <w:szCs w:val="22"/>
          <w:lang w:val="en-GB"/>
        </w:rPr>
        <w:t>.</w:t>
      </w:r>
    </w:p>
    <w:p w:rsidR="009B6A7B" w:rsidRPr="001E34E7" w:rsidRDefault="000517B8">
      <w:pPr>
        <w:pStyle w:val="Heading30"/>
        <w:keepNext/>
        <w:keepLines/>
        <w:numPr>
          <w:ilvl w:val="0"/>
          <w:numId w:val="1"/>
        </w:numPr>
        <w:shd w:val="clear" w:color="auto" w:fill="auto"/>
        <w:tabs>
          <w:tab w:val="left" w:pos="616"/>
        </w:tabs>
        <w:spacing w:after="120"/>
        <w:rPr>
          <w:sz w:val="22"/>
          <w:szCs w:val="22"/>
          <w:lang w:val="en-GB"/>
        </w:rPr>
      </w:pPr>
      <w:r w:rsidRPr="000517B8">
        <w:rPr>
          <w:sz w:val="22"/>
          <w:szCs w:val="22"/>
          <w:lang w:val="en-GB"/>
        </w:rPr>
        <w:t>REGULATORY FRAMEWORK</w:t>
      </w:r>
    </w:p>
    <w:p w:rsidR="009B6A7B" w:rsidRPr="001E34E7" w:rsidRDefault="000517B8">
      <w:pPr>
        <w:pStyle w:val="BodyText"/>
        <w:shd w:val="clear" w:color="auto" w:fill="auto"/>
        <w:spacing w:after="60" w:line="276" w:lineRule="auto"/>
        <w:jc w:val="both"/>
        <w:rPr>
          <w:sz w:val="22"/>
          <w:szCs w:val="22"/>
          <w:lang w:val="en-GB"/>
        </w:rPr>
      </w:pPr>
      <w:r w:rsidRPr="000517B8">
        <w:rPr>
          <w:sz w:val="22"/>
          <w:szCs w:val="22"/>
          <w:lang w:val="en-GB"/>
        </w:rPr>
        <w:t>This methodology has been developed in accordance with the Methodology for the assessment of integrity incidents in central public authorities and institutions approved by Government Decision No 599 of 2 August 2018.</w:t>
      </w:r>
    </w:p>
    <w:p w:rsidR="009B6A7B" w:rsidRPr="001E34E7" w:rsidRDefault="000517B8">
      <w:pPr>
        <w:pStyle w:val="BodyText"/>
        <w:shd w:val="clear" w:color="auto" w:fill="auto"/>
        <w:spacing w:line="286" w:lineRule="auto"/>
        <w:rPr>
          <w:sz w:val="22"/>
          <w:szCs w:val="22"/>
          <w:lang w:val="en-GB"/>
        </w:rPr>
      </w:pPr>
      <w:r w:rsidRPr="000517B8">
        <w:rPr>
          <w:b/>
          <w:bCs/>
          <w:sz w:val="22"/>
          <w:szCs w:val="22"/>
          <w:lang w:val="en-GB"/>
        </w:rPr>
        <w:t>DESCRIPTION OF THE INTEGRITY INCIDENT ASSESSMENT ACTIVITY</w:t>
      </w:r>
    </w:p>
    <w:p w:rsidR="009B6A7B" w:rsidRPr="001E34E7" w:rsidRDefault="009312CB">
      <w:pPr>
        <w:pStyle w:val="Heading30"/>
        <w:keepNext/>
        <w:keepLines/>
        <w:numPr>
          <w:ilvl w:val="0"/>
          <w:numId w:val="1"/>
        </w:numPr>
        <w:shd w:val="clear" w:color="auto" w:fill="auto"/>
        <w:tabs>
          <w:tab w:val="left" w:pos="694"/>
        </w:tabs>
        <w:spacing w:after="0" w:line="276" w:lineRule="auto"/>
        <w:jc w:val="both"/>
        <w:rPr>
          <w:sz w:val="22"/>
          <w:szCs w:val="22"/>
          <w:lang w:val="en-GB"/>
        </w:rPr>
      </w:pPr>
      <w:r w:rsidRPr="009312CB">
        <w:rPr>
          <w:sz w:val="22"/>
          <w:szCs w:val="22"/>
          <w:lang w:val="en-GB"/>
        </w:rPr>
        <w:t>ATTRIBUTIONS OF THE PERSON RESPONSIBLE FOR THE IMPLEMENTATION OF THE METHODOLOGY</w:t>
      </w:r>
    </w:p>
    <w:p w:rsidR="009B6A7B" w:rsidRPr="001E34E7" w:rsidRDefault="009312CB">
      <w:pPr>
        <w:pStyle w:val="BodyText"/>
        <w:shd w:val="clear" w:color="auto" w:fill="auto"/>
        <w:spacing w:line="276" w:lineRule="auto"/>
        <w:jc w:val="both"/>
        <w:rPr>
          <w:sz w:val="22"/>
          <w:szCs w:val="22"/>
          <w:lang w:val="en-GB"/>
        </w:rPr>
      </w:pPr>
      <w:r w:rsidRPr="009312CB">
        <w:rPr>
          <w:sz w:val="22"/>
          <w:szCs w:val="22"/>
          <w:lang w:val="en-GB"/>
        </w:rPr>
        <w:t xml:space="preserve">The person responsible for the implementation of the methodology for the assessment of integrity incidents is </w:t>
      </w:r>
      <w:r w:rsidRPr="009312CB">
        <w:rPr>
          <w:sz w:val="22"/>
          <w:szCs w:val="22"/>
          <w:lang w:val="en-GB"/>
        </w:rPr>
        <w:lastRenderedPageBreak/>
        <w:t>designated by the head of SNTGN TRANSGAZ SA by internal decision.</w:t>
      </w:r>
    </w:p>
    <w:p w:rsidR="009B6A7B" w:rsidRPr="001E34E7" w:rsidRDefault="00B37FBA">
      <w:pPr>
        <w:pStyle w:val="BodyText"/>
        <w:shd w:val="clear" w:color="auto" w:fill="auto"/>
        <w:spacing w:line="286" w:lineRule="auto"/>
        <w:jc w:val="both"/>
        <w:rPr>
          <w:sz w:val="22"/>
          <w:szCs w:val="22"/>
          <w:lang w:val="en-GB"/>
        </w:rPr>
      </w:pPr>
      <w:r w:rsidRPr="00B37FBA">
        <w:rPr>
          <w:sz w:val="22"/>
          <w:szCs w:val="22"/>
          <w:lang w:val="en-GB"/>
        </w:rPr>
        <w:t>The person responsible for the implementation of the methodology carries out the following activities</w:t>
      </w:r>
      <w:r w:rsidR="00351D42" w:rsidRPr="001E34E7">
        <w:rPr>
          <w:sz w:val="22"/>
          <w:szCs w:val="22"/>
          <w:lang w:val="en-GB"/>
        </w:rPr>
        <w:t>:</w:t>
      </w:r>
    </w:p>
    <w:p w:rsidR="001A53A5" w:rsidRPr="001A53A5" w:rsidRDefault="001A53A5" w:rsidP="001A53A5">
      <w:pPr>
        <w:pStyle w:val="BodyText"/>
        <w:numPr>
          <w:ilvl w:val="0"/>
          <w:numId w:val="4"/>
        </w:numPr>
        <w:tabs>
          <w:tab w:val="left" w:pos="344"/>
        </w:tabs>
        <w:spacing w:line="286" w:lineRule="auto"/>
        <w:jc w:val="both"/>
        <w:rPr>
          <w:sz w:val="22"/>
          <w:szCs w:val="22"/>
          <w:lang w:val="en-GB"/>
        </w:rPr>
      </w:pPr>
      <w:r w:rsidRPr="001A53A5">
        <w:rPr>
          <w:sz w:val="22"/>
          <w:szCs w:val="22"/>
          <w:lang w:val="en-GB"/>
        </w:rPr>
        <w:t>obtaining information on the integrity incident;</w:t>
      </w:r>
    </w:p>
    <w:p w:rsidR="001A53A5" w:rsidRPr="001A53A5" w:rsidRDefault="001A53A5" w:rsidP="001A53A5">
      <w:pPr>
        <w:pStyle w:val="BodyText"/>
        <w:numPr>
          <w:ilvl w:val="0"/>
          <w:numId w:val="4"/>
        </w:numPr>
        <w:tabs>
          <w:tab w:val="left" w:pos="344"/>
        </w:tabs>
        <w:spacing w:line="286" w:lineRule="auto"/>
        <w:jc w:val="both"/>
        <w:rPr>
          <w:sz w:val="22"/>
          <w:szCs w:val="22"/>
          <w:lang w:val="en-GB"/>
        </w:rPr>
      </w:pPr>
      <w:r w:rsidRPr="001A53A5">
        <w:rPr>
          <w:sz w:val="22"/>
          <w:szCs w:val="22"/>
          <w:lang w:val="en-GB"/>
        </w:rPr>
        <w:t>analysing the integrity incident;</w:t>
      </w:r>
    </w:p>
    <w:p w:rsidR="009B6A7B" w:rsidRPr="001A53A5" w:rsidRDefault="001A53A5" w:rsidP="001A53A5">
      <w:pPr>
        <w:pStyle w:val="BodyText"/>
        <w:numPr>
          <w:ilvl w:val="0"/>
          <w:numId w:val="4"/>
        </w:numPr>
        <w:tabs>
          <w:tab w:val="left" w:pos="344"/>
        </w:tabs>
        <w:spacing w:line="286" w:lineRule="auto"/>
        <w:jc w:val="both"/>
        <w:rPr>
          <w:sz w:val="22"/>
          <w:szCs w:val="22"/>
          <w:lang w:val="en-GB"/>
        </w:rPr>
      </w:pPr>
      <w:r w:rsidRPr="001A53A5">
        <w:rPr>
          <w:sz w:val="22"/>
          <w:szCs w:val="22"/>
          <w:lang w:val="en-GB"/>
        </w:rPr>
        <w:t>proposing prevention and/or control measures</w:t>
      </w:r>
      <w:r w:rsidR="00351D42" w:rsidRPr="001A53A5">
        <w:rPr>
          <w:sz w:val="22"/>
          <w:szCs w:val="22"/>
          <w:lang w:val="en-GB"/>
        </w:rPr>
        <w:t>.</w:t>
      </w:r>
    </w:p>
    <w:p w:rsidR="009B6A7B" w:rsidRPr="001E34E7" w:rsidRDefault="00A511F6">
      <w:pPr>
        <w:pStyle w:val="Heading30"/>
        <w:keepNext/>
        <w:keepLines/>
        <w:numPr>
          <w:ilvl w:val="0"/>
          <w:numId w:val="1"/>
        </w:numPr>
        <w:shd w:val="clear" w:color="auto" w:fill="auto"/>
        <w:tabs>
          <w:tab w:val="left" w:pos="694"/>
        </w:tabs>
        <w:spacing w:line="286" w:lineRule="auto"/>
        <w:jc w:val="both"/>
        <w:rPr>
          <w:sz w:val="22"/>
          <w:szCs w:val="22"/>
          <w:lang w:val="en-GB"/>
        </w:rPr>
      </w:pPr>
      <w:r w:rsidRPr="00A511F6">
        <w:rPr>
          <w:sz w:val="22"/>
          <w:szCs w:val="22"/>
          <w:lang w:val="en-GB"/>
        </w:rPr>
        <w:t>OBTAINING INFORMATION ON THE INTEGRITY INCIDENT</w:t>
      </w:r>
    </w:p>
    <w:p w:rsidR="009B6A7B" w:rsidRPr="001E34E7" w:rsidRDefault="009052A9">
      <w:pPr>
        <w:pStyle w:val="BodyText"/>
        <w:numPr>
          <w:ilvl w:val="0"/>
          <w:numId w:val="5"/>
        </w:numPr>
        <w:shd w:val="clear" w:color="auto" w:fill="auto"/>
        <w:tabs>
          <w:tab w:val="left" w:pos="411"/>
        </w:tabs>
        <w:spacing w:line="286" w:lineRule="auto"/>
        <w:jc w:val="both"/>
        <w:rPr>
          <w:sz w:val="22"/>
          <w:szCs w:val="22"/>
          <w:lang w:val="en-GB"/>
        </w:rPr>
      </w:pPr>
      <w:r w:rsidRPr="009052A9">
        <w:rPr>
          <w:sz w:val="22"/>
          <w:szCs w:val="22"/>
          <w:lang w:val="en-GB"/>
        </w:rPr>
        <w:t>The management of SNTGN TRANSGAZ SA, the Organisation and Human Resources Department, the General Inspection Division, the Legal Division or other structures within the company that have information on the disposition of measures regarding an integrity incident shall refer the matter to the person responsible for the implementation of the methodology and shall provide him/her with the information or documents necessary to carry out the methodology for the evaluation of the integrity incident, within 30 days of becoming aware of the integrity incident in question.</w:t>
      </w:r>
    </w:p>
    <w:p w:rsidR="009B6A7B" w:rsidRPr="001E34E7" w:rsidRDefault="008F1ACB">
      <w:pPr>
        <w:pStyle w:val="BodyText"/>
        <w:numPr>
          <w:ilvl w:val="0"/>
          <w:numId w:val="5"/>
        </w:numPr>
        <w:shd w:val="clear" w:color="auto" w:fill="auto"/>
        <w:tabs>
          <w:tab w:val="left" w:pos="411"/>
        </w:tabs>
        <w:spacing w:line="286" w:lineRule="auto"/>
        <w:jc w:val="both"/>
        <w:rPr>
          <w:sz w:val="22"/>
          <w:szCs w:val="22"/>
          <w:lang w:val="en-GB"/>
        </w:rPr>
      </w:pPr>
      <w:r w:rsidRPr="008F1ACB">
        <w:rPr>
          <w:sz w:val="22"/>
          <w:szCs w:val="22"/>
          <w:lang w:val="en-GB"/>
        </w:rPr>
        <w:t>to the extent deemed necessary, the person responsible for the implementation of the methodology may request information from the National Integrity Agency, the National Anticorruption Directorate, the Prosecutor's Office attached to the High Court of Cassation and Justice and other public authorities or institutions holding information on the integrity incident</w:t>
      </w:r>
      <w:r w:rsidR="00351D42" w:rsidRPr="001E34E7">
        <w:rPr>
          <w:sz w:val="22"/>
          <w:szCs w:val="22"/>
          <w:lang w:val="en-GB"/>
        </w:rPr>
        <w:t>.</w:t>
      </w:r>
    </w:p>
    <w:p w:rsidR="009B6A7B" w:rsidRPr="001E34E7" w:rsidRDefault="008F1ACB">
      <w:pPr>
        <w:pStyle w:val="Heading30"/>
        <w:keepNext/>
        <w:keepLines/>
        <w:numPr>
          <w:ilvl w:val="0"/>
          <w:numId w:val="1"/>
        </w:numPr>
        <w:shd w:val="clear" w:color="auto" w:fill="auto"/>
        <w:tabs>
          <w:tab w:val="left" w:pos="694"/>
        </w:tabs>
        <w:spacing w:line="286" w:lineRule="auto"/>
        <w:jc w:val="both"/>
        <w:rPr>
          <w:sz w:val="22"/>
          <w:szCs w:val="22"/>
          <w:lang w:val="en-GB"/>
        </w:rPr>
      </w:pPr>
      <w:r w:rsidRPr="008F1ACB">
        <w:rPr>
          <w:sz w:val="22"/>
          <w:szCs w:val="22"/>
          <w:lang w:val="en-GB"/>
        </w:rPr>
        <w:t>CONTENT OF THE ANALYSIS OF INTEGRITY INCIDENTS</w:t>
      </w:r>
    </w:p>
    <w:p w:rsidR="009B6A7B" w:rsidRPr="001E34E7" w:rsidRDefault="00484384">
      <w:pPr>
        <w:pStyle w:val="BodyText"/>
        <w:numPr>
          <w:ilvl w:val="0"/>
          <w:numId w:val="6"/>
        </w:numPr>
        <w:shd w:val="clear" w:color="auto" w:fill="auto"/>
        <w:tabs>
          <w:tab w:val="left" w:pos="397"/>
        </w:tabs>
        <w:spacing w:line="286" w:lineRule="auto"/>
        <w:jc w:val="both"/>
        <w:rPr>
          <w:sz w:val="22"/>
          <w:szCs w:val="22"/>
          <w:lang w:val="en-GB"/>
        </w:rPr>
      </w:pPr>
      <w:r w:rsidRPr="00484384">
        <w:rPr>
          <w:sz w:val="22"/>
          <w:szCs w:val="22"/>
          <w:lang w:val="en-GB"/>
        </w:rPr>
        <w:t>The analysis focuses on the following aspects</w:t>
      </w:r>
      <w:r w:rsidR="00351D42" w:rsidRPr="001E34E7">
        <w:rPr>
          <w:sz w:val="22"/>
          <w:szCs w:val="22"/>
          <w:lang w:val="en-GB"/>
        </w:rPr>
        <w:t>:</w:t>
      </w:r>
    </w:p>
    <w:p w:rsidR="009B6A7B" w:rsidRPr="001E34E7" w:rsidRDefault="00484384">
      <w:pPr>
        <w:pStyle w:val="BodyText"/>
        <w:numPr>
          <w:ilvl w:val="0"/>
          <w:numId w:val="7"/>
        </w:numPr>
        <w:shd w:val="clear" w:color="auto" w:fill="auto"/>
        <w:tabs>
          <w:tab w:val="left" w:pos="339"/>
        </w:tabs>
        <w:spacing w:line="286" w:lineRule="auto"/>
        <w:jc w:val="both"/>
        <w:rPr>
          <w:sz w:val="22"/>
          <w:szCs w:val="22"/>
          <w:lang w:val="en-GB"/>
        </w:rPr>
      </w:pPr>
      <w:r w:rsidRPr="00484384">
        <w:rPr>
          <w:sz w:val="22"/>
          <w:szCs w:val="22"/>
          <w:lang w:val="en-GB"/>
        </w:rPr>
        <w:t>the type of event constituting the integrity incident assessed</w:t>
      </w:r>
      <w:r w:rsidR="00351D42" w:rsidRPr="001E34E7">
        <w:rPr>
          <w:sz w:val="22"/>
          <w:szCs w:val="22"/>
          <w:lang w:val="en-GB"/>
        </w:rPr>
        <w:t>;</w:t>
      </w:r>
    </w:p>
    <w:p w:rsidR="009B6A7B" w:rsidRPr="001E34E7" w:rsidRDefault="00484384">
      <w:pPr>
        <w:pStyle w:val="BodyText"/>
        <w:numPr>
          <w:ilvl w:val="0"/>
          <w:numId w:val="7"/>
        </w:numPr>
        <w:shd w:val="clear" w:color="auto" w:fill="auto"/>
        <w:tabs>
          <w:tab w:val="left" w:pos="349"/>
        </w:tabs>
        <w:spacing w:line="276" w:lineRule="auto"/>
        <w:jc w:val="both"/>
        <w:rPr>
          <w:sz w:val="22"/>
          <w:szCs w:val="22"/>
          <w:lang w:val="en-GB"/>
        </w:rPr>
      </w:pPr>
      <w:r w:rsidRPr="00484384">
        <w:rPr>
          <w:sz w:val="22"/>
          <w:szCs w:val="22"/>
          <w:lang w:val="en-GB"/>
        </w:rPr>
        <w:t>the department/directorate/unit in which the integrity incident occurred and the position of the person who committed it</w:t>
      </w:r>
      <w:r w:rsidR="00351D42" w:rsidRPr="001E34E7">
        <w:rPr>
          <w:sz w:val="22"/>
          <w:szCs w:val="22"/>
          <w:lang w:val="en-GB"/>
        </w:rPr>
        <w:t>;</w:t>
      </w:r>
    </w:p>
    <w:p w:rsidR="009B6A7B" w:rsidRPr="001E34E7" w:rsidRDefault="00B11EF4">
      <w:pPr>
        <w:pStyle w:val="BodyText"/>
        <w:numPr>
          <w:ilvl w:val="0"/>
          <w:numId w:val="7"/>
        </w:numPr>
        <w:shd w:val="clear" w:color="auto" w:fill="auto"/>
        <w:tabs>
          <w:tab w:val="left" w:pos="344"/>
        </w:tabs>
        <w:spacing w:line="286" w:lineRule="auto"/>
        <w:jc w:val="both"/>
        <w:rPr>
          <w:sz w:val="22"/>
          <w:szCs w:val="22"/>
          <w:lang w:val="en-GB"/>
        </w:rPr>
      </w:pPr>
      <w:r w:rsidRPr="00B11EF4">
        <w:rPr>
          <w:sz w:val="22"/>
          <w:szCs w:val="22"/>
          <w:lang w:val="en-GB"/>
        </w:rPr>
        <w:t>state of play and modus operandi</w:t>
      </w:r>
      <w:r w:rsidR="00351D42" w:rsidRPr="001E34E7">
        <w:rPr>
          <w:sz w:val="22"/>
          <w:szCs w:val="22"/>
          <w:lang w:val="en-GB"/>
        </w:rPr>
        <w:t>;</w:t>
      </w:r>
    </w:p>
    <w:p w:rsidR="009B6A7B" w:rsidRPr="001E34E7" w:rsidRDefault="005F5E9E">
      <w:pPr>
        <w:pStyle w:val="BodyText"/>
        <w:numPr>
          <w:ilvl w:val="0"/>
          <w:numId w:val="7"/>
        </w:numPr>
        <w:shd w:val="clear" w:color="auto" w:fill="auto"/>
        <w:tabs>
          <w:tab w:val="left" w:pos="344"/>
        </w:tabs>
        <w:spacing w:line="286" w:lineRule="auto"/>
        <w:jc w:val="both"/>
        <w:rPr>
          <w:sz w:val="22"/>
          <w:szCs w:val="22"/>
          <w:lang w:val="en-GB"/>
        </w:rPr>
      </w:pPr>
      <w:r w:rsidRPr="005F5E9E">
        <w:rPr>
          <w:sz w:val="22"/>
          <w:szCs w:val="22"/>
          <w:lang w:val="en-GB"/>
        </w:rPr>
        <w:t>the applicable legislative framework and internal procedures of SNTGN TRANSGAZ SA relevant to the incident under analysis</w:t>
      </w:r>
      <w:r w:rsidR="00351D42" w:rsidRPr="001E34E7">
        <w:rPr>
          <w:sz w:val="22"/>
          <w:szCs w:val="22"/>
          <w:lang w:val="en-GB"/>
        </w:rPr>
        <w:t>;</w:t>
      </w:r>
    </w:p>
    <w:p w:rsidR="009B6A7B" w:rsidRPr="001E34E7" w:rsidRDefault="005F5E9E">
      <w:pPr>
        <w:pStyle w:val="BodyText"/>
        <w:numPr>
          <w:ilvl w:val="0"/>
          <w:numId w:val="7"/>
        </w:numPr>
        <w:shd w:val="clear" w:color="auto" w:fill="auto"/>
        <w:tabs>
          <w:tab w:val="left" w:pos="344"/>
        </w:tabs>
        <w:spacing w:line="286" w:lineRule="auto"/>
        <w:jc w:val="both"/>
        <w:rPr>
          <w:sz w:val="22"/>
          <w:szCs w:val="22"/>
          <w:lang w:val="en-GB"/>
        </w:rPr>
      </w:pPr>
      <w:r w:rsidRPr="005F5E9E">
        <w:rPr>
          <w:sz w:val="22"/>
          <w:szCs w:val="22"/>
          <w:lang w:val="en-GB"/>
        </w:rPr>
        <w:t>the causes of the integrity incident in relation to the threats and vulnerabilities identified in the corruption risk assessment process and those related to the integrity incident assessed</w:t>
      </w:r>
      <w:r w:rsidR="00351D42" w:rsidRPr="001E34E7">
        <w:rPr>
          <w:sz w:val="22"/>
          <w:szCs w:val="22"/>
          <w:lang w:val="en-GB"/>
        </w:rPr>
        <w:t>;</w:t>
      </w:r>
    </w:p>
    <w:p w:rsidR="009B6A7B" w:rsidRPr="001E34E7" w:rsidRDefault="005F5E9E">
      <w:pPr>
        <w:pStyle w:val="BodyText"/>
        <w:numPr>
          <w:ilvl w:val="0"/>
          <w:numId w:val="7"/>
        </w:numPr>
        <w:shd w:val="clear" w:color="auto" w:fill="auto"/>
        <w:tabs>
          <w:tab w:val="left" w:pos="344"/>
        </w:tabs>
        <w:spacing w:line="286" w:lineRule="auto"/>
        <w:jc w:val="both"/>
        <w:rPr>
          <w:sz w:val="22"/>
          <w:szCs w:val="22"/>
          <w:lang w:val="en-GB"/>
        </w:rPr>
      </w:pPr>
      <w:r w:rsidRPr="005F5E9E">
        <w:rPr>
          <w:sz w:val="22"/>
          <w:szCs w:val="22"/>
          <w:lang w:val="en-GB"/>
        </w:rPr>
        <w:t>the duration of the procedure for investigating facts constituting disciplinary misconduct</w:t>
      </w:r>
      <w:r w:rsidR="00351D42" w:rsidRPr="001E34E7">
        <w:rPr>
          <w:sz w:val="22"/>
          <w:szCs w:val="22"/>
          <w:lang w:val="en-GB"/>
        </w:rPr>
        <w:t>;</w:t>
      </w:r>
    </w:p>
    <w:p w:rsidR="009B6A7B" w:rsidRPr="001E34E7" w:rsidRDefault="007A1E56">
      <w:pPr>
        <w:pStyle w:val="BodyText"/>
        <w:numPr>
          <w:ilvl w:val="0"/>
          <w:numId w:val="7"/>
        </w:numPr>
        <w:shd w:val="clear" w:color="auto" w:fill="auto"/>
        <w:tabs>
          <w:tab w:val="left" w:pos="344"/>
        </w:tabs>
        <w:spacing w:line="286" w:lineRule="auto"/>
        <w:jc w:val="both"/>
        <w:rPr>
          <w:sz w:val="22"/>
          <w:szCs w:val="22"/>
          <w:lang w:val="en-GB"/>
        </w:rPr>
      </w:pPr>
      <w:r w:rsidRPr="007A1E56">
        <w:rPr>
          <w:sz w:val="22"/>
          <w:szCs w:val="22"/>
          <w:lang w:val="en-GB"/>
        </w:rPr>
        <w:t>disciplinary, administrative or, where appropriate, criminal penalties imposed</w:t>
      </w:r>
      <w:r w:rsidR="00351D42" w:rsidRPr="001E34E7">
        <w:rPr>
          <w:sz w:val="22"/>
          <w:szCs w:val="22"/>
          <w:lang w:val="en-GB"/>
        </w:rPr>
        <w:t>;</w:t>
      </w:r>
    </w:p>
    <w:p w:rsidR="009B6A7B" w:rsidRPr="001E34E7" w:rsidRDefault="0080172D">
      <w:pPr>
        <w:pStyle w:val="BodyText"/>
        <w:numPr>
          <w:ilvl w:val="0"/>
          <w:numId w:val="7"/>
        </w:numPr>
        <w:shd w:val="clear" w:color="auto" w:fill="auto"/>
        <w:tabs>
          <w:tab w:val="left" w:pos="354"/>
        </w:tabs>
        <w:spacing w:line="276" w:lineRule="auto"/>
        <w:jc w:val="both"/>
        <w:rPr>
          <w:sz w:val="22"/>
          <w:szCs w:val="22"/>
          <w:lang w:val="en-GB"/>
        </w:rPr>
      </w:pPr>
      <w:r w:rsidRPr="0080172D">
        <w:rPr>
          <w:sz w:val="22"/>
          <w:szCs w:val="22"/>
          <w:lang w:val="en-GB"/>
        </w:rPr>
        <w:t>the effects of the integrity incident on the employment relationship of the person who committed the integrity incident</w:t>
      </w:r>
      <w:r w:rsidR="00351D42" w:rsidRPr="001E34E7">
        <w:rPr>
          <w:sz w:val="22"/>
          <w:szCs w:val="22"/>
          <w:lang w:val="en-GB"/>
        </w:rPr>
        <w:t>;</w:t>
      </w:r>
    </w:p>
    <w:p w:rsidR="009B6A7B" w:rsidRPr="001E34E7" w:rsidRDefault="0080172D">
      <w:pPr>
        <w:pStyle w:val="BodyText"/>
        <w:numPr>
          <w:ilvl w:val="0"/>
          <w:numId w:val="7"/>
        </w:numPr>
        <w:shd w:val="clear" w:color="auto" w:fill="auto"/>
        <w:tabs>
          <w:tab w:val="left" w:pos="344"/>
        </w:tabs>
        <w:spacing w:line="286" w:lineRule="auto"/>
        <w:jc w:val="both"/>
        <w:rPr>
          <w:sz w:val="22"/>
          <w:szCs w:val="22"/>
          <w:lang w:val="en-GB"/>
        </w:rPr>
      </w:pPr>
      <w:r w:rsidRPr="0080172D">
        <w:rPr>
          <w:sz w:val="22"/>
          <w:szCs w:val="22"/>
          <w:lang w:val="en-GB"/>
        </w:rPr>
        <w:t>impact of the integrity incident on the activity of SNTGN TRANSGAZ SA</w:t>
      </w:r>
      <w:r w:rsidR="00351D42" w:rsidRPr="001E34E7">
        <w:rPr>
          <w:sz w:val="22"/>
          <w:szCs w:val="22"/>
          <w:lang w:val="en-GB"/>
        </w:rPr>
        <w:t>.</w:t>
      </w:r>
    </w:p>
    <w:p w:rsidR="009B6A7B" w:rsidRPr="001E34E7" w:rsidRDefault="0080172D">
      <w:pPr>
        <w:pStyle w:val="BodyText"/>
        <w:numPr>
          <w:ilvl w:val="0"/>
          <w:numId w:val="6"/>
        </w:numPr>
        <w:shd w:val="clear" w:color="auto" w:fill="auto"/>
        <w:tabs>
          <w:tab w:val="left" w:pos="411"/>
        </w:tabs>
        <w:spacing w:line="286" w:lineRule="auto"/>
        <w:jc w:val="both"/>
        <w:rPr>
          <w:sz w:val="22"/>
          <w:szCs w:val="22"/>
          <w:lang w:val="en-GB"/>
        </w:rPr>
      </w:pPr>
      <w:r w:rsidRPr="0080172D">
        <w:rPr>
          <w:sz w:val="22"/>
          <w:szCs w:val="22"/>
          <w:lang w:val="en-GB"/>
        </w:rPr>
        <w:t>Based on the information obtained, the person responsible for the implementation of the methodology shall draw up, for each integrity incident that occurs, a report containing the information referred to in paragraph 1. (1), proposals for measures to prevent the occurrence of a similar incident, as well as the person responsible and the deadline for the implementation of the proposed prevention and/or control measures</w:t>
      </w:r>
      <w:r w:rsidR="00351D42" w:rsidRPr="001E34E7">
        <w:rPr>
          <w:sz w:val="22"/>
          <w:szCs w:val="22"/>
          <w:lang w:val="en-GB"/>
        </w:rPr>
        <w:t>.</w:t>
      </w:r>
    </w:p>
    <w:p w:rsidR="009B6A7B" w:rsidRPr="001E34E7" w:rsidRDefault="00592DDB">
      <w:pPr>
        <w:pStyle w:val="BodyText"/>
        <w:numPr>
          <w:ilvl w:val="0"/>
          <w:numId w:val="6"/>
        </w:numPr>
        <w:shd w:val="clear" w:color="auto" w:fill="auto"/>
        <w:tabs>
          <w:tab w:val="left" w:pos="402"/>
        </w:tabs>
        <w:spacing w:line="286" w:lineRule="auto"/>
        <w:jc w:val="both"/>
        <w:rPr>
          <w:sz w:val="22"/>
          <w:szCs w:val="22"/>
          <w:lang w:val="en-GB"/>
        </w:rPr>
        <w:sectPr w:rsidR="009B6A7B" w:rsidRPr="001E34E7">
          <w:type w:val="continuous"/>
          <w:pgSz w:w="12240" w:h="15840"/>
          <w:pgMar w:top="107" w:right="1629" w:bottom="2189" w:left="1370" w:header="0" w:footer="3" w:gutter="0"/>
          <w:cols w:space="720"/>
          <w:noEndnote/>
          <w:docGrid w:linePitch="360"/>
        </w:sectPr>
      </w:pPr>
      <w:r w:rsidRPr="00592DDB">
        <w:rPr>
          <w:sz w:val="22"/>
          <w:szCs w:val="22"/>
          <w:lang w:val="en-GB"/>
        </w:rPr>
        <w:t>The report referred to in para. (2) shall be submitted to SNTGN TRANSGAZ SA management for approval.</w:t>
      </w:r>
    </w:p>
    <w:p w:rsidR="009B6A7B" w:rsidRPr="001E34E7" w:rsidRDefault="00592DDB">
      <w:pPr>
        <w:pStyle w:val="Heading30"/>
        <w:keepNext/>
        <w:keepLines/>
        <w:numPr>
          <w:ilvl w:val="0"/>
          <w:numId w:val="1"/>
        </w:numPr>
        <w:shd w:val="clear" w:color="auto" w:fill="auto"/>
        <w:tabs>
          <w:tab w:val="left" w:pos="1041"/>
        </w:tabs>
        <w:spacing w:line="286" w:lineRule="auto"/>
        <w:ind w:firstLine="620"/>
        <w:rPr>
          <w:sz w:val="22"/>
          <w:szCs w:val="22"/>
          <w:lang w:val="en-GB"/>
        </w:rPr>
      </w:pPr>
      <w:r w:rsidRPr="00592DDB">
        <w:rPr>
          <w:sz w:val="22"/>
          <w:szCs w:val="22"/>
          <w:lang w:val="en-GB"/>
        </w:rPr>
        <w:t>VERIFICATION OF THE IMPLEMENTATION OF THE RECOMMENDATIONS</w:t>
      </w:r>
    </w:p>
    <w:p w:rsidR="009B6A7B" w:rsidRPr="001E34E7" w:rsidRDefault="00592DDB">
      <w:pPr>
        <w:pStyle w:val="BodyText"/>
        <w:shd w:val="clear" w:color="auto" w:fill="auto"/>
        <w:ind w:left="360" w:firstLine="20"/>
        <w:rPr>
          <w:sz w:val="22"/>
          <w:szCs w:val="22"/>
          <w:lang w:val="en-GB"/>
        </w:rPr>
      </w:pPr>
      <w:r w:rsidRPr="00592DDB">
        <w:rPr>
          <w:sz w:val="22"/>
          <w:szCs w:val="22"/>
          <w:lang w:val="en-GB"/>
        </w:rPr>
        <w:t xml:space="preserve">The management of SNTGN TRANSGAZ SA shall order a six-monthly verification of the implementation of the measures approved in accordance with Article 6 para. (2). The feedback shall be centralised in a report by the </w:t>
      </w:r>
      <w:r w:rsidRPr="00592DDB">
        <w:rPr>
          <w:sz w:val="22"/>
          <w:szCs w:val="22"/>
          <w:lang w:val="en-GB"/>
        </w:rPr>
        <w:lastRenderedPageBreak/>
        <w:t>person responsible for the implementation of the methodology.</w:t>
      </w:r>
    </w:p>
    <w:p w:rsidR="009B6A7B" w:rsidRPr="001E34E7" w:rsidRDefault="00B87F10">
      <w:pPr>
        <w:pStyle w:val="Heading30"/>
        <w:keepNext/>
        <w:keepLines/>
        <w:numPr>
          <w:ilvl w:val="0"/>
          <w:numId w:val="1"/>
        </w:numPr>
        <w:shd w:val="clear" w:color="auto" w:fill="auto"/>
        <w:tabs>
          <w:tab w:val="left" w:pos="1041"/>
        </w:tabs>
        <w:spacing w:after="0" w:line="276" w:lineRule="auto"/>
        <w:ind w:left="1040" w:hanging="400"/>
        <w:jc w:val="both"/>
        <w:rPr>
          <w:sz w:val="22"/>
          <w:szCs w:val="22"/>
          <w:lang w:val="en-GB"/>
        </w:rPr>
      </w:pPr>
      <w:r w:rsidRPr="00B87F10">
        <w:rPr>
          <w:sz w:val="22"/>
          <w:szCs w:val="22"/>
          <w:lang w:val="en-GB"/>
        </w:rPr>
        <w:t>REPORTING TO THE TECHNICAL SECRETARIAT OF THE NATIONAL ANTI-CORRUPTION STRATEGY</w:t>
      </w:r>
    </w:p>
    <w:p w:rsidR="009B6A7B" w:rsidRPr="001E34E7" w:rsidRDefault="009B6A7B">
      <w:pPr>
        <w:pStyle w:val="Bodytext20"/>
        <w:shd w:val="clear" w:color="auto" w:fill="auto"/>
        <w:rPr>
          <w:sz w:val="22"/>
          <w:szCs w:val="22"/>
          <w:lang w:val="en-GB"/>
        </w:rPr>
      </w:pPr>
    </w:p>
    <w:p w:rsidR="009B6A7B" w:rsidRPr="001E34E7" w:rsidRDefault="00B87F10">
      <w:pPr>
        <w:pStyle w:val="BodyText"/>
        <w:shd w:val="clear" w:color="auto" w:fill="auto"/>
        <w:spacing w:line="286" w:lineRule="auto"/>
        <w:ind w:left="360" w:firstLine="20"/>
        <w:rPr>
          <w:sz w:val="22"/>
          <w:szCs w:val="22"/>
          <w:lang w:val="en-GB"/>
        </w:rPr>
      </w:pPr>
      <w:r w:rsidRPr="00B87F10">
        <w:rPr>
          <w:sz w:val="22"/>
          <w:szCs w:val="22"/>
          <w:lang w:val="en-GB"/>
        </w:rPr>
        <w:t>The person responsible for the implementation of the methodology prepares an annual report on the assessment of integrity incidents, which is approved by the management of SNTGN TRANSGAZ SA, published on the company's website and submitted to the Technical Secretariat of the National Anti-Corruption Strategy by 31 March of the following year. The content of the report is set out in Annex 1</w:t>
      </w:r>
      <w:r w:rsidR="00351D42" w:rsidRPr="001E34E7">
        <w:rPr>
          <w:sz w:val="22"/>
          <w:szCs w:val="22"/>
          <w:lang w:val="en-GB"/>
        </w:rPr>
        <w:t>.</w:t>
      </w:r>
    </w:p>
    <w:p w:rsidR="009B6A7B" w:rsidRPr="001E34E7" w:rsidRDefault="00B87F10">
      <w:pPr>
        <w:pStyle w:val="Heading30"/>
        <w:keepNext/>
        <w:keepLines/>
        <w:numPr>
          <w:ilvl w:val="0"/>
          <w:numId w:val="1"/>
        </w:numPr>
        <w:shd w:val="clear" w:color="auto" w:fill="auto"/>
        <w:tabs>
          <w:tab w:val="left" w:pos="1041"/>
        </w:tabs>
        <w:spacing w:line="286" w:lineRule="auto"/>
        <w:ind w:left="1040" w:hanging="400"/>
        <w:rPr>
          <w:sz w:val="22"/>
          <w:szCs w:val="22"/>
          <w:lang w:val="en-GB"/>
        </w:rPr>
      </w:pPr>
      <w:bookmarkStart w:id="7" w:name="bookmark20"/>
      <w:bookmarkStart w:id="8" w:name="bookmark21"/>
      <w:r w:rsidRPr="00B87F10">
        <w:rPr>
          <w:sz w:val="22"/>
          <w:szCs w:val="22"/>
          <w:lang w:val="en-GB"/>
        </w:rPr>
        <w:t>USE OF INFORMATION IN THE PROCESS OF ASSESSING THE RISKS OF CORRUPTION</w:t>
      </w:r>
      <w:bookmarkEnd w:id="7"/>
      <w:bookmarkEnd w:id="8"/>
    </w:p>
    <w:p w:rsidR="009B6A7B" w:rsidRPr="001E34E7" w:rsidRDefault="00B87F10">
      <w:pPr>
        <w:pStyle w:val="BodyText"/>
        <w:numPr>
          <w:ilvl w:val="0"/>
          <w:numId w:val="8"/>
        </w:numPr>
        <w:shd w:val="clear" w:color="auto" w:fill="auto"/>
        <w:tabs>
          <w:tab w:val="left" w:pos="719"/>
        </w:tabs>
        <w:spacing w:line="286" w:lineRule="auto"/>
        <w:ind w:left="360" w:firstLine="20"/>
        <w:rPr>
          <w:sz w:val="22"/>
          <w:szCs w:val="22"/>
          <w:lang w:val="en-GB"/>
        </w:rPr>
      </w:pPr>
      <w:r w:rsidRPr="00B87F10">
        <w:rPr>
          <w:sz w:val="22"/>
          <w:szCs w:val="22"/>
          <w:lang w:val="en-GB"/>
        </w:rPr>
        <w:t>The data contained in the report referred to in Article 8 shall be used in the corruption risk assessment process carried out at SNTGN TRANSGAZ SA level.</w:t>
      </w:r>
    </w:p>
    <w:p w:rsidR="009B6A7B" w:rsidRPr="001E34E7" w:rsidRDefault="007324CC">
      <w:pPr>
        <w:pStyle w:val="BodyText"/>
        <w:numPr>
          <w:ilvl w:val="0"/>
          <w:numId w:val="8"/>
        </w:numPr>
        <w:shd w:val="clear" w:color="auto" w:fill="auto"/>
        <w:tabs>
          <w:tab w:val="left" w:pos="709"/>
        </w:tabs>
        <w:spacing w:line="286" w:lineRule="auto"/>
        <w:ind w:left="360" w:firstLine="20"/>
        <w:rPr>
          <w:sz w:val="22"/>
          <w:szCs w:val="22"/>
          <w:lang w:val="en-GB"/>
        </w:rPr>
        <w:sectPr w:rsidR="009B6A7B" w:rsidRPr="001E34E7">
          <w:footerReference w:type="default" r:id="rId9"/>
          <w:type w:val="continuous"/>
          <w:pgSz w:w="12240" w:h="15840"/>
          <w:pgMar w:top="107" w:right="1629" w:bottom="2189" w:left="1370" w:header="0" w:footer="3" w:gutter="0"/>
          <w:cols w:space="720"/>
          <w:noEndnote/>
          <w:docGrid w:linePitch="360"/>
        </w:sectPr>
      </w:pPr>
      <w:r w:rsidRPr="007324CC">
        <w:rPr>
          <w:sz w:val="22"/>
          <w:szCs w:val="22"/>
          <w:lang w:val="en-GB"/>
        </w:rPr>
        <w:t>The Integrity Plan of SNTGN TRANSGAZ SA shall be updated annually, corresponding to the prevention and control measures referred to in Article 6 para. (2)</w:t>
      </w:r>
      <w:r w:rsidR="00351D42" w:rsidRPr="001E34E7">
        <w:rPr>
          <w:sz w:val="22"/>
          <w:szCs w:val="22"/>
          <w:lang w:val="en-GB"/>
        </w:rPr>
        <w:t>.</w:t>
      </w:r>
    </w:p>
    <w:p w:rsidR="009B6A7B" w:rsidRPr="001E34E7" w:rsidRDefault="00351D42">
      <w:pPr>
        <w:pStyle w:val="BodyText"/>
        <w:shd w:val="clear" w:color="auto" w:fill="auto"/>
        <w:spacing w:after="220" w:line="240" w:lineRule="auto"/>
        <w:jc w:val="right"/>
        <w:rPr>
          <w:sz w:val="22"/>
          <w:szCs w:val="22"/>
          <w:lang w:val="en-GB"/>
        </w:rPr>
      </w:pPr>
      <w:r w:rsidRPr="001E34E7">
        <w:rPr>
          <w:sz w:val="22"/>
          <w:szCs w:val="22"/>
          <w:lang w:val="en-GB"/>
        </w:rPr>
        <w:lastRenderedPageBreak/>
        <w:t>A</w:t>
      </w:r>
      <w:r w:rsidR="00E71AD8">
        <w:rPr>
          <w:sz w:val="22"/>
          <w:szCs w:val="22"/>
          <w:lang w:val="en-GB"/>
        </w:rPr>
        <w:t>n</w:t>
      </w:r>
      <w:r w:rsidRPr="001E34E7">
        <w:rPr>
          <w:sz w:val="22"/>
          <w:szCs w:val="22"/>
          <w:lang w:val="en-GB"/>
        </w:rPr>
        <w:t>nex 1</w:t>
      </w:r>
    </w:p>
    <w:p w:rsidR="009B6A7B" w:rsidRPr="001E34E7" w:rsidRDefault="00351D42">
      <w:pPr>
        <w:pStyle w:val="BodyText"/>
        <w:shd w:val="clear" w:color="auto" w:fill="auto"/>
        <w:spacing w:after="220" w:line="240" w:lineRule="auto"/>
        <w:ind w:left="7700"/>
        <w:rPr>
          <w:sz w:val="22"/>
          <w:szCs w:val="22"/>
          <w:lang w:val="en-GB"/>
        </w:rPr>
      </w:pPr>
      <w:r w:rsidRPr="001E34E7">
        <w:rPr>
          <w:sz w:val="22"/>
          <w:szCs w:val="22"/>
          <w:lang w:val="en-GB"/>
        </w:rPr>
        <w:t>AP</w:t>
      </w:r>
      <w:r w:rsidR="00E71AD8">
        <w:rPr>
          <w:sz w:val="22"/>
          <w:szCs w:val="22"/>
          <w:lang w:val="en-GB"/>
        </w:rPr>
        <w:t>P</w:t>
      </w:r>
      <w:r w:rsidRPr="001E34E7">
        <w:rPr>
          <w:sz w:val="22"/>
          <w:szCs w:val="22"/>
          <w:lang w:val="en-GB"/>
        </w:rPr>
        <w:t>RO</w:t>
      </w:r>
      <w:r w:rsidR="00E71AD8">
        <w:rPr>
          <w:sz w:val="22"/>
          <w:szCs w:val="22"/>
          <w:lang w:val="en-GB"/>
        </w:rPr>
        <w:t>VED</w:t>
      </w:r>
    </w:p>
    <w:p w:rsidR="009B6A7B" w:rsidRPr="001E34E7" w:rsidRDefault="00351D42">
      <w:pPr>
        <w:pStyle w:val="BodyText"/>
        <w:shd w:val="clear" w:color="auto" w:fill="auto"/>
        <w:spacing w:after="1080" w:line="240" w:lineRule="auto"/>
        <w:jc w:val="right"/>
        <w:rPr>
          <w:sz w:val="22"/>
          <w:szCs w:val="22"/>
          <w:lang w:val="en-GB"/>
        </w:rPr>
      </w:pPr>
      <w:r w:rsidRPr="001E34E7">
        <w:rPr>
          <w:sz w:val="22"/>
          <w:szCs w:val="22"/>
          <w:lang w:val="en-GB"/>
        </w:rPr>
        <w:t>DIRECTOR GENERAL</w:t>
      </w:r>
    </w:p>
    <w:p w:rsidR="009B6A7B" w:rsidRPr="001E34E7" w:rsidRDefault="00E306C0" w:rsidP="00E306C0">
      <w:pPr>
        <w:pStyle w:val="Heading20"/>
        <w:keepNext/>
        <w:keepLines/>
        <w:shd w:val="clear" w:color="auto" w:fill="auto"/>
        <w:tabs>
          <w:tab w:val="left" w:leader="dot" w:pos="4973"/>
        </w:tabs>
        <w:rPr>
          <w:sz w:val="22"/>
          <w:szCs w:val="22"/>
          <w:lang w:val="en-GB"/>
        </w:rPr>
      </w:pPr>
      <w:bookmarkStart w:id="9" w:name="bookmark22"/>
      <w:bookmarkStart w:id="10" w:name="bookmark23"/>
      <w:r w:rsidRPr="00E306C0">
        <w:rPr>
          <w:sz w:val="22"/>
          <w:szCs w:val="22"/>
          <w:lang w:val="en-GB"/>
        </w:rPr>
        <w:t>Annual Integrity Incident Assessment Report for SNTGN TRANSGAZ SA for the year</w:t>
      </w:r>
      <w:r>
        <w:rPr>
          <w:sz w:val="22"/>
          <w:szCs w:val="22"/>
          <w:lang w:val="en-GB"/>
        </w:rPr>
        <w:t>……………</w:t>
      </w:r>
      <w:proofErr w:type="gramStart"/>
      <w:r>
        <w:rPr>
          <w:sz w:val="22"/>
          <w:szCs w:val="22"/>
          <w:lang w:val="en-GB"/>
        </w:rPr>
        <w:t>…</w:t>
      </w:r>
      <w:bookmarkEnd w:id="9"/>
      <w:bookmarkEnd w:id="10"/>
      <w:r>
        <w:rPr>
          <w:sz w:val="22"/>
          <w:szCs w:val="22"/>
          <w:lang w:val="en-GB"/>
        </w:rPr>
        <w:t>..</w:t>
      </w:r>
      <w:proofErr w:type="gramEnd"/>
    </w:p>
    <w:p w:rsidR="00E306C0" w:rsidRPr="00E306C0" w:rsidRDefault="00351D42" w:rsidP="00E306C0">
      <w:pPr>
        <w:rPr>
          <w:rFonts w:ascii="Arial Narrow" w:eastAsia="Arial Narrow" w:hAnsi="Arial Narrow" w:cs="Arial Narrow"/>
          <w:b/>
          <w:bCs/>
          <w:sz w:val="22"/>
          <w:szCs w:val="22"/>
          <w:lang w:val="en-GB"/>
        </w:rPr>
      </w:pPr>
      <w:r w:rsidRPr="001E34E7">
        <w:rPr>
          <w:b/>
          <w:bCs/>
          <w:sz w:val="22"/>
          <w:szCs w:val="22"/>
          <w:lang w:val="en-GB"/>
        </w:rPr>
        <w:t xml:space="preserve">I. </w:t>
      </w:r>
      <w:r w:rsidR="00E306C0" w:rsidRPr="00E306C0">
        <w:rPr>
          <w:rFonts w:ascii="Arial Narrow" w:eastAsia="Arial Narrow" w:hAnsi="Arial Narrow" w:cs="Arial Narrow"/>
          <w:b/>
          <w:bCs/>
          <w:sz w:val="22"/>
          <w:szCs w:val="22"/>
          <w:lang w:val="en-GB"/>
        </w:rPr>
        <w:t>Integrity incidents</w:t>
      </w:r>
    </w:p>
    <w:tbl>
      <w:tblPr>
        <w:tblOverlap w:val="never"/>
        <w:tblW w:w="9235" w:type="dxa"/>
        <w:jc w:val="center"/>
        <w:tblLayout w:type="fixed"/>
        <w:tblCellMar>
          <w:left w:w="10" w:type="dxa"/>
          <w:right w:w="10" w:type="dxa"/>
        </w:tblCellMar>
        <w:tblLook w:val="0000" w:firstRow="0" w:lastRow="0" w:firstColumn="0" w:lastColumn="0" w:noHBand="0" w:noVBand="0"/>
      </w:tblPr>
      <w:tblGrid>
        <w:gridCol w:w="2002"/>
        <w:gridCol w:w="5515"/>
        <w:gridCol w:w="1718"/>
      </w:tblGrid>
      <w:tr w:rsidR="009B6A7B" w:rsidRPr="008842F5" w:rsidTr="00E306C0">
        <w:trPr>
          <w:trHeight w:hRule="exact" w:val="326"/>
          <w:jc w:val="center"/>
        </w:trPr>
        <w:tc>
          <w:tcPr>
            <w:tcW w:w="7517" w:type="dxa"/>
            <w:gridSpan w:val="2"/>
            <w:tcBorders>
              <w:top w:val="single" w:sz="4" w:space="0" w:color="auto"/>
              <w:left w:val="single" w:sz="4" w:space="0" w:color="auto"/>
            </w:tcBorders>
            <w:shd w:val="clear" w:color="auto" w:fill="FFFFFF"/>
            <w:vAlign w:val="bottom"/>
          </w:tcPr>
          <w:p w:rsidR="008842F5" w:rsidRPr="008842F5" w:rsidRDefault="008842F5" w:rsidP="008842F5">
            <w:pPr>
              <w:rPr>
                <w:rFonts w:ascii="Arial Narrow" w:eastAsia="Arial Narrow" w:hAnsi="Arial Narrow" w:cs="Arial Narrow"/>
                <w:sz w:val="22"/>
                <w:szCs w:val="22"/>
                <w:lang w:val="fr-FR"/>
              </w:rPr>
            </w:pPr>
            <w:r w:rsidRPr="008842F5">
              <w:rPr>
                <w:rFonts w:ascii="Arial Narrow" w:eastAsia="Arial Narrow" w:hAnsi="Arial Narrow" w:cs="Arial Narrow"/>
                <w:sz w:val="22"/>
                <w:szCs w:val="22"/>
                <w:lang w:val="fr-FR"/>
              </w:rPr>
              <w:t xml:space="preserve">Total </w:t>
            </w:r>
            <w:proofErr w:type="spellStart"/>
            <w:r w:rsidRPr="008842F5">
              <w:rPr>
                <w:rFonts w:ascii="Arial Narrow" w:eastAsia="Arial Narrow" w:hAnsi="Arial Narrow" w:cs="Arial Narrow"/>
                <w:sz w:val="22"/>
                <w:szCs w:val="22"/>
                <w:lang w:val="fr-FR"/>
              </w:rPr>
              <w:t>number</w:t>
            </w:r>
            <w:proofErr w:type="spellEnd"/>
            <w:r w:rsidRPr="008842F5">
              <w:rPr>
                <w:rFonts w:ascii="Arial Narrow" w:eastAsia="Arial Narrow" w:hAnsi="Arial Narrow" w:cs="Arial Narrow"/>
                <w:sz w:val="22"/>
                <w:szCs w:val="22"/>
                <w:lang w:val="fr-FR"/>
              </w:rPr>
              <w:t xml:space="preserve"> of </w:t>
            </w:r>
            <w:proofErr w:type="spellStart"/>
            <w:r w:rsidRPr="008842F5">
              <w:rPr>
                <w:rFonts w:ascii="Arial Narrow" w:eastAsia="Arial Narrow" w:hAnsi="Arial Narrow" w:cs="Arial Narrow"/>
                <w:sz w:val="22"/>
                <w:szCs w:val="22"/>
                <w:lang w:val="fr-FR"/>
              </w:rPr>
              <w:t>integrity</w:t>
            </w:r>
            <w:proofErr w:type="spellEnd"/>
            <w:r w:rsidRPr="008842F5">
              <w:rPr>
                <w:rFonts w:ascii="Arial Narrow" w:eastAsia="Arial Narrow" w:hAnsi="Arial Narrow" w:cs="Arial Narrow"/>
                <w:sz w:val="22"/>
                <w:szCs w:val="22"/>
                <w:lang w:val="fr-FR"/>
              </w:rPr>
              <w:t xml:space="preserve"> incidents</w:t>
            </w:r>
          </w:p>
          <w:p w:rsidR="009B6A7B" w:rsidRPr="008842F5" w:rsidRDefault="009B6A7B">
            <w:pPr>
              <w:pStyle w:val="Other0"/>
              <w:shd w:val="clear" w:color="auto" w:fill="auto"/>
              <w:spacing w:after="0" w:line="240" w:lineRule="auto"/>
              <w:rPr>
                <w:sz w:val="22"/>
                <w:szCs w:val="22"/>
                <w:lang w:val="fr-FR"/>
              </w:rPr>
            </w:pPr>
          </w:p>
        </w:tc>
        <w:tc>
          <w:tcPr>
            <w:tcW w:w="1718" w:type="dxa"/>
            <w:tcBorders>
              <w:top w:val="single" w:sz="4" w:space="0" w:color="auto"/>
              <w:left w:val="single" w:sz="4" w:space="0" w:color="auto"/>
              <w:right w:val="single" w:sz="4" w:space="0" w:color="auto"/>
            </w:tcBorders>
            <w:shd w:val="clear" w:color="auto" w:fill="FFFFFF"/>
          </w:tcPr>
          <w:p w:rsidR="009B6A7B" w:rsidRPr="008842F5" w:rsidRDefault="009B6A7B">
            <w:pPr>
              <w:rPr>
                <w:sz w:val="22"/>
                <w:szCs w:val="22"/>
                <w:lang w:val="fr-FR"/>
              </w:rPr>
            </w:pPr>
          </w:p>
        </w:tc>
      </w:tr>
      <w:tr w:rsidR="009B6A7B" w:rsidRPr="001E34E7" w:rsidTr="00E306C0">
        <w:trPr>
          <w:trHeight w:hRule="exact" w:val="1003"/>
          <w:jc w:val="center"/>
        </w:trPr>
        <w:tc>
          <w:tcPr>
            <w:tcW w:w="2002" w:type="dxa"/>
            <w:vMerge w:val="restart"/>
            <w:tcBorders>
              <w:top w:val="single" w:sz="4" w:space="0" w:color="auto"/>
              <w:left w:val="single" w:sz="4" w:space="0" w:color="auto"/>
            </w:tcBorders>
            <w:shd w:val="clear" w:color="auto" w:fill="FFFFFF"/>
            <w:vAlign w:val="center"/>
          </w:tcPr>
          <w:p w:rsidR="0042403E" w:rsidRPr="0042403E" w:rsidRDefault="0042403E" w:rsidP="0042403E">
            <w:pPr>
              <w:rPr>
                <w:rFonts w:ascii="Arial Narrow" w:eastAsia="Arial Narrow" w:hAnsi="Arial Narrow" w:cs="Arial Narrow"/>
                <w:sz w:val="22"/>
                <w:szCs w:val="22"/>
                <w:lang w:val="en-GB"/>
              </w:rPr>
            </w:pPr>
            <w:r w:rsidRPr="0042403E">
              <w:rPr>
                <w:rFonts w:ascii="Arial Narrow" w:eastAsia="Arial Narrow" w:hAnsi="Arial Narrow" w:cs="Arial Narrow"/>
                <w:sz w:val="22"/>
                <w:szCs w:val="22"/>
                <w:lang w:val="en-GB"/>
              </w:rPr>
              <w:t xml:space="preserve">Type of </w:t>
            </w:r>
            <w:r w:rsidR="00CE6E82">
              <w:rPr>
                <w:rFonts w:ascii="Arial Narrow" w:eastAsia="Arial Narrow" w:hAnsi="Arial Narrow" w:cs="Arial Narrow"/>
                <w:sz w:val="22"/>
                <w:szCs w:val="22"/>
                <w:lang w:val="en-GB"/>
              </w:rPr>
              <w:t>offences</w:t>
            </w:r>
          </w:p>
          <w:p w:rsidR="009B6A7B" w:rsidRPr="001E34E7" w:rsidRDefault="009B6A7B">
            <w:pPr>
              <w:pStyle w:val="Other0"/>
              <w:shd w:val="clear" w:color="auto" w:fill="auto"/>
              <w:spacing w:after="0" w:line="240" w:lineRule="auto"/>
              <w:ind w:firstLine="400"/>
              <w:rPr>
                <w:sz w:val="22"/>
                <w:szCs w:val="22"/>
                <w:lang w:val="en-GB"/>
              </w:rPr>
            </w:pPr>
          </w:p>
        </w:tc>
        <w:tc>
          <w:tcPr>
            <w:tcW w:w="5515" w:type="dxa"/>
            <w:tcBorders>
              <w:top w:val="single" w:sz="4" w:space="0" w:color="auto"/>
              <w:left w:val="single" w:sz="4" w:space="0" w:color="auto"/>
            </w:tcBorders>
            <w:shd w:val="clear" w:color="auto" w:fill="FFFFFF"/>
            <w:vAlign w:val="bottom"/>
          </w:tcPr>
          <w:p w:rsidR="009B6A7B" w:rsidRPr="001E34E7" w:rsidRDefault="0042403E">
            <w:pPr>
              <w:pStyle w:val="Other0"/>
              <w:shd w:val="clear" w:color="auto" w:fill="auto"/>
              <w:spacing w:after="0" w:line="286" w:lineRule="auto"/>
              <w:rPr>
                <w:sz w:val="22"/>
                <w:szCs w:val="22"/>
                <w:lang w:val="en-GB"/>
              </w:rPr>
            </w:pPr>
            <w:r w:rsidRPr="0042403E">
              <w:rPr>
                <w:sz w:val="22"/>
                <w:szCs w:val="22"/>
                <w:lang w:val="en-GB"/>
              </w:rPr>
              <w:t>No. of breaches of the rules of ethics or similar provisions designed to protect the integrity of public office</w:t>
            </w:r>
          </w:p>
        </w:tc>
        <w:tc>
          <w:tcPr>
            <w:tcW w:w="1718" w:type="dxa"/>
            <w:tcBorders>
              <w:top w:val="single" w:sz="4" w:space="0" w:color="auto"/>
              <w:left w:val="single" w:sz="4" w:space="0" w:color="auto"/>
              <w:right w:val="single" w:sz="4" w:space="0" w:color="auto"/>
            </w:tcBorders>
            <w:shd w:val="clear" w:color="auto" w:fill="FFFFFF"/>
          </w:tcPr>
          <w:p w:rsidR="009B6A7B" w:rsidRPr="001E34E7" w:rsidRDefault="009B6A7B">
            <w:pPr>
              <w:rPr>
                <w:sz w:val="22"/>
                <w:szCs w:val="22"/>
                <w:lang w:val="en-GB"/>
              </w:rPr>
            </w:pPr>
          </w:p>
        </w:tc>
      </w:tr>
      <w:tr w:rsidR="009B6A7B" w:rsidRPr="001E34E7" w:rsidTr="00E306C0">
        <w:trPr>
          <w:trHeight w:hRule="exact" w:val="854"/>
          <w:jc w:val="center"/>
        </w:trPr>
        <w:tc>
          <w:tcPr>
            <w:tcW w:w="2002" w:type="dxa"/>
            <w:vMerge/>
            <w:tcBorders>
              <w:left w:val="single" w:sz="4" w:space="0" w:color="auto"/>
            </w:tcBorders>
            <w:shd w:val="clear" w:color="auto" w:fill="FFFFFF"/>
            <w:vAlign w:val="center"/>
          </w:tcPr>
          <w:p w:rsidR="009B6A7B" w:rsidRPr="001E34E7" w:rsidRDefault="009B6A7B">
            <w:pPr>
              <w:rPr>
                <w:sz w:val="22"/>
                <w:szCs w:val="22"/>
                <w:lang w:val="en-GB"/>
              </w:rPr>
            </w:pPr>
          </w:p>
        </w:tc>
        <w:tc>
          <w:tcPr>
            <w:tcW w:w="5515" w:type="dxa"/>
            <w:tcBorders>
              <w:top w:val="single" w:sz="4" w:space="0" w:color="auto"/>
              <w:left w:val="single" w:sz="4" w:space="0" w:color="auto"/>
            </w:tcBorders>
            <w:shd w:val="clear" w:color="auto" w:fill="FFFFFF"/>
          </w:tcPr>
          <w:p w:rsidR="009B6A7B" w:rsidRPr="001E34E7" w:rsidRDefault="0042403E">
            <w:pPr>
              <w:pStyle w:val="Other0"/>
              <w:shd w:val="clear" w:color="auto" w:fill="auto"/>
              <w:spacing w:after="0" w:line="288" w:lineRule="auto"/>
              <w:rPr>
                <w:sz w:val="22"/>
                <w:szCs w:val="22"/>
                <w:lang w:val="en-GB"/>
              </w:rPr>
            </w:pPr>
            <w:r w:rsidRPr="0042403E">
              <w:rPr>
                <w:sz w:val="22"/>
                <w:szCs w:val="22"/>
                <w:lang w:val="en-GB"/>
              </w:rPr>
              <w:t>No. of corruption offences or acts related to non-compliance with the regime of interdictions, incompatibilities, conflict of interest or declaration of assets</w:t>
            </w:r>
          </w:p>
        </w:tc>
        <w:tc>
          <w:tcPr>
            <w:tcW w:w="1718" w:type="dxa"/>
            <w:tcBorders>
              <w:top w:val="single" w:sz="4" w:space="0" w:color="auto"/>
              <w:left w:val="single" w:sz="4" w:space="0" w:color="auto"/>
              <w:right w:val="single" w:sz="4" w:space="0" w:color="auto"/>
            </w:tcBorders>
            <w:shd w:val="clear" w:color="auto" w:fill="FFFFFF"/>
          </w:tcPr>
          <w:p w:rsidR="009B6A7B" w:rsidRPr="001E34E7" w:rsidRDefault="009B6A7B">
            <w:pPr>
              <w:rPr>
                <w:sz w:val="22"/>
                <w:szCs w:val="22"/>
                <w:lang w:val="en-GB"/>
              </w:rPr>
            </w:pPr>
          </w:p>
        </w:tc>
      </w:tr>
      <w:tr w:rsidR="009B6A7B" w:rsidRPr="001E34E7" w:rsidTr="00E306C0">
        <w:trPr>
          <w:trHeight w:hRule="exact" w:val="835"/>
          <w:jc w:val="center"/>
        </w:trPr>
        <w:tc>
          <w:tcPr>
            <w:tcW w:w="2002" w:type="dxa"/>
            <w:vMerge/>
            <w:tcBorders>
              <w:left w:val="single" w:sz="4" w:space="0" w:color="auto"/>
            </w:tcBorders>
            <w:shd w:val="clear" w:color="auto" w:fill="FFFFFF"/>
            <w:vAlign w:val="center"/>
          </w:tcPr>
          <w:p w:rsidR="009B6A7B" w:rsidRPr="001E34E7" w:rsidRDefault="009B6A7B">
            <w:pPr>
              <w:rPr>
                <w:sz w:val="22"/>
                <w:szCs w:val="22"/>
                <w:lang w:val="en-GB"/>
              </w:rPr>
            </w:pPr>
          </w:p>
        </w:tc>
        <w:tc>
          <w:tcPr>
            <w:tcW w:w="5515" w:type="dxa"/>
            <w:tcBorders>
              <w:top w:val="single" w:sz="4" w:space="0" w:color="auto"/>
              <w:left w:val="single" w:sz="4" w:space="0" w:color="auto"/>
            </w:tcBorders>
            <w:shd w:val="clear" w:color="auto" w:fill="FFFFFF"/>
            <w:vAlign w:val="bottom"/>
          </w:tcPr>
          <w:p w:rsidR="009B6A7B" w:rsidRPr="001E34E7" w:rsidRDefault="0042403E">
            <w:pPr>
              <w:pStyle w:val="Other0"/>
              <w:shd w:val="clear" w:color="auto" w:fill="auto"/>
              <w:spacing w:after="0" w:line="286" w:lineRule="auto"/>
              <w:rPr>
                <w:sz w:val="22"/>
                <w:szCs w:val="22"/>
                <w:lang w:val="en-GB"/>
              </w:rPr>
            </w:pPr>
            <w:r w:rsidRPr="0042403E">
              <w:rPr>
                <w:sz w:val="22"/>
                <w:szCs w:val="22"/>
                <w:lang w:val="en-GB"/>
              </w:rPr>
              <w:t>No. of breaches of legal obligations regarding unjustified assets, conflict of interest or incompatibilities regime</w:t>
            </w:r>
          </w:p>
        </w:tc>
        <w:tc>
          <w:tcPr>
            <w:tcW w:w="1718" w:type="dxa"/>
            <w:tcBorders>
              <w:top w:val="single" w:sz="4" w:space="0" w:color="auto"/>
              <w:left w:val="single" w:sz="4" w:space="0" w:color="auto"/>
              <w:right w:val="single" w:sz="4" w:space="0" w:color="auto"/>
            </w:tcBorders>
            <w:shd w:val="clear" w:color="auto" w:fill="FFFFFF"/>
          </w:tcPr>
          <w:p w:rsidR="009B6A7B" w:rsidRPr="001E34E7" w:rsidRDefault="009B6A7B">
            <w:pPr>
              <w:rPr>
                <w:sz w:val="22"/>
                <w:szCs w:val="22"/>
                <w:lang w:val="en-GB"/>
              </w:rPr>
            </w:pPr>
          </w:p>
        </w:tc>
      </w:tr>
      <w:tr w:rsidR="009B6A7B" w:rsidRPr="001E34E7" w:rsidTr="00E306C0">
        <w:trPr>
          <w:trHeight w:hRule="exact" w:val="605"/>
          <w:jc w:val="center"/>
        </w:trPr>
        <w:tc>
          <w:tcPr>
            <w:tcW w:w="7517" w:type="dxa"/>
            <w:gridSpan w:val="2"/>
            <w:tcBorders>
              <w:top w:val="single" w:sz="4" w:space="0" w:color="auto"/>
              <w:left w:val="single" w:sz="4" w:space="0" w:color="auto"/>
            </w:tcBorders>
            <w:shd w:val="clear" w:color="auto" w:fill="FFFFFF"/>
            <w:vAlign w:val="bottom"/>
          </w:tcPr>
          <w:p w:rsidR="009B6A7B" w:rsidRPr="001E34E7" w:rsidRDefault="00AE374E">
            <w:pPr>
              <w:pStyle w:val="Other0"/>
              <w:shd w:val="clear" w:color="auto" w:fill="auto"/>
              <w:spacing w:after="0" w:line="276" w:lineRule="auto"/>
              <w:rPr>
                <w:sz w:val="22"/>
                <w:szCs w:val="22"/>
                <w:lang w:val="en-GB"/>
              </w:rPr>
            </w:pPr>
            <w:r w:rsidRPr="00AE374E">
              <w:rPr>
                <w:sz w:val="22"/>
                <w:szCs w:val="22"/>
                <w:lang w:val="en-GB"/>
              </w:rPr>
              <w:t>Department/Division/Unit where integrity incidents occurred</w:t>
            </w:r>
          </w:p>
        </w:tc>
        <w:tc>
          <w:tcPr>
            <w:tcW w:w="1718" w:type="dxa"/>
            <w:tcBorders>
              <w:top w:val="single" w:sz="4" w:space="0" w:color="auto"/>
              <w:left w:val="single" w:sz="4" w:space="0" w:color="auto"/>
              <w:right w:val="single" w:sz="4" w:space="0" w:color="auto"/>
            </w:tcBorders>
            <w:shd w:val="clear" w:color="auto" w:fill="FFFFFF"/>
          </w:tcPr>
          <w:p w:rsidR="009B6A7B" w:rsidRPr="001E34E7" w:rsidRDefault="009B6A7B">
            <w:pPr>
              <w:rPr>
                <w:sz w:val="22"/>
                <w:szCs w:val="22"/>
                <w:lang w:val="en-GB"/>
              </w:rPr>
            </w:pPr>
          </w:p>
        </w:tc>
      </w:tr>
      <w:tr w:rsidR="009B6A7B" w:rsidRPr="001E34E7" w:rsidTr="00E306C0">
        <w:trPr>
          <w:trHeight w:hRule="exact" w:val="542"/>
          <w:jc w:val="center"/>
        </w:trPr>
        <w:tc>
          <w:tcPr>
            <w:tcW w:w="2002" w:type="dxa"/>
            <w:vMerge w:val="restart"/>
            <w:tcBorders>
              <w:top w:val="single" w:sz="4" w:space="0" w:color="auto"/>
              <w:left w:val="single" w:sz="4" w:space="0" w:color="auto"/>
            </w:tcBorders>
            <w:shd w:val="clear" w:color="auto" w:fill="FFFFFF"/>
            <w:vAlign w:val="bottom"/>
          </w:tcPr>
          <w:p w:rsidR="009B6A7B" w:rsidRPr="001E34E7" w:rsidRDefault="0049651D">
            <w:pPr>
              <w:pStyle w:val="Other0"/>
              <w:shd w:val="clear" w:color="auto" w:fill="auto"/>
              <w:spacing w:after="0" w:line="288" w:lineRule="auto"/>
              <w:rPr>
                <w:sz w:val="22"/>
                <w:szCs w:val="22"/>
                <w:lang w:val="en-GB"/>
              </w:rPr>
            </w:pPr>
            <w:r w:rsidRPr="0049651D">
              <w:rPr>
                <w:sz w:val="22"/>
                <w:szCs w:val="22"/>
                <w:lang w:val="en-GB"/>
              </w:rPr>
              <w:t>Positions of persons who have committed integrity incidents</w:t>
            </w:r>
          </w:p>
        </w:tc>
        <w:tc>
          <w:tcPr>
            <w:tcW w:w="5515" w:type="dxa"/>
            <w:tcBorders>
              <w:top w:val="single" w:sz="4" w:space="0" w:color="auto"/>
              <w:left w:val="single" w:sz="4" w:space="0" w:color="auto"/>
            </w:tcBorders>
            <w:shd w:val="clear" w:color="auto" w:fill="FFFFFF"/>
            <w:vAlign w:val="center"/>
          </w:tcPr>
          <w:p w:rsidR="009B6A7B" w:rsidRPr="001E34E7" w:rsidRDefault="0049651D">
            <w:pPr>
              <w:pStyle w:val="Other0"/>
              <w:shd w:val="clear" w:color="auto" w:fill="auto"/>
              <w:spacing w:after="0" w:line="240" w:lineRule="auto"/>
              <w:rPr>
                <w:sz w:val="22"/>
                <w:szCs w:val="22"/>
                <w:lang w:val="en-GB"/>
              </w:rPr>
            </w:pPr>
            <w:r w:rsidRPr="0049651D">
              <w:rPr>
                <w:sz w:val="22"/>
                <w:szCs w:val="22"/>
                <w:lang w:val="en-GB"/>
              </w:rPr>
              <w:t xml:space="preserve">No. of </w:t>
            </w:r>
            <w:r w:rsidR="00CE6E82">
              <w:rPr>
                <w:sz w:val="22"/>
                <w:szCs w:val="22"/>
                <w:lang w:val="en-GB"/>
              </w:rPr>
              <w:t>offences</w:t>
            </w:r>
            <w:r w:rsidRPr="0049651D">
              <w:rPr>
                <w:sz w:val="22"/>
                <w:szCs w:val="22"/>
                <w:lang w:val="en-GB"/>
              </w:rPr>
              <w:t xml:space="preserve"> committed by persons in </w:t>
            </w:r>
            <w:r>
              <w:rPr>
                <w:sz w:val="22"/>
                <w:szCs w:val="22"/>
                <w:lang w:val="en-GB"/>
              </w:rPr>
              <w:t>management</w:t>
            </w:r>
            <w:r w:rsidRPr="0049651D">
              <w:rPr>
                <w:sz w:val="22"/>
                <w:szCs w:val="22"/>
                <w:lang w:val="en-GB"/>
              </w:rPr>
              <w:t xml:space="preserve"> positions</w:t>
            </w:r>
          </w:p>
        </w:tc>
        <w:tc>
          <w:tcPr>
            <w:tcW w:w="1718" w:type="dxa"/>
            <w:tcBorders>
              <w:top w:val="single" w:sz="4" w:space="0" w:color="auto"/>
              <w:left w:val="single" w:sz="4" w:space="0" w:color="auto"/>
              <w:right w:val="single" w:sz="4" w:space="0" w:color="auto"/>
            </w:tcBorders>
            <w:shd w:val="clear" w:color="auto" w:fill="FFFFFF"/>
          </w:tcPr>
          <w:p w:rsidR="009B6A7B" w:rsidRPr="001E34E7" w:rsidRDefault="009B6A7B">
            <w:pPr>
              <w:rPr>
                <w:sz w:val="22"/>
                <w:szCs w:val="22"/>
                <w:lang w:val="en-GB"/>
              </w:rPr>
            </w:pPr>
          </w:p>
        </w:tc>
      </w:tr>
      <w:tr w:rsidR="009B6A7B" w:rsidRPr="001E34E7" w:rsidTr="00E306C0">
        <w:trPr>
          <w:trHeight w:hRule="exact" w:val="605"/>
          <w:jc w:val="center"/>
        </w:trPr>
        <w:tc>
          <w:tcPr>
            <w:tcW w:w="2002" w:type="dxa"/>
            <w:vMerge/>
            <w:tcBorders>
              <w:left w:val="single" w:sz="4" w:space="0" w:color="auto"/>
            </w:tcBorders>
            <w:shd w:val="clear" w:color="auto" w:fill="FFFFFF"/>
            <w:vAlign w:val="bottom"/>
          </w:tcPr>
          <w:p w:rsidR="009B6A7B" w:rsidRPr="001E34E7" w:rsidRDefault="009B6A7B">
            <w:pPr>
              <w:rPr>
                <w:sz w:val="22"/>
                <w:szCs w:val="22"/>
                <w:lang w:val="en-GB"/>
              </w:rPr>
            </w:pPr>
          </w:p>
        </w:tc>
        <w:tc>
          <w:tcPr>
            <w:tcW w:w="5515" w:type="dxa"/>
            <w:tcBorders>
              <w:top w:val="single" w:sz="4" w:space="0" w:color="auto"/>
              <w:left w:val="single" w:sz="4" w:space="0" w:color="auto"/>
            </w:tcBorders>
            <w:shd w:val="clear" w:color="auto" w:fill="FFFFFF"/>
            <w:vAlign w:val="center"/>
          </w:tcPr>
          <w:p w:rsidR="009B6A7B" w:rsidRPr="001E34E7" w:rsidRDefault="0049651D">
            <w:pPr>
              <w:pStyle w:val="Other0"/>
              <w:shd w:val="clear" w:color="auto" w:fill="auto"/>
              <w:spacing w:after="0" w:line="240" w:lineRule="auto"/>
              <w:rPr>
                <w:sz w:val="22"/>
                <w:szCs w:val="22"/>
                <w:lang w:val="en-GB"/>
              </w:rPr>
            </w:pPr>
            <w:r w:rsidRPr="0049651D">
              <w:rPr>
                <w:sz w:val="22"/>
                <w:szCs w:val="22"/>
                <w:lang w:val="en-GB"/>
              </w:rPr>
              <w:t>No. of offences committed by persons in executive positions</w:t>
            </w:r>
          </w:p>
        </w:tc>
        <w:tc>
          <w:tcPr>
            <w:tcW w:w="1718" w:type="dxa"/>
            <w:tcBorders>
              <w:top w:val="single" w:sz="4" w:space="0" w:color="auto"/>
              <w:left w:val="single" w:sz="4" w:space="0" w:color="auto"/>
              <w:right w:val="single" w:sz="4" w:space="0" w:color="auto"/>
            </w:tcBorders>
            <w:shd w:val="clear" w:color="auto" w:fill="FFFFFF"/>
          </w:tcPr>
          <w:p w:rsidR="009B6A7B" w:rsidRPr="001E34E7" w:rsidRDefault="009B6A7B">
            <w:pPr>
              <w:rPr>
                <w:sz w:val="22"/>
                <w:szCs w:val="22"/>
                <w:lang w:val="en-GB"/>
              </w:rPr>
            </w:pPr>
          </w:p>
        </w:tc>
      </w:tr>
      <w:tr w:rsidR="009B6A7B" w:rsidRPr="001E34E7" w:rsidTr="00E306C0">
        <w:trPr>
          <w:trHeight w:hRule="exact" w:val="312"/>
          <w:jc w:val="center"/>
        </w:trPr>
        <w:tc>
          <w:tcPr>
            <w:tcW w:w="2002" w:type="dxa"/>
            <w:vMerge w:val="restart"/>
            <w:tcBorders>
              <w:top w:val="single" w:sz="4" w:space="0" w:color="auto"/>
              <w:left w:val="single" w:sz="4" w:space="0" w:color="auto"/>
            </w:tcBorders>
            <w:shd w:val="clear" w:color="auto" w:fill="FFFFFF"/>
            <w:vAlign w:val="center"/>
          </w:tcPr>
          <w:p w:rsidR="009B6A7B" w:rsidRPr="001E34E7" w:rsidRDefault="0049651D">
            <w:pPr>
              <w:pStyle w:val="Other0"/>
              <w:shd w:val="clear" w:color="auto" w:fill="auto"/>
              <w:spacing w:after="0" w:line="286" w:lineRule="auto"/>
              <w:rPr>
                <w:sz w:val="22"/>
                <w:szCs w:val="22"/>
                <w:lang w:val="en-GB"/>
              </w:rPr>
            </w:pPr>
            <w:r w:rsidRPr="0049651D">
              <w:rPr>
                <w:sz w:val="22"/>
                <w:szCs w:val="22"/>
                <w:lang w:val="en-GB"/>
              </w:rPr>
              <w:t>Number of sanctions applied</w:t>
            </w:r>
          </w:p>
        </w:tc>
        <w:tc>
          <w:tcPr>
            <w:tcW w:w="5515" w:type="dxa"/>
            <w:tcBorders>
              <w:top w:val="single" w:sz="4" w:space="0" w:color="auto"/>
              <w:left w:val="single" w:sz="4" w:space="0" w:color="auto"/>
            </w:tcBorders>
            <w:shd w:val="clear" w:color="auto" w:fill="FFFFFF"/>
            <w:vAlign w:val="bottom"/>
          </w:tcPr>
          <w:p w:rsidR="009B6A7B" w:rsidRPr="001E34E7" w:rsidRDefault="00CE6E82">
            <w:pPr>
              <w:pStyle w:val="Other0"/>
              <w:shd w:val="clear" w:color="auto" w:fill="auto"/>
              <w:spacing w:after="0" w:line="240" w:lineRule="auto"/>
              <w:rPr>
                <w:sz w:val="22"/>
                <w:szCs w:val="22"/>
                <w:lang w:val="en-GB"/>
              </w:rPr>
            </w:pPr>
            <w:r w:rsidRPr="00CE6E82">
              <w:rPr>
                <w:sz w:val="22"/>
                <w:szCs w:val="22"/>
                <w:lang w:val="en-GB"/>
              </w:rPr>
              <w:t>No. of disciplinary sanctions</w:t>
            </w:r>
          </w:p>
        </w:tc>
        <w:tc>
          <w:tcPr>
            <w:tcW w:w="1718" w:type="dxa"/>
            <w:tcBorders>
              <w:top w:val="single" w:sz="4" w:space="0" w:color="auto"/>
              <w:left w:val="single" w:sz="4" w:space="0" w:color="auto"/>
              <w:right w:val="single" w:sz="4" w:space="0" w:color="auto"/>
            </w:tcBorders>
            <w:shd w:val="clear" w:color="auto" w:fill="FFFFFF"/>
          </w:tcPr>
          <w:p w:rsidR="009B6A7B" w:rsidRPr="001E34E7" w:rsidRDefault="009B6A7B">
            <w:pPr>
              <w:rPr>
                <w:sz w:val="22"/>
                <w:szCs w:val="22"/>
                <w:lang w:val="en-GB"/>
              </w:rPr>
            </w:pPr>
          </w:p>
        </w:tc>
      </w:tr>
      <w:tr w:rsidR="009B6A7B" w:rsidRPr="001E34E7" w:rsidTr="00E306C0">
        <w:trPr>
          <w:trHeight w:hRule="exact" w:val="307"/>
          <w:jc w:val="center"/>
        </w:trPr>
        <w:tc>
          <w:tcPr>
            <w:tcW w:w="2002" w:type="dxa"/>
            <w:vMerge/>
            <w:tcBorders>
              <w:left w:val="single" w:sz="4" w:space="0" w:color="auto"/>
            </w:tcBorders>
            <w:shd w:val="clear" w:color="auto" w:fill="FFFFFF"/>
            <w:vAlign w:val="center"/>
          </w:tcPr>
          <w:p w:rsidR="009B6A7B" w:rsidRPr="001E34E7" w:rsidRDefault="009B6A7B">
            <w:pPr>
              <w:rPr>
                <w:sz w:val="22"/>
                <w:szCs w:val="22"/>
                <w:lang w:val="en-GB"/>
              </w:rPr>
            </w:pPr>
          </w:p>
        </w:tc>
        <w:tc>
          <w:tcPr>
            <w:tcW w:w="5515" w:type="dxa"/>
            <w:tcBorders>
              <w:top w:val="single" w:sz="4" w:space="0" w:color="auto"/>
              <w:left w:val="single" w:sz="4" w:space="0" w:color="auto"/>
            </w:tcBorders>
            <w:shd w:val="clear" w:color="auto" w:fill="FFFFFF"/>
            <w:vAlign w:val="bottom"/>
          </w:tcPr>
          <w:p w:rsidR="009B6A7B" w:rsidRPr="001E34E7" w:rsidRDefault="00CE6E82">
            <w:pPr>
              <w:pStyle w:val="Other0"/>
              <w:shd w:val="clear" w:color="auto" w:fill="auto"/>
              <w:spacing w:after="0" w:line="240" w:lineRule="auto"/>
              <w:rPr>
                <w:sz w:val="22"/>
                <w:szCs w:val="22"/>
                <w:lang w:val="en-GB"/>
              </w:rPr>
            </w:pPr>
            <w:r w:rsidRPr="00CE6E82">
              <w:rPr>
                <w:sz w:val="22"/>
                <w:szCs w:val="22"/>
                <w:lang w:val="en-GB"/>
              </w:rPr>
              <w:t>No. of administrative sanctions</w:t>
            </w:r>
          </w:p>
        </w:tc>
        <w:tc>
          <w:tcPr>
            <w:tcW w:w="1718" w:type="dxa"/>
            <w:tcBorders>
              <w:top w:val="single" w:sz="4" w:space="0" w:color="auto"/>
              <w:left w:val="single" w:sz="4" w:space="0" w:color="auto"/>
              <w:right w:val="single" w:sz="4" w:space="0" w:color="auto"/>
            </w:tcBorders>
            <w:shd w:val="clear" w:color="auto" w:fill="FFFFFF"/>
          </w:tcPr>
          <w:p w:rsidR="009B6A7B" w:rsidRPr="001E34E7" w:rsidRDefault="009B6A7B">
            <w:pPr>
              <w:rPr>
                <w:sz w:val="22"/>
                <w:szCs w:val="22"/>
                <w:lang w:val="en-GB"/>
              </w:rPr>
            </w:pPr>
          </w:p>
        </w:tc>
      </w:tr>
      <w:tr w:rsidR="009B6A7B" w:rsidRPr="001E34E7" w:rsidTr="00E306C0">
        <w:trPr>
          <w:trHeight w:hRule="exact" w:val="307"/>
          <w:jc w:val="center"/>
        </w:trPr>
        <w:tc>
          <w:tcPr>
            <w:tcW w:w="2002" w:type="dxa"/>
            <w:vMerge/>
            <w:tcBorders>
              <w:left w:val="single" w:sz="4" w:space="0" w:color="auto"/>
            </w:tcBorders>
            <w:shd w:val="clear" w:color="auto" w:fill="FFFFFF"/>
            <w:vAlign w:val="center"/>
          </w:tcPr>
          <w:p w:rsidR="009B6A7B" w:rsidRPr="001E34E7" w:rsidRDefault="009B6A7B">
            <w:pPr>
              <w:rPr>
                <w:sz w:val="22"/>
                <w:szCs w:val="22"/>
                <w:lang w:val="en-GB"/>
              </w:rPr>
            </w:pPr>
          </w:p>
        </w:tc>
        <w:tc>
          <w:tcPr>
            <w:tcW w:w="5515" w:type="dxa"/>
            <w:tcBorders>
              <w:top w:val="single" w:sz="4" w:space="0" w:color="auto"/>
              <w:left w:val="single" w:sz="4" w:space="0" w:color="auto"/>
            </w:tcBorders>
            <w:shd w:val="clear" w:color="auto" w:fill="FFFFFF"/>
            <w:vAlign w:val="bottom"/>
          </w:tcPr>
          <w:p w:rsidR="009B6A7B" w:rsidRPr="001E34E7" w:rsidRDefault="00CE6E82">
            <w:pPr>
              <w:pStyle w:val="Other0"/>
              <w:shd w:val="clear" w:color="auto" w:fill="auto"/>
              <w:spacing w:after="0" w:line="240" w:lineRule="auto"/>
              <w:rPr>
                <w:sz w:val="22"/>
                <w:szCs w:val="22"/>
                <w:lang w:val="en-GB"/>
              </w:rPr>
            </w:pPr>
            <w:r w:rsidRPr="00CE6E82">
              <w:rPr>
                <w:sz w:val="22"/>
                <w:szCs w:val="22"/>
                <w:lang w:val="en-GB"/>
              </w:rPr>
              <w:t>No. of criminal sanctions</w:t>
            </w:r>
          </w:p>
        </w:tc>
        <w:tc>
          <w:tcPr>
            <w:tcW w:w="1718" w:type="dxa"/>
            <w:tcBorders>
              <w:top w:val="single" w:sz="4" w:space="0" w:color="auto"/>
              <w:left w:val="single" w:sz="4" w:space="0" w:color="auto"/>
              <w:right w:val="single" w:sz="4" w:space="0" w:color="auto"/>
            </w:tcBorders>
            <w:shd w:val="clear" w:color="auto" w:fill="FFFFFF"/>
          </w:tcPr>
          <w:p w:rsidR="009B6A7B" w:rsidRPr="001E34E7" w:rsidRDefault="009B6A7B">
            <w:pPr>
              <w:rPr>
                <w:sz w:val="22"/>
                <w:szCs w:val="22"/>
                <w:lang w:val="en-GB"/>
              </w:rPr>
            </w:pPr>
          </w:p>
        </w:tc>
      </w:tr>
      <w:tr w:rsidR="009B6A7B" w:rsidRPr="001E34E7" w:rsidTr="00E306C0">
        <w:trPr>
          <w:trHeight w:hRule="exact" w:val="619"/>
          <w:jc w:val="center"/>
        </w:trPr>
        <w:tc>
          <w:tcPr>
            <w:tcW w:w="7517" w:type="dxa"/>
            <w:gridSpan w:val="2"/>
            <w:tcBorders>
              <w:top w:val="single" w:sz="4" w:space="0" w:color="auto"/>
              <w:left w:val="single" w:sz="4" w:space="0" w:color="auto"/>
              <w:bottom w:val="single" w:sz="4" w:space="0" w:color="auto"/>
            </w:tcBorders>
            <w:shd w:val="clear" w:color="auto" w:fill="FFFFFF"/>
            <w:vAlign w:val="bottom"/>
          </w:tcPr>
          <w:p w:rsidR="009B6A7B" w:rsidRPr="001E34E7" w:rsidRDefault="00CE6E82">
            <w:pPr>
              <w:pStyle w:val="Other0"/>
              <w:shd w:val="clear" w:color="auto" w:fill="auto"/>
              <w:spacing w:after="0" w:line="286" w:lineRule="auto"/>
              <w:rPr>
                <w:sz w:val="22"/>
                <w:szCs w:val="22"/>
                <w:lang w:val="en-GB"/>
              </w:rPr>
            </w:pPr>
            <w:r w:rsidRPr="00CE6E82">
              <w:rPr>
                <w:sz w:val="22"/>
                <w:szCs w:val="22"/>
                <w:lang w:val="en-GB"/>
              </w:rPr>
              <w:t>Average length of procedures for investigating disciplinary offences</w:t>
            </w: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B6A7B" w:rsidRPr="001E34E7" w:rsidRDefault="009B6A7B">
            <w:pPr>
              <w:rPr>
                <w:sz w:val="22"/>
                <w:szCs w:val="22"/>
                <w:lang w:val="en-GB"/>
              </w:rPr>
            </w:pPr>
          </w:p>
        </w:tc>
      </w:tr>
    </w:tbl>
    <w:p w:rsidR="009B6A7B" w:rsidRPr="001E34E7" w:rsidRDefault="009B6A7B">
      <w:pPr>
        <w:spacing w:after="939" w:line="1" w:lineRule="exact"/>
        <w:rPr>
          <w:sz w:val="22"/>
          <w:szCs w:val="22"/>
          <w:lang w:val="en-GB"/>
        </w:rPr>
      </w:pPr>
    </w:p>
    <w:p w:rsidR="009B6A7B" w:rsidRPr="001E34E7" w:rsidRDefault="00351D42">
      <w:pPr>
        <w:pStyle w:val="Tablecaption0"/>
        <w:shd w:val="clear" w:color="auto" w:fill="auto"/>
        <w:ind w:left="96"/>
        <w:rPr>
          <w:sz w:val="22"/>
          <w:szCs w:val="22"/>
          <w:lang w:val="en-GB"/>
        </w:rPr>
      </w:pPr>
      <w:r w:rsidRPr="001E34E7">
        <w:rPr>
          <w:sz w:val="22"/>
          <w:szCs w:val="22"/>
          <w:lang w:val="en-GB"/>
        </w:rPr>
        <w:t xml:space="preserve">II. </w:t>
      </w:r>
      <w:r w:rsidR="00CE6E82" w:rsidRPr="00CE6E82">
        <w:rPr>
          <w:sz w:val="22"/>
          <w:szCs w:val="22"/>
          <w:lang w:val="en-GB"/>
        </w:rPr>
        <w:t>Prevention and/or control measures</w:t>
      </w:r>
    </w:p>
    <w:tbl>
      <w:tblPr>
        <w:tblOverlap w:val="never"/>
        <w:tblW w:w="0" w:type="auto"/>
        <w:jc w:val="center"/>
        <w:tblLayout w:type="fixed"/>
        <w:tblCellMar>
          <w:left w:w="10" w:type="dxa"/>
          <w:right w:w="10" w:type="dxa"/>
        </w:tblCellMar>
        <w:tblLook w:val="0000" w:firstRow="0" w:lastRow="0" w:firstColumn="0" w:lastColumn="0" w:noHBand="0" w:noVBand="0"/>
      </w:tblPr>
      <w:tblGrid>
        <w:gridCol w:w="6528"/>
        <w:gridCol w:w="2707"/>
      </w:tblGrid>
      <w:tr w:rsidR="009B6A7B" w:rsidRPr="001E34E7">
        <w:trPr>
          <w:trHeight w:hRule="exact" w:val="317"/>
          <w:jc w:val="center"/>
        </w:trPr>
        <w:tc>
          <w:tcPr>
            <w:tcW w:w="9235" w:type="dxa"/>
            <w:gridSpan w:val="2"/>
            <w:tcBorders>
              <w:top w:val="single" w:sz="4" w:space="0" w:color="auto"/>
              <w:left w:val="single" w:sz="4" w:space="0" w:color="auto"/>
              <w:right w:val="single" w:sz="4" w:space="0" w:color="auto"/>
            </w:tcBorders>
            <w:shd w:val="clear" w:color="auto" w:fill="FFFFFF"/>
            <w:vAlign w:val="bottom"/>
          </w:tcPr>
          <w:p w:rsidR="009B6A7B" w:rsidRPr="001E34E7" w:rsidRDefault="00CE6E82">
            <w:pPr>
              <w:pStyle w:val="Other0"/>
              <w:shd w:val="clear" w:color="auto" w:fill="auto"/>
              <w:spacing w:after="0" w:line="240" w:lineRule="auto"/>
              <w:rPr>
                <w:sz w:val="22"/>
                <w:szCs w:val="22"/>
                <w:lang w:val="en-GB"/>
              </w:rPr>
            </w:pPr>
            <w:r w:rsidRPr="00CE6E82">
              <w:rPr>
                <w:sz w:val="22"/>
                <w:szCs w:val="22"/>
                <w:lang w:val="en-GB"/>
              </w:rPr>
              <w:t>Total number of measures proposed</w:t>
            </w:r>
            <w:r w:rsidR="00351D42" w:rsidRPr="001E34E7">
              <w:rPr>
                <w:sz w:val="22"/>
                <w:szCs w:val="22"/>
                <w:lang w:val="en-GB"/>
              </w:rPr>
              <w:t>:</w:t>
            </w:r>
          </w:p>
        </w:tc>
      </w:tr>
      <w:tr w:rsidR="009B6A7B" w:rsidRPr="001E34E7">
        <w:trPr>
          <w:trHeight w:hRule="exact" w:val="307"/>
          <w:jc w:val="center"/>
        </w:trPr>
        <w:tc>
          <w:tcPr>
            <w:tcW w:w="6528" w:type="dxa"/>
            <w:tcBorders>
              <w:top w:val="single" w:sz="4" w:space="0" w:color="auto"/>
              <w:left w:val="single" w:sz="4" w:space="0" w:color="auto"/>
            </w:tcBorders>
            <w:shd w:val="clear" w:color="auto" w:fill="FFFFFF"/>
            <w:vAlign w:val="bottom"/>
          </w:tcPr>
          <w:p w:rsidR="009B6A7B" w:rsidRPr="001E34E7" w:rsidRDefault="00724E74">
            <w:pPr>
              <w:pStyle w:val="Other0"/>
              <w:shd w:val="clear" w:color="auto" w:fill="auto"/>
              <w:spacing w:after="0" w:line="240" w:lineRule="auto"/>
              <w:rPr>
                <w:sz w:val="22"/>
                <w:szCs w:val="22"/>
                <w:lang w:val="en-GB"/>
              </w:rPr>
            </w:pPr>
            <w:r w:rsidRPr="00724E74">
              <w:rPr>
                <w:sz w:val="22"/>
                <w:szCs w:val="22"/>
                <w:lang w:val="en-GB"/>
              </w:rPr>
              <w:t>Description of the measures</w:t>
            </w:r>
          </w:p>
        </w:tc>
        <w:tc>
          <w:tcPr>
            <w:tcW w:w="2707" w:type="dxa"/>
            <w:tcBorders>
              <w:top w:val="single" w:sz="4" w:space="0" w:color="auto"/>
              <w:left w:val="single" w:sz="4" w:space="0" w:color="auto"/>
              <w:right w:val="single" w:sz="4" w:space="0" w:color="auto"/>
            </w:tcBorders>
            <w:shd w:val="clear" w:color="auto" w:fill="FFFFFF"/>
            <w:vAlign w:val="bottom"/>
          </w:tcPr>
          <w:p w:rsidR="009B6A7B" w:rsidRPr="001E34E7" w:rsidRDefault="00724E74">
            <w:pPr>
              <w:pStyle w:val="Other0"/>
              <w:shd w:val="clear" w:color="auto" w:fill="auto"/>
              <w:spacing w:after="0" w:line="240" w:lineRule="auto"/>
              <w:rPr>
                <w:sz w:val="22"/>
                <w:szCs w:val="22"/>
                <w:lang w:val="en-GB"/>
              </w:rPr>
            </w:pPr>
            <w:r w:rsidRPr="00724E74">
              <w:rPr>
                <w:sz w:val="22"/>
                <w:szCs w:val="22"/>
                <w:lang w:val="en-GB"/>
              </w:rPr>
              <w:t>Implementation status</w:t>
            </w:r>
          </w:p>
        </w:tc>
      </w:tr>
      <w:tr w:rsidR="009B6A7B" w:rsidRPr="001E34E7">
        <w:trPr>
          <w:trHeight w:hRule="exact" w:val="307"/>
          <w:jc w:val="center"/>
        </w:trPr>
        <w:tc>
          <w:tcPr>
            <w:tcW w:w="6528" w:type="dxa"/>
            <w:tcBorders>
              <w:top w:val="single" w:sz="4" w:space="0" w:color="auto"/>
              <w:left w:val="single" w:sz="4" w:space="0" w:color="auto"/>
            </w:tcBorders>
            <w:shd w:val="clear" w:color="auto" w:fill="FFFFFF"/>
            <w:vAlign w:val="bottom"/>
          </w:tcPr>
          <w:p w:rsidR="009B6A7B" w:rsidRPr="001E34E7" w:rsidRDefault="00351D42">
            <w:pPr>
              <w:pStyle w:val="Other0"/>
              <w:shd w:val="clear" w:color="auto" w:fill="auto"/>
              <w:spacing w:after="0" w:line="240" w:lineRule="auto"/>
              <w:rPr>
                <w:sz w:val="22"/>
                <w:szCs w:val="22"/>
                <w:lang w:val="en-GB"/>
              </w:rPr>
            </w:pPr>
            <w:r w:rsidRPr="001E34E7">
              <w:rPr>
                <w:sz w:val="22"/>
                <w:szCs w:val="22"/>
                <w:lang w:val="en-GB"/>
              </w:rPr>
              <w:t>1.</w:t>
            </w:r>
          </w:p>
        </w:tc>
        <w:tc>
          <w:tcPr>
            <w:tcW w:w="2707" w:type="dxa"/>
            <w:tcBorders>
              <w:top w:val="single" w:sz="4" w:space="0" w:color="auto"/>
              <w:left w:val="single" w:sz="4" w:space="0" w:color="auto"/>
              <w:right w:val="single" w:sz="4" w:space="0" w:color="auto"/>
            </w:tcBorders>
            <w:shd w:val="clear" w:color="auto" w:fill="FFFFFF"/>
          </w:tcPr>
          <w:p w:rsidR="009B6A7B" w:rsidRPr="001E34E7" w:rsidRDefault="009B6A7B">
            <w:pPr>
              <w:rPr>
                <w:sz w:val="22"/>
                <w:szCs w:val="22"/>
                <w:lang w:val="en-GB"/>
              </w:rPr>
            </w:pPr>
          </w:p>
        </w:tc>
      </w:tr>
      <w:tr w:rsidR="009B6A7B" w:rsidRPr="001E34E7">
        <w:trPr>
          <w:trHeight w:hRule="exact" w:val="307"/>
          <w:jc w:val="center"/>
        </w:trPr>
        <w:tc>
          <w:tcPr>
            <w:tcW w:w="6528" w:type="dxa"/>
            <w:tcBorders>
              <w:top w:val="single" w:sz="4" w:space="0" w:color="auto"/>
              <w:left w:val="single" w:sz="4" w:space="0" w:color="auto"/>
            </w:tcBorders>
            <w:shd w:val="clear" w:color="auto" w:fill="FFFFFF"/>
            <w:vAlign w:val="bottom"/>
          </w:tcPr>
          <w:p w:rsidR="009B6A7B" w:rsidRPr="001E34E7" w:rsidRDefault="00351D42">
            <w:pPr>
              <w:pStyle w:val="Other0"/>
              <w:shd w:val="clear" w:color="auto" w:fill="auto"/>
              <w:spacing w:after="0" w:line="240" w:lineRule="auto"/>
              <w:rPr>
                <w:sz w:val="22"/>
                <w:szCs w:val="22"/>
                <w:lang w:val="en-GB"/>
              </w:rPr>
            </w:pPr>
            <w:r w:rsidRPr="001E34E7">
              <w:rPr>
                <w:sz w:val="22"/>
                <w:szCs w:val="22"/>
                <w:lang w:val="en-GB"/>
              </w:rPr>
              <w:t>2.</w:t>
            </w:r>
          </w:p>
        </w:tc>
        <w:tc>
          <w:tcPr>
            <w:tcW w:w="2707" w:type="dxa"/>
            <w:tcBorders>
              <w:top w:val="single" w:sz="4" w:space="0" w:color="auto"/>
              <w:left w:val="single" w:sz="4" w:space="0" w:color="auto"/>
              <w:right w:val="single" w:sz="4" w:space="0" w:color="auto"/>
            </w:tcBorders>
            <w:shd w:val="clear" w:color="auto" w:fill="FFFFFF"/>
          </w:tcPr>
          <w:p w:rsidR="009B6A7B" w:rsidRPr="001E34E7" w:rsidRDefault="009B6A7B">
            <w:pPr>
              <w:rPr>
                <w:sz w:val="22"/>
                <w:szCs w:val="22"/>
                <w:lang w:val="en-GB"/>
              </w:rPr>
            </w:pPr>
          </w:p>
        </w:tc>
      </w:tr>
      <w:tr w:rsidR="009B6A7B" w:rsidRPr="001E34E7">
        <w:trPr>
          <w:trHeight w:hRule="exact" w:val="317"/>
          <w:jc w:val="center"/>
        </w:trPr>
        <w:tc>
          <w:tcPr>
            <w:tcW w:w="6528" w:type="dxa"/>
            <w:tcBorders>
              <w:top w:val="single" w:sz="4" w:space="0" w:color="auto"/>
              <w:left w:val="single" w:sz="4" w:space="0" w:color="auto"/>
              <w:bottom w:val="single" w:sz="4" w:space="0" w:color="auto"/>
            </w:tcBorders>
            <w:shd w:val="clear" w:color="auto" w:fill="FFFFFF"/>
            <w:vAlign w:val="bottom"/>
          </w:tcPr>
          <w:p w:rsidR="009B6A7B" w:rsidRPr="001E34E7" w:rsidRDefault="00351D42">
            <w:pPr>
              <w:pStyle w:val="Other0"/>
              <w:shd w:val="clear" w:color="auto" w:fill="auto"/>
              <w:spacing w:after="0" w:line="240" w:lineRule="auto"/>
              <w:rPr>
                <w:sz w:val="22"/>
                <w:szCs w:val="22"/>
                <w:lang w:val="en-GB"/>
              </w:rPr>
            </w:pPr>
            <w:r w:rsidRPr="001E34E7">
              <w:rPr>
                <w:sz w:val="22"/>
                <w:szCs w:val="22"/>
                <w:lang w:val="en-GB"/>
              </w:rPr>
              <w:t>3.</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9B6A7B" w:rsidRPr="001E34E7" w:rsidRDefault="009B6A7B">
            <w:pPr>
              <w:rPr>
                <w:sz w:val="22"/>
                <w:szCs w:val="22"/>
                <w:lang w:val="en-GB"/>
              </w:rPr>
            </w:pPr>
          </w:p>
        </w:tc>
      </w:tr>
    </w:tbl>
    <w:p w:rsidR="009B6A7B" w:rsidRPr="001E34E7" w:rsidRDefault="009B6A7B">
      <w:pPr>
        <w:spacing w:after="479" w:line="1" w:lineRule="exact"/>
        <w:rPr>
          <w:sz w:val="22"/>
          <w:szCs w:val="22"/>
          <w:lang w:val="en-GB"/>
        </w:rPr>
      </w:pPr>
    </w:p>
    <w:p w:rsidR="009B6A7B" w:rsidRPr="001E34E7" w:rsidRDefault="00724E74" w:rsidP="00724E74">
      <w:pPr>
        <w:pStyle w:val="BodyText"/>
        <w:shd w:val="clear" w:color="auto" w:fill="auto"/>
        <w:spacing w:after="0" w:line="240" w:lineRule="auto"/>
        <w:rPr>
          <w:sz w:val="22"/>
          <w:szCs w:val="22"/>
          <w:lang w:val="en-GB"/>
        </w:rPr>
      </w:pPr>
      <w:r w:rsidRPr="00724E74">
        <w:rPr>
          <w:sz w:val="22"/>
          <w:szCs w:val="22"/>
          <w:lang w:val="en-GB"/>
        </w:rPr>
        <w:t>Methodology Implementation Officer</w:t>
      </w:r>
    </w:p>
    <w:sectPr w:rsidR="009B6A7B" w:rsidRPr="001E34E7">
      <w:footerReference w:type="default" r:id="rId10"/>
      <w:pgSz w:w="12240" w:h="15840"/>
      <w:pgMar w:top="579" w:right="1503" w:bottom="579" w:left="1498" w:header="151" w:footer="15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3A6" w:rsidRDefault="003213A6">
      <w:r>
        <w:separator/>
      </w:r>
    </w:p>
  </w:endnote>
  <w:endnote w:type="continuationSeparator" w:id="0">
    <w:p w:rsidR="003213A6" w:rsidRDefault="0032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A7B" w:rsidRDefault="00351D42">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3764280</wp:posOffset>
              </wp:positionH>
              <wp:positionV relativeFrom="page">
                <wp:posOffset>9365615</wp:posOffset>
              </wp:positionV>
              <wp:extent cx="54610" cy="85090"/>
              <wp:effectExtent l="0" t="0" r="0" b="0"/>
              <wp:wrapNone/>
              <wp:docPr id="1" name="Shape 1"/>
              <wp:cNvGraphicFramePr/>
              <a:graphic xmlns:a="http://schemas.openxmlformats.org/drawingml/2006/main">
                <a:graphicData uri="http://schemas.microsoft.com/office/word/2010/wordprocessingShape">
                  <wps:wsp>
                    <wps:cNvSpPr txBox="1"/>
                    <wps:spPr>
                      <a:xfrm>
                        <a:off x="0" y="0"/>
                        <a:ext cx="54610" cy="85090"/>
                      </a:xfrm>
                      <a:prstGeom prst="rect">
                        <a:avLst/>
                      </a:prstGeom>
                      <a:noFill/>
                    </wps:spPr>
                    <wps:txbx>
                      <w:txbxContent>
                        <w:p w:rsidR="009B6A7B" w:rsidRDefault="00351D42">
                          <w:pPr>
                            <w:pStyle w:val="Headerorfooter20"/>
                            <w:shd w:val="clear" w:color="auto" w:fill="auto"/>
                          </w:pPr>
                          <w:r>
                            <w:fldChar w:fldCharType="begin"/>
                          </w:r>
                          <w:r>
                            <w:instrText xml:space="preserve"> PAGE \* MERGEFORMAT </w:instrText>
                          </w:r>
                          <w:r>
                            <w:fldChar w:fldCharType="separate"/>
                          </w:r>
                          <w:r>
                            <w:rPr>
                              <w:rFonts w:ascii="Cambria" w:eastAsia="Cambria" w:hAnsi="Cambria" w:cs="Cambria"/>
                            </w:rPr>
                            <w:t>#</w:t>
                          </w:r>
                          <w:r>
                            <w:rPr>
                              <w:rFonts w:ascii="Cambria" w:eastAsia="Cambria" w:hAnsi="Cambria" w:cs="Cambria"/>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6.4pt;margin-top:737.45pt;width:4.3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" filled="f" stroked="f">
              <v:textbox style="mso-fit-shape-to-text:t" inset="0,0,0,0">
                <w:txbxContent>
                  <w:p w:rsidR="009B6A7B" w:rsidRDefault="00351D42">
                    <w:pPr>
                      <w:pStyle w:val="Headerorfooter20"/>
                      <w:shd w:val="clear" w:color="auto" w:fill="auto"/>
                    </w:pPr>
                    <w:r>
                      <w:fldChar w:fldCharType="begin"/>
                    </w:r>
                    <w:r>
                      <w:instrText xml:space="preserve"> PAGE \* MERGEFORMAT </w:instrText>
                    </w:r>
                    <w:r>
                      <w:fldChar w:fldCharType="separate"/>
                    </w:r>
                    <w:r>
                      <w:rPr>
                        <w:rFonts w:ascii="Cambria" w:eastAsia="Cambria" w:hAnsi="Cambria" w:cs="Cambria"/>
                      </w:rPr>
                      <w:t>#</w:t>
                    </w:r>
                    <w:r>
                      <w:rPr>
                        <w:rFonts w:ascii="Cambria" w:eastAsia="Cambria" w:hAnsi="Cambria" w:cs="Cambria"/>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A7B" w:rsidRDefault="00351D42">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7466330</wp:posOffset>
              </wp:positionH>
              <wp:positionV relativeFrom="page">
                <wp:posOffset>8731885</wp:posOffset>
              </wp:positionV>
              <wp:extent cx="15240" cy="57785"/>
              <wp:effectExtent l="0" t="0" r="0" b="0"/>
              <wp:wrapNone/>
              <wp:docPr id="3" name="Shape 3"/>
              <wp:cNvGraphicFramePr/>
              <a:graphic xmlns:a="http://schemas.openxmlformats.org/drawingml/2006/main">
                <a:graphicData uri="http://schemas.microsoft.com/office/word/2010/wordprocessingShape">
                  <wps:wsp>
                    <wps:cNvSpPr txBox="1"/>
                    <wps:spPr>
                      <a:xfrm>
                        <a:off x="0" y="0"/>
                        <a:ext cx="15240" cy="57785"/>
                      </a:xfrm>
                      <a:prstGeom prst="rect">
                        <a:avLst/>
                      </a:prstGeom>
                      <a:noFill/>
                    </wps:spPr>
                    <wps:txbx>
                      <w:txbxContent>
                        <w:p w:rsidR="009B6A7B" w:rsidRDefault="00351D42">
                          <w:pPr>
                            <w:pStyle w:val="Headerorfooter20"/>
                            <w:shd w:val="clear" w:color="auto" w:fill="auto"/>
                            <w:rPr>
                              <w:sz w:val="12"/>
                              <w:szCs w:val="12"/>
                            </w:rPr>
                          </w:pPr>
                          <w:r>
                            <w:rPr>
                              <w:rFonts w:ascii="Arial" w:eastAsia="Arial" w:hAnsi="Arial" w:cs="Arial"/>
                              <w:sz w:val="12"/>
                              <w:szCs w:val="12"/>
                            </w:rPr>
                            <w: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587.9pt;margin-top:687.55pt;width:1.2pt;height:4.5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" filled="f" stroked="f">
              <v:textbox style="mso-fit-shape-to-text:t" inset="0,0,0,0">
                <w:txbxContent>
                  <w:p w:rsidR="009B6A7B" w:rsidRDefault="00351D42">
                    <w:pPr>
                      <w:pStyle w:val="Headerorfooter20"/>
                      <w:shd w:val="clear" w:color="auto" w:fill="auto"/>
                      <w:rPr>
                        <w:sz w:val="12"/>
                        <w:szCs w:val="12"/>
                      </w:rPr>
                    </w:pPr>
                    <w:r>
                      <w:rPr>
                        <w:rFonts w:ascii="Arial" w:eastAsia="Arial" w:hAnsi="Arial" w:cs="Arial"/>
                        <w:sz w:val="12"/>
                        <w:szCs w:val="12"/>
                      </w:rPr>
                      <w:t>I</w:t>
                    </w:r>
                  </w:p>
                </w:txbxContent>
              </v:textbox>
              <w10:wrap anchorx="page" anchory="page"/>
            </v:shape>
          </w:pict>
        </mc:Fallback>
      </mc:AlternateContent>
    </w:r>
    <w:r>
      <w:rPr>
        <w:noProof/>
      </w:rPr>
      <mc:AlternateContent>
        <mc:Choice Requires="wps">
          <w:drawing>
            <wp:anchor distT="0" distB="0" distL="0" distR="0" simplePos="0" relativeHeight="62914694" behindDoc="1" locked="0" layoutInCell="1" allowOverlap="1">
              <wp:simplePos x="0" y="0"/>
              <wp:positionH relativeFrom="page">
                <wp:posOffset>3747770</wp:posOffset>
              </wp:positionH>
              <wp:positionV relativeFrom="page">
                <wp:posOffset>9947910</wp:posOffset>
              </wp:positionV>
              <wp:extent cx="54610" cy="88265"/>
              <wp:effectExtent l="0" t="0" r="0" b="0"/>
              <wp:wrapNone/>
              <wp:docPr id="5" name="Shape 5"/>
              <wp:cNvGraphicFramePr/>
              <a:graphic xmlns:a="http://schemas.openxmlformats.org/drawingml/2006/main">
                <a:graphicData uri="http://schemas.microsoft.com/office/word/2010/wordprocessingShape">
                  <wps:wsp>
                    <wps:cNvSpPr txBox="1"/>
                    <wps:spPr>
                      <a:xfrm>
                        <a:off x="0" y="0"/>
                        <a:ext cx="54610" cy="88265"/>
                      </a:xfrm>
                      <a:prstGeom prst="rect">
                        <a:avLst/>
                      </a:prstGeom>
                      <a:noFill/>
                    </wps:spPr>
                    <wps:txbx>
                      <w:txbxContent>
                        <w:p w:rsidR="009B6A7B" w:rsidRDefault="00351D42">
                          <w:pPr>
                            <w:pStyle w:val="Headerorfooter20"/>
                            <w:shd w:val="clear" w:color="auto" w:fill="auto"/>
                          </w:pPr>
                          <w:r>
                            <w:fldChar w:fldCharType="begin"/>
                          </w:r>
                          <w:r>
                            <w:instrText xml:space="preserve"> PAGE \* MERGEFORMAT </w:instrText>
                          </w:r>
                          <w:r>
                            <w:fldChar w:fldCharType="separate"/>
                          </w:r>
                          <w:r>
                            <w:rPr>
                              <w:rFonts w:ascii="Cambria" w:eastAsia="Cambria" w:hAnsi="Cambria" w:cs="Cambria"/>
                            </w:rPr>
                            <w:t>#</w:t>
                          </w:r>
                          <w:r>
                            <w:rPr>
                              <w:rFonts w:ascii="Cambria" w:eastAsia="Cambria" w:hAnsi="Cambria" w:cs="Cambria"/>
                            </w:rPr>
                            <w:fldChar w:fldCharType="end"/>
                          </w:r>
                        </w:p>
                      </w:txbxContent>
                    </wps:txbx>
                    <wps:bodyPr wrap="none" lIns="0" tIns="0" rIns="0" bIns="0">
                      <a:spAutoFit/>
                    </wps:bodyPr>
                  </wps:wsp>
                </a:graphicData>
              </a:graphic>
            </wp:anchor>
          </w:drawing>
        </mc:Choice>
        <mc:Fallback>
          <w:pict>
            <v:shape id="Shape 5" o:spid="_x0000_s1028" type="#_x0000_t202" style="position:absolute;margin-left:295.1pt;margin-top:783.3pt;width:4.3pt;height:6.9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" filled="f" stroked="f">
              <v:textbox style="mso-fit-shape-to-text:t" inset="0,0,0,0">
                <w:txbxContent>
                  <w:p w:rsidR="009B6A7B" w:rsidRDefault="00351D42">
                    <w:pPr>
                      <w:pStyle w:val="Headerorfooter20"/>
                      <w:shd w:val="clear" w:color="auto" w:fill="auto"/>
                    </w:pPr>
                    <w:r>
                      <w:fldChar w:fldCharType="begin"/>
                    </w:r>
                    <w:r>
                      <w:instrText xml:space="preserve"> PAGE \* MERGEFORMAT </w:instrText>
                    </w:r>
                    <w:r>
                      <w:fldChar w:fldCharType="separate"/>
                    </w:r>
                    <w:r>
                      <w:rPr>
                        <w:rFonts w:ascii="Cambria" w:eastAsia="Cambria" w:hAnsi="Cambria" w:cs="Cambria"/>
                      </w:rPr>
                      <w:t>#</w:t>
                    </w:r>
                    <w:r>
                      <w:rPr>
                        <w:rFonts w:ascii="Cambria" w:eastAsia="Cambria" w:hAnsi="Cambria" w:cs="Cambria"/>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A7B" w:rsidRDefault="009B6A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3A6" w:rsidRDefault="003213A6"/>
  </w:footnote>
  <w:footnote w:type="continuationSeparator" w:id="0">
    <w:p w:rsidR="003213A6" w:rsidRDefault="003213A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F6A9A"/>
    <w:multiLevelType w:val="multilevel"/>
    <w:tmpl w:val="BAD0520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C9664F"/>
    <w:multiLevelType w:val="multilevel"/>
    <w:tmpl w:val="44282382"/>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5F3A45"/>
    <w:multiLevelType w:val="multilevel"/>
    <w:tmpl w:val="2E36210E"/>
    <w:lvl w:ilvl="0">
      <w:start w:val="1"/>
      <w:numFmt w:val="decimal"/>
      <w:lvlText w:val="%1."/>
      <w:lvlJc w:val="left"/>
      <w:rPr>
        <w:rFonts w:ascii="Arial Narrow" w:eastAsia="Arial Narrow" w:hAnsi="Arial Narrow" w:cs="Arial Narrow"/>
        <w:b/>
        <w:bCs/>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32158"/>
    <w:multiLevelType w:val="multilevel"/>
    <w:tmpl w:val="A83C90B8"/>
    <w:lvl w:ilvl="0">
      <w:start w:val="1"/>
      <w:numFmt w:val="lowerLetter"/>
      <w:lvlText w:val="%1."/>
      <w:lvlJc w:val="left"/>
      <w:rPr>
        <w:rFonts w:ascii="Arial Narrow" w:eastAsia="Arial Narrow" w:hAnsi="Arial Narrow" w:cs="Arial Narrow"/>
        <w:b/>
        <w:bCs/>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9D0AD7"/>
    <w:multiLevelType w:val="multilevel"/>
    <w:tmpl w:val="F260E246"/>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43AE2"/>
    <w:multiLevelType w:val="multilevel"/>
    <w:tmpl w:val="5ABA0658"/>
    <w:lvl w:ilvl="0">
      <w:start w:val="1"/>
      <w:numFmt w:val="lowerRoman"/>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394B16"/>
    <w:multiLevelType w:val="multilevel"/>
    <w:tmpl w:val="805A6844"/>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2B28F2"/>
    <w:multiLevelType w:val="multilevel"/>
    <w:tmpl w:val="0CB86B84"/>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7"/>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7B"/>
    <w:rsid w:val="000517B8"/>
    <w:rsid w:val="001A53A5"/>
    <w:rsid w:val="001E34E7"/>
    <w:rsid w:val="003213A6"/>
    <w:rsid w:val="00351D42"/>
    <w:rsid w:val="0042403E"/>
    <w:rsid w:val="00477337"/>
    <w:rsid w:val="00484384"/>
    <w:rsid w:val="0049651D"/>
    <w:rsid w:val="00592DDB"/>
    <w:rsid w:val="005A6C4E"/>
    <w:rsid w:val="005F5E9E"/>
    <w:rsid w:val="00724E74"/>
    <w:rsid w:val="007324CC"/>
    <w:rsid w:val="007A1E56"/>
    <w:rsid w:val="0080172D"/>
    <w:rsid w:val="008842F5"/>
    <w:rsid w:val="008C5CDE"/>
    <w:rsid w:val="008F1ACB"/>
    <w:rsid w:val="009052A9"/>
    <w:rsid w:val="009312CB"/>
    <w:rsid w:val="00953964"/>
    <w:rsid w:val="009B6A7B"/>
    <w:rsid w:val="009D3A4B"/>
    <w:rsid w:val="00A44765"/>
    <w:rsid w:val="00A511F6"/>
    <w:rsid w:val="00AE374E"/>
    <w:rsid w:val="00B11EF4"/>
    <w:rsid w:val="00B37FBA"/>
    <w:rsid w:val="00B87F10"/>
    <w:rsid w:val="00BE4F0E"/>
    <w:rsid w:val="00CE6E82"/>
    <w:rsid w:val="00D14EA7"/>
    <w:rsid w:val="00D50B89"/>
    <w:rsid w:val="00E306C0"/>
    <w:rsid w:val="00E71AD8"/>
    <w:rsid w:val="00F22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94F85-9B5F-4948-A0D4-5668B2FF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ro-RO" w:eastAsia="ro-RO" w:bidi="ro-RO"/>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Arial Narrow" w:eastAsia="Arial Narrow" w:hAnsi="Arial Narrow" w:cs="Arial Narrow"/>
      <w:b w:val="0"/>
      <w:bCs w:val="0"/>
      <w:i w:val="0"/>
      <w:iCs w:val="0"/>
      <w:smallCaps w:val="0"/>
      <w:strike w:val="0"/>
      <w:sz w:val="20"/>
      <w:szCs w:val="20"/>
      <w:u w:val="none"/>
    </w:rPr>
  </w:style>
  <w:style w:type="character" w:customStyle="1" w:styleId="Heading1">
    <w:name w:val="Heading #1_"/>
    <w:basedOn w:val="DefaultParagraphFont"/>
    <w:link w:val="Heading10"/>
    <w:rPr>
      <w:rFonts w:ascii="Times New Roman" w:eastAsia="Times New Roman" w:hAnsi="Times New Roman" w:cs="Times New Roman"/>
      <w:b w:val="0"/>
      <w:bCs w:val="0"/>
      <w:i/>
      <w:iCs/>
      <w:smallCaps w:val="0"/>
      <w:strike w:val="0"/>
      <w:color w:val="4B4F8C"/>
      <w:sz w:val="32"/>
      <w:szCs w:val="32"/>
      <w:u w:val="single"/>
      <w:lang w:val="en-US" w:eastAsia="en-US" w:bidi="en-US"/>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3">
    <w:name w:val="Heading #3_"/>
    <w:basedOn w:val="DefaultParagraphFont"/>
    <w:link w:val="Heading30"/>
    <w:rPr>
      <w:rFonts w:ascii="Arial Narrow" w:eastAsia="Arial Narrow" w:hAnsi="Arial Narrow" w:cs="Arial Narrow"/>
      <w:b/>
      <w:bCs/>
      <w:i w:val="0"/>
      <w:iCs w:val="0"/>
      <w:smallCaps w:val="0"/>
      <w:strike w:val="0"/>
      <w:sz w:val="20"/>
      <w:szCs w:val="20"/>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rPr>
  </w:style>
  <w:style w:type="character" w:customStyle="1" w:styleId="Heading2">
    <w:name w:val="Heading #2_"/>
    <w:basedOn w:val="DefaultParagraphFont"/>
    <w:link w:val="Heading20"/>
    <w:rPr>
      <w:rFonts w:ascii="Arial Narrow" w:eastAsia="Arial Narrow" w:hAnsi="Arial Narrow" w:cs="Arial Narrow"/>
      <w:b w:val="0"/>
      <w:bCs w:val="0"/>
      <w:i w:val="0"/>
      <w:iCs w:val="0"/>
      <w:smallCaps w:val="0"/>
      <w:strike w:val="0"/>
      <w:sz w:val="28"/>
      <w:szCs w:val="28"/>
      <w:u w:val="none"/>
    </w:rPr>
  </w:style>
  <w:style w:type="character" w:customStyle="1" w:styleId="Other">
    <w:name w:val="Other_"/>
    <w:basedOn w:val="DefaultParagraphFont"/>
    <w:link w:val="Other0"/>
    <w:rPr>
      <w:rFonts w:ascii="Arial Narrow" w:eastAsia="Arial Narrow" w:hAnsi="Arial Narrow" w:cs="Arial Narrow"/>
      <w:b w:val="0"/>
      <w:bCs w:val="0"/>
      <w:i w:val="0"/>
      <w:iCs w:val="0"/>
      <w:smallCaps w:val="0"/>
      <w:strike w:val="0"/>
      <w:sz w:val="20"/>
      <w:szCs w:val="20"/>
      <w:u w:val="none"/>
    </w:rPr>
  </w:style>
  <w:style w:type="character" w:customStyle="1" w:styleId="Tablecaption">
    <w:name w:val="Table caption_"/>
    <w:basedOn w:val="DefaultParagraphFont"/>
    <w:link w:val="Tablecaption0"/>
    <w:rPr>
      <w:rFonts w:ascii="Arial Narrow" w:eastAsia="Arial Narrow" w:hAnsi="Arial Narrow" w:cs="Arial Narrow"/>
      <w:b/>
      <w:bCs/>
      <w:i w:val="0"/>
      <w:iCs w:val="0"/>
      <w:smallCaps w:val="0"/>
      <w:strike w:val="0"/>
      <w:sz w:val="20"/>
      <w:szCs w:val="20"/>
      <w:u w:val="none"/>
    </w:rPr>
  </w:style>
  <w:style w:type="paragraph" w:styleId="BodyText">
    <w:name w:val="Body Text"/>
    <w:basedOn w:val="Normal"/>
    <w:link w:val="BodyTextChar"/>
    <w:qFormat/>
    <w:pPr>
      <w:shd w:val="clear" w:color="auto" w:fill="FFFFFF"/>
      <w:spacing w:after="100" w:line="283" w:lineRule="auto"/>
    </w:pPr>
    <w:rPr>
      <w:rFonts w:ascii="Arial Narrow" w:eastAsia="Arial Narrow" w:hAnsi="Arial Narrow" w:cs="Arial Narrow"/>
      <w:sz w:val="20"/>
      <w:szCs w:val="20"/>
    </w:rPr>
  </w:style>
  <w:style w:type="paragraph" w:customStyle="1" w:styleId="Heading10">
    <w:name w:val="Heading #1"/>
    <w:basedOn w:val="Normal"/>
    <w:link w:val="Heading1"/>
    <w:pPr>
      <w:shd w:val="clear" w:color="auto" w:fill="FFFFFF"/>
      <w:outlineLvl w:val="0"/>
    </w:pPr>
    <w:rPr>
      <w:rFonts w:ascii="Times New Roman" w:eastAsia="Times New Roman" w:hAnsi="Times New Roman" w:cs="Times New Roman"/>
      <w:i/>
      <w:iCs/>
      <w:color w:val="4B4F8C"/>
      <w:sz w:val="32"/>
      <w:szCs w:val="32"/>
      <w:u w:val="single"/>
      <w:lang w:val="en-US" w:eastAsia="en-US" w:bidi="en-US"/>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Heading30">
    <w:name w:val="Heading #3"/>
    <w:basedOn w:val="Normal"/>
    <w:link w:val="Heading3"/>
    <w:pPr>
      <w:shd w:val="clear" w:color="auto" w:fill="FFFFFF"/>
      <w:spacing w:after="100" w:line="283" w:lineRule="auto"/>
      <w:ind w:firstLine="280"/>
      <w:outlineLvl w:val="2"/>
    </w:pPr>
    <w:rPr>
      <w:rFonts w:ascii="Arial Narrow" w:eastAsia="Arial Narrow" w:hAnsi="Arial Narrow" w:cs="Arial Narrow"/>
      <w:b/>
      <w:bCs/>
      <w:sz w:val="20"/>
      <w:szCs w:val="20"/>
    </w:rPr>
  </w:style>
  <w:style w:type="paragraph" w:customStyle="1" w:styleId="Bodytext20">
    <w:name w:val="Body text (2)"/>
    <w:basedOn w:val="Normal"/>
    <w:link w:val="Bodytext2"/>
    <w:pPr>
      <w:shd w:val="clear" w:color="auto" w:fill="FFFFFF"/>
      <w:spacing w:after="100" w:line="180" w:lineRule="auto"/>
      <w:ind w:left="2160"/>
    </w:pPr>
    <w:rPr>
      <w:rFonts w:ascii="Arial" w:eastAsia="Arial" w:hAnsi="Arial" w:cs="Arial"/>
      <w:sz w:val="8"/>
      <w:szCs w:val="8"/>
    </w:rPr>
  </w:style>
  <w:style w:type="paragraph" w:customStyle="1" w:styleId="Heading20">
    <w:name w:val="Heading #2"/>
    <w:basedOn w:val="Normal"/>
    <w:link w:val="Heading2"/>
    <w:pPr>
      <w:shd w:val="clear" w:color="auto" w:fill="FFFFFF"/>
      <w:spacing w:after="600"/>
      <w:jc w:val="center"/>
      <w:outlineLvl w:val="1"/>
    </w:pPr>
    <w:rPr>
      <w:rFonts w:ascii="Arial Narrow" w:eastAsia="Arial Narrow" w:hAnsi="Arial Narrow" w:cs="Arial Narrow"/>
      <w:sz w:val="28"/>
      <w:szCs w:val="28"/>
    </w:rPr>
  </w:style>
  <w:style w:type="paragraph" w:customStyle="1" w:styleId="Other0">
    <w:name w:val="Other"/>
    <w:basedOn w:val="Normal"/>
    <w:link w:val="Other"/>
    <w:pPr>
      <w:shd w:val="clear" w:color="auto" w:fill="FFFFFF"/>
      <w:spacing w:after="100" w:line="283" w:lineRule="auto"/>
    </w:pPr>
    <w:rPr>
      <w:rFonts w:ascii="Arial Narrow" w:eastAsia="Arial Narrow" w:hAnsi="Arial Narrow" w:cs="Arial Narrow"/>
      <w:sz w:val="20"/>
      <w:szCs w:val="20"/>
    </w:rPr>
  </w:style>
  <w:style w:type="paragraph" w:customStyle="1" w:styleId="Tablecaption0">
    <w:name w:val="Table caption"/>
    <w:basedOn w:val="Normal"/>
    <w:link w:val="Tablecaption"/>
    <w:pPr>
      <w:shd w:val="clear" w:color="auto" w:fill="FFFFFF"/>
    </w:pPr>
    <w:rPr>
      <w:rFonts w:ascii="Arial Narrow" w:eastAsia="Arial Narrow" w:hAnsi="Arial Narrow" w:cs="Arial Narrow"/>
      <w:b/>
      <w:bCs/>
      <w:sz w:val="20"/>
      <w:szCs w:val="20"/>
    </w:rPr>
  </w:style>
  <w:style w:type="paragraph" w:styleId="ListParagraph">
    <w:name w:val="List Paragraph"/>
    <w:basedOn w:val="Normal"/>
    <w:uiPriority w:val="34"/>
    <w:qFormat/>
    <w:rsid w:val="004773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12C6E-1D3E-47C9-8ED8-D8FB32F6A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Vladucu</dc:creator>
  <cp:lastModifiedBy>Nicoleta Vladucu</cp:lastModifiedBy>
  <cp:revision>2</cp:revision>
  <dcterms:created xsi:type="dcterms:W3CDTF">2023-01-19T14:08:00Z</dcterms:created>
  <dcterms:modified xsi:type="dcterms:W3CDTF">2023-01-19T14:08:00Z</dcterms:modified>
</cp:coreProperties>
</file>