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B1F36" w14:textId="7D8A2FA4" w:rsidR="00896C08" w:rsidRDefault="00E22195">
      <w:pPr>
        <w:pStyle w:val="Corp"/>
        <w:pBdr>
          <w:top w:val="none" w:sz="0" w:space="0" w:color="auto"/>
          <w:left w:val="none" w:sz="0" w:space="0" w:color="auto"/>
          <w:bottom w:val="none" w:sz="0" w:space="0" w:color="auto"/>
          <w:right w:val="none" w:sz="0" w:space="0" w:color="auto"/>
          <w:bar w:val="none" w:sz="0" w:color="auto"/>
        </w:pBdr>
        <w:spacing w:after="0" w:line="240" w:lineRule="auto"/>
        <w:jc w:val="right"/>
        <w:rPr>
          <w:rFonts w:ascii="Arial Narrow" w:hAnsi="Arial Narrow" w:cs="Arial Narrow"/>
          <w:b/>
          <w:bCs/>
          <w:sz w:val="24"/>
          <w:szCs w:val="24"/>
        </w:rPr>
      </w:pPr>
      <w:r>
        <w:rPr>
          <w:noProof/>
          <w:lang w:val="ro-RO" w:eastAsia="ro-RO"/>
        </w:rPr>
        <w:drawing>
          <wp:anchor distT="0" distB="0" distL="0" distR="0" simplePos="0" relativeHeight="251651584" behindDoc="0" locked="0" layoutInCell="1" allowOverlap="1" wp14:anchorId="3C812E03" wp14:editId="06A0B83E">
            <wp:simplePos x="0" y="0"/>
            <wp:positionH relativeFrom="column">
              <wp:posOffset>-504825</wp:posOffset>
            </wp:positionH>
            <wp:positionV relativeFrom="line">
              <wp:posOffset>-752475</wp:posOffset>
            </wp:positionV>
            <wp:extent cx="6867525" cy="1543050"/>
            <wp:effectExtent l="0" t="0" r="9525" b="0"/>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75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92673" w14:textId="77777777" w:rsidR="00896C08"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right"/>
        <w:rPr>
          <w:rFonts w:ascii="Arial Narrow" w:hAnsi="Arial Narrow" w:cs="Arial Narrow"/>
          <w:b/>
          <w:bCs/>
          <w:sz w:val="24"/>
          <w:szCs w:val="24"/>
        </w:rPr>
      </w:pPr>
    </w:p>
    <w:p w14:paraId="0E64B65D" w14:textId="77777777" w:rsidR="00896C08"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right"/>
        <w:rPr>
          <w:rFonts w:ascii="Arial Narrow" w:hAnsi="Arial Narrow" w:cs="Arial Narrow"/>
          <w:b/>
          <w:bCs/>
          <w:sz w:val="24"/>
          <w:szCs w:val="24"/>
        </w:rPr>
      </w:pPr>
    </w:p>
    <w:p w14:paraId="48B4C42F" w14:textId="77777777" w:rsidR="00896C08" w:rsidRDefault="00896C08">
      <w:pPr>
        <w:pStyle w:val="Corp"/>
        <w:pBdr>
          <w:top w:val="none" w:sz="0" w:space="0" w:color="auto"/>
          <w:left w:val="none" w:sz="0" w:space="0" w:color="auto"/>
          <w:bottom w:val="none" w:sz="0" w:space="0" w:color="auto"/>
          <w:right w:val="none" w:sz="0" w:space="0" w:color="auto"/>
          <w:bar w:val="none" w:sz="0" w:color="auto"/>
        </w:pBdr>
      </w:pPr>
    </w:p>
    <w:p w14:paraId="556F6610" w14:textId="77777777" w:rsidR="00896C08"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b/>
          <w:bCs/>
          <w:sz w:val="24"/>
          <w:szCs w:val="24"/>
        </w:rPr>
      </w:pPr>
    </w:p>
    <w:p w14:paraId="2DAB6974" w14:textId="77777777" w:rsidR="00896C08"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b/>
          <w:bCs/>
          <w:sz w:val="24"/>
          <w:szCs w:val="24"/>
        </w:rPr>
      </w:pPr>
    </w:p>
    <w:p w14:paraId="23F9415D" w14:textId="77777777" w:rsidR="00896C08"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b/>
          <w:bCs/>
          <w:sz w:val="24"/>
          <w:szCs w:val="24"/>
        </w:rPr>
      </w:pPr>
    </w:p>
    <w:p w14:paraId="6824B6B1" w14:textId="77777777" w:rsidR="00691C48" w:rsidRDefault="00691C4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b/>
          <w:bCs/>
          <w:sz w:val="24"/>
          <w:szCs w:val="24"/>
        </w:rPr>
      </w:pPr>
    </w:p>
    <w:p w14:paraId="2C4D456F" w14:textId="77777777" w:rsidR="00896C08" w:rsidRPr="000A5186"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sz w:val="36"/>
          <w:szCs w:val="36"/>
          <w:u w:val="thick"/>
        </w:rPr>
      </w:pPr>
      <w:r w:rsidRPr="000A5186">
        <w:rPr>
          <w:rFonts w:ascii="Arial Narrow" w:hAnsi="Arial Narrow" w:cs="Arial Narrow"/>
          <w:b/>
          <w:bCs/>
          <w:sz w:val="36"/>
          <w:szCs w:val="36"/>
          <w:u w:val="thick"/>
        </w:rPr>
        <w:t xml:space="preserve">RAPORT </w:t>
      </w:r>
      <w:r w:rsidRPr="00B3596A">
        <w:rPr>
          <w:rFonts w:ascii="Arial Narrow" w:hAnsi="Arial Narrow" w:cs="Arial Narrow"/>
          <w:b/>
          <w:bCs/>
          <w:sz w:val="36"/>
          <w:szCs w:val="36"/>
          <w:u w:val="thick"/>
        </w:rPr>
        <w:t xml:space="preserve">FINAL </w:t>
      </w:r>
    </w:p>
    <w:p w14:paraId="2B6D7317" w14:textId="734EDE1D" w:rsidR="00896C08" w:rsidRDefault="00896C08" w:rsidP="00F6730C">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sz w:val="24"/>
          <w:szCs w:val="24"/>
          <w:u w:val="thick"/>
        </w:rPr>
      </w:pPr>
      <w:r w:rsidRPr="000A5186">
        <w:rPr>
          <w:rFonts w:ascii="Arial Narrow" w:hAnsi="Arial Narrow" w:cs="Arial Narrow"/>
          <w:b/>
          <w:bCs/>
          <w:sz w:val="24"/>
          <w:szCs w:val="24"/>
          <w:u w:val="thick"/>
        </w:rPr>
        <w:t>PRIVIND REZULTATELE ACTIVIT</w:t>
      </w:r>
      <w:r w:rsidRPr="001B679B">
        <w:rPr>
          <w:rFonts w:ascii="Arial Narrow" w:hAnsi="Arial Narrow" w:cs="Arial Narrow"/>
          <w:b/>
          <w:bCs/>
          <w:sz w:val="24"/>
          <w:szCs w:val="24"/>
          <w:u w:val="thick"/>
        </w:rPr>
        <w:t>ĂŢ</w:t>
      </w:r>
      <w:r w:rsidRPr="000A5186">
        <w:rPr>
          <w:rFonts w:ascii="Arial Narrow" w:hAnsi="Arial Narrow" w:cs="Arial Narrow"/>
          <w:b/>
          <w:bCs/>
          <w:sz w:val="24"/>
          <w:szCs w:val="24"/>
          <w:u w:val="thick"/>
        </w:rPr>
        <w:t>ILOR DE PARTICIPARE</w:t>
      </w:r>
      <w:r w:rsidRPr="00B3596A">
        <w:rPr>
          <w:rFonts w:ascii="Arial Narrow" w:hAnsi="Arial Narrow" w:cs="Arial Narrow"/>
          <w:b/>
          <w:bCs/>
          <w:sz w:val="24"/>
          <w:szCs w:val="24"/>
          <w:u w:val="single"/>
        </w:rPr>
        <w:t xml:space="preserve"> </w:t>
      </w:r>
      <w:r w:rsidRPr="000A5186">
        <w:rPr>
          <w:rFonts w:ascii="Arial Narrow" w:hAnsi="Arial Narrow" w:cs="Arial Narrow"/>
          <w:b/>
          <w:bCs/>
          <w:sz w:val="24"/>
          <w:szCs w:val="24"/>
          <w:u w:val="thick"/>
        </w:rPr>
        <w:t xml:space="preserve">A PUBLICULUI </w:t>
      </w:r>
    </w:p>
    <w:p w14:paraId="0CAE72E7" w14:textId="631AAF6B" w:rsidR="00896C08" w:rsidRPr="001B679B"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sz w:val="24"/>
          <w:szCs w:val="24"/>
          <w:u w:val="thick"/>
        </w:rPr>
      </w:pPr>
      <w:r w:rsidRPr="001B679B">
        <w:rPr>
          <w:rFonts w:ascii="Arial Narrow" w:hAnsi="Arial Narrow" w:cs="Arial Narrow"/>
          <w:b/>
          <w:bCs/>
          <w:sz w:val="24"/>
          <w:szCs w:val="24"/>
          <w:u w:val="thick"/>
        </w:rPr>
        <w:t>pentru proiectul</w:t>
      </w:r>
      <w:r>
        <w:rPr>
          <w:rFonts w:ascii="Arial Narrow" w:hAnsi="Arial Narrow" w:cs="Arial Narrow"/>
          <w:b/>
          <w:bCs/>
          <w:sz w:val="24"/>
          <w:szCs w:val="24"/>
          <w:u w:val="thick"/>
        </w:rPr>
        <w:t xml:space="preserve"> </w:t>
      </w:r>
      <w:r w:rsidRPr="001B679B">
        <w:rPr>
          <w:rFonts w:ascii="Arial Narrow" w:hAnsi="Arial Narrow" w:cs="Arial Narrow"/>
          <w:b/>
          <w:bCs/>
          <w:sz w:val="24"/>
          <w:szCs w:val="24"/>
          <w:u w:val="thick"/>
        </w:rPr>
        <w:t>”Dezvoltarea pe teritoriul României a Sistemului Naţional de Transport Gaze Naturale pe coridorul Bulgaria-Româ</w:t>
      </w:r>
      <w:r w:rsidRPr="000A5186">
        <w:rPr>
          <w:rFonts w:ascii="Arial Narrow" w:hAnsi="Arial Narrow" w:cs="Arial Narrow"/>
          <w:b/>
          <w:bCs/>
          <w:sz w:val="24"/>
          <w:szCs w:val="24"/>
          <w:u w:val="thick"/>
        </w:rPr>
        <w:t>nia-Ungaria-Austria, Podi</w:t>
      </w:r>
      <w:r w:rsidRPr="001B679B">
        <w:rPr>
          <w:rFonts w:ascii="Arial Narrow" w:hAnsi="Arial Narrow" w:cs="Arial Narrow"/>
          <w:b/>
          <w:bCs/>
          <w:sz w:val="24"/>
          <w:szCs w:val="24"/>
          <w:u w:val="thick"/>
        </w:rPr>
        <w:t xml:space="preserve">șor – SMG Horia și 3 noi stații de comprimare (Jupa, Bibești și Podișor) (Faza 1)” (Număr de referință în Lista Uniunii: 6.24.2.) </w:t>
      </w:r>
    </w:p>
    <w:p w14:paraId="1B7AC6DC" w14:textId="77777777" w:rsidR="00896C08"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rPr>
      </w:pPr>
    </w:p>
    <w:p w14:paraId="502BAF93" w14:textId="77777777" w:rsidR="00896C08" w:rsidRPr="001B679B"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rPr>
      </w:pPr>
    </w:p>
    <w:p w14:paraId="36FB8972" w14:textId="03041FF9" w:rsidR="005C125C"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b/>
          <w:bCs/>
          <w:sz w:val="24"/>
          <w:szCs w:val="24"/>
        </w:rPr>
      </w:pPr>
      <w:r w:rsidRPr="001B679B">
        <w:rPr>
          <w:rFonts w:ascii="Arial Narrow" w:hAnsi="Arial Narrow" w:cs="Arial Narrow"/>
          <w:sz w:val="24"/>
          <w:szCs w:val="24"/>
        </w:rPr>
        <w:t xml:space="preserve">În </w:t>
      </w:r>
      <w:r>
        <w:rPr>
          <w:rFonts w:ascii="Arial Narrow" w:hAnsi="Arial Narrow" w:cs="Arial Narrow"/>
          <w:sz w:val="24"/>
          <w:szCs w:val="24"/>
        </w:rPr>
        <w:t xml:space="preserve">conformitate cu prevederile din Conceptul privind participarea publicului, aprobat </w:t>
      </w:r>
      <w:r w:rsidRPr="001B679B">
        <w:rPr>
          <w:rFonts w:ascii="Arial Narrow" w:hAnsi="Arial Narrow" w:cs="Arial Narrow"/>
          <w:sz w:val="24"/>
          <w:szCs w:val="24"/>
        </w:rPr>
        <w:t>la data de 23.09.2016 prin adresa Ministerului Energiei nr.</w:t>
      </w:r>
      <w:r>
        <w:rPr>
          <w:rFonts w:ascii="Arial Narrow" w:hAnsi="Arial Narrow" w:cs="Arial Narrow"/>
          <w:sz w:val="24"/>
          <w:szCs w:val="24"/>
        </w:rPr>
        <w:t xml:space="preserve"> </w:t>
      </w:r>
      <w:r w:rsidRPr="001B679B">
        <w:rPr>
          <w:rFonts w:ascii="Arial Narrow" w:hAnsi="Arial Narrow" w:cs="Arial Narrow"/>
          <w:sz w:val="24"/>
          <w:szCs w:val="24"/>
        </w:rPr>
        <w:t>110913,</w:t>
      </w:r>
      <w:r>
        <w:rPr>
          <w:rFonts w:ascii="Arial Narrow" w:hAnsi="Arial Narrow" w:cs="Arial Narrow"/>
          <w:sz w:val="24"/>
          <w:szCs w:val="24"/>
        </w:rPr>
        <w:t xml:space="preserve"> de către Autoritatea Competentă</w:t>
      </w:r>
      <w:r w:rsidDel="00F75DF6">
        <w:rPr>
          <w:rFonts w:ascii="Arial Narrow" w:hAnsi="Arial Narrow" w:cs="Arial Narrow"/>
          <w:sz w:val="24"/>
          <w:szCs w:val="24"/>
        </w:rPr>
        <w:t xml:space="preserve"> </w:t>
      </w:r>
      <w:r>
        <w:rPr>
          <w:rFonts w:ascii="Arial Narrow" w:hAnsi="Arial Narrow" w:cs="Arial Narrow"/>
          <w:sz w:val="24"/>
          <w:szCs w:val="24"/>
        </w:rPr>
        <w:t>pentru Proiecte de Interes Comun</w:t>
      </w:r>
      <w:r w:rsidRPr="001B679B">
        <w:rPr>
          <w:rFonts w:ascii="Arial Narrow" w:hAnsi="Arial Narrow" w:cs="Arial Narrow"/>
          <w:sz w:val="24"/>
          <w:szCs w:val="24"/>
        </w:rPr>
        <w:t xml:space="preserve">, </w:t>
      </w:r>
      <w:r w:rsidRPr="000A5186">
        <w:rPr>
          <w:rFonts w:ascii="Arial Narrow" w:hAnsi="Arial Narrow" w:cs="Arial Narrow"/>
          <w:b/>
          <w:bCs/>
          <w:sz w:val="24"/>
          <w:szCs w:val="24"/>
        </w:rPr>
        <w:t>S</w:t>
      </w:r>
      <w:r>
        <w:rPr>
          <w:rFonts w:ascii="Arial Narrow" w:hAnsi="Arial Narrow" w:cs="Arial Narrow"/>
          <w:b/>
          <w:bCs/>
          <w:sz w:val="24"/>
          <w:szCs w:val="24"/>
        </w:rPr>
        <w:t>.</w:t>
      </w:r>
      <w:r w:rsidRPr="000A5186">
        <w:rPr>
          <w:rFonts w:ascii="Arial Narrow" w:hAnsi="Arial Narrow" w:cs="Arial Narrow"/>
          <w:b/>
          <w:bCs/>
          <w:sz w:val="24"/>
          <w:szCs w:val="24"/>
        </w:rPr>
        <w:t>N</w:t>
      </w:r>
      <w:r>
        <w:rPr>
          <w:rFonts w:ascii="Arial Narrow" w:hAnsi="Arial Narrow" w:cs="Arial Narrow"/>
          <w:b/>
          <w:bCs/>
          <w:sz w:val="24"/>
          <w:szCs w:val="24"/>
        </w:rPr>
        <w:t>.</w:t>
      </w:r>
      <w:r w:rsidRPr="000A5186">
        <w:rPr>
          <w:rFonts w:ascii="Arial Narrow" w:hAnsi="Arial Narrow" w:cs="Arial Narrow"/>
          <w:b/>
          <w:bCs/>
          <w:sz w:val="24"/>
          <w:szCs w:val="24"/>
        </w:rPr>
        <w:t>T</w:t>
      </w:r>
      <w:r>
        <w:rPr>
          <w:rFonts w:ascii="Arial Narrow" w:hAnsi="Arial Narrow" w:cs="Arial Narrow"/>
          <w:b/>
          <w:bCs/>
          <w:sz w:val="24"/>
          <w:szCs w:val="24"/>
        </w:rPr>
        <w:t>.</w:t>
      </w:r>
      <w:r w:rsidRPr="000A5186">
        <w:rPr>
          <w:rFonts w:ascii="Arial Narrow" w:hAnsi="Arial Narrow" w:cs="Arial Narrow"/>
          <w:b/>
          <w:bCs/>
          <w:sz w:val="24"/>
          <w:szCs w:val="24"/>
        </w:rPr>
        <w:t>G</w:t>
      </w:r>
      <w:r>
        <w:rPr>
          <w:rFonts w:ascii="Arial Narrow" w:hAnsi="Arial Narrow" w:cs="Arial Narrow"/>
          <w:b/>
          <w:bCs/>
          <w:sz w:val="24"/>
          <w:szCs w:val="24"/>
        </w:rPr>
        <w:t>.</w:t>
      </w:r>
      <w:r w:rsidRPr="000A5186">
        <w:rPr>
          <w:rFonts w:ascii="Arial Narrow" w:hAnsi="Arial Narrow" w:cs="Arial Narrow"/>
          <w:b/>
          <w:bCs/>
          <w:sz w:val="24"/>
          <w:szCs w:val="24"/>
        </w:rPr>
        <w:t>N</w:t>
      </w:r>
      <w:r>
        <w:rPr>
          <w:rFonts w:ascii="Arial Narrow" w:hAnsi="Arial Narrow" w:cs="Arial Narrow"/>
          <w:b/>
          <w:bCs/>
          <w:sz w:val="24"/>
          <w:szCs w:val="24"/>
        </w:rPr>
        <w:t>.</w:t>
      </w:r>
      <w:r w:rsidRPr="000A5186">
        <w:rPr>
          <w:rFonts w:ascii="Arial Narrow" w:hAnsi="Arial Narrow" w:cs="Arial Narrow"/>
          <w:b/>
          <w:bCs/>
          <w:sz w:val="24"/>
          <w:szCs w:val="24"/>
        </w:rPr>
        <w:t xml:space="preserve"> TRANSGAZ S</w:t>
      </w:r>
      <w:r>
        <w:rPr>
          <w:rFonts w:ascii="Arial Narrow" w:hAnsi="Arial Narrow" w:cs="Arial Narrow"/>
          <w:b/>
          <w:bCs/>
          <w:sz w:val="24"/>
          <w:szCs w:val="24"/>
        </w:rPr>
        <w:t>.</w:t>
      </w:r>
      <w:r w:rsidRPr="000A5186">
        <w:rPr>
          <w:rFonts w:ascii="Arial Narrow" w:hAnsi="Arial Narrow" w:cs="Arial Narrow"/>
          <w:b/>
          <w:bCs/>
          <w:sz w:val="24"/>
          <w:szCs w:val="24"/>
        </w:rPr>
        <w:t>A</w:t>
      </w:r>
      <w:r>
        <w:rPr>
          <w:rFonts w:ascii="Arial Narrow" w:hAnsi="Arial Narrow" w:cs="Arial Narrow"/>
          <w:b/>
          <w:bCs/>
          <w:sz w:val="24"/>
          <w:szCs w:val="24"/>
        </w:rPr>
        <w:t>.</w:t>
      </w:r>
      <w:r w:rsidRPr="001B679B">
        <w:rPr>
          <w:rFonts w:ascii="Arial Narrow" w:hAnsi="Arial Narrow" w:cs="Arial Narrow"/>
          <w:sz w:val="24"/>
          <w:szCs w:val="24"/>
        </w:rPr>
        <w:t xml:space="preserve"> în calitate de iniţiator de proiect, a organizat</w:t>
      </w:r>
      <w:r>
        <w:rPr>
          <w:rFonts w:ascii="Arial Narrow" w:hAnsi="Arial Narrow" w:cs="Arial Narrow"/>
          <w:sz w:val="24"/>
          <w:szCs w:val="24"/>
        </w:rPr>
        <w:t xml:space="preserve"> 12</w:t>
      </w:r>
      <w:r w:rsidRPr="001B679B">
        <w:rPr>
          <w:rFonts w:ascii="Arial Narrow" w:hAnsi="Arial Narrow" w:cs="Arial Narrow"/>
          <w:sz w:val="24"/>
          <w:szCs w:val="24"/>
        </w:rPr>
        <w:t xml:space="preserve"> </w:t>
      </w:r>
      <w:r>
        <w:rPr>
          <w:rFonts w:ascii="Arial Narrow" w:hAnsi="Arial Narrow" w:cs="Arial Narrow"/>
          <w:sz w:val="24"/>
          <w:szCs w:val="24"/>
        </w:rPr>
        <w:t xml:space="preserve">consultări publice </w:t>
      </w:r>
      <w:r w:rsidRPr="001B679B">
        <w:rPr>
          <w:rFonts w:ascii="Arial Narrow" w:hAnsi="Arial Narrow" w:cs="Arial Narrow"/>
          <w:sz w:val="24"/>
          <w:szCs w:val="24"/>
        </w:rPr>
        <w:t xml:space="preserve">în localităţile (UAT-ri): </w:t>
      </w:r>
      <w:r w:rsidRPr="001B679B">
        <w:rPr>
          <w:rFonts w:ascii="Arial Narrow" w:hAnsi="Arial Narrow" w:cs="Arial Narrow"/>
          <w:b/>
          <w:sz w:val="24"/>
          <w:szCs w:val="24"/>
        </w:rPr>
        <w:t xml:space="preserve">Mârşa </w:t>
      </w:r>
      <w:r w:rsidRPr="001B679B">
        <w:rPr>
          <w:rFonts w:ascii="Arial Narrow" w:hAnsi="Arial Narrow" w:cs="Arial Narrow"/>
          <w:sz w:val="24"/>
          <w:szCs w:val="24"/>
        </w:rPr>
        <w:t>(</w:t>
      </w:r>
      <w:r>
        <w:rPr>
          <w:rFonts w:ascii="Arial Narrow" w:hAnsi="Arial Narrow" w:cs="Arial Narrow"/>
          <w:sz w:val="24"/>
          <w:szCs w:val="24"/>
        </w:rPr>
        <w:t xml:space="preserve">județul </w:t>
      </w:r>
      <w:r w:rsidRPr="001B679B">
        <w:rPr>
          <w:rFonts w:ascii="Arial Narrow" w:hAnsi="Arial Narrow" w:cs="Arial Narrow"/>
          <w:sz w:val="24"/>
          <w:szCs w:val="24"/>
        </w:rPr>
        <w:t>Giurgiu)</w:t>
      </w:r>
      <w:r>
        <w:rPr>
          <w:rFonts w:ascii="Arial Narrow" w:hAnsi="Arial Narrow" w:cs="Arial Narrow"/>
          <w:sz w:val="24"/>
          <w:szCs w:val="24"/>
        </w:rPr>
        <w:t>,</w:t>
      </w:r>
      <w:r w:rsidRPr="001B679B">
        <w:rPr>
          <w:rFonts w:ascii="Arial Narrow" w:hAnsi="Arial Narrow" w:cs="Arial Narrow"/>
          <w:sz w:val="24"/>
          <w:szCs w:val="24"/>
        </w:rPr>
        <w:t xml:space="preserve"> </w:t>
      </w:r>
      <w:r w:rsidRPr="001B679B">
        <w:rPr>
          <w:rFonts w:ascii="Arial Narrow" w:hAnsi="Arial Narrow" w:cs="Arial Narrow"/>
          <w:b/>
          <w:sz w:val="24"/>
          <w:szCs w:val="24"/>
        </w:rPr>
        <w:t>Gra</w:t>
      </w:r>
      <w:r>
        <w:rPr>
          <w:rFonts w:ascii="Arial Narrow" w:hAnsi="Arial Narrow" w:cs="Arial Narrow"/>
          <w:b/>
          <w:sz w:val="24"/>
          <w:szCs w:val="24"/>
        </w:rPr>
        <w:t>ț</w:t>
      </w:r>
      <w:r w:rsidRPr="001B679B">
        <w:rPr>
          <w:rFonts w:ascii="Arial Narrow" w:hAnsi="Arial Narrow" w:cs="Arial Narrow"/>
          <w:b/>
          <w:sz w:val="24"/>
          <w:szCs w:val="24"/>
        </w:rPr>
        <w:t>ia</w:t>
      </w:r>
      <w:r w:rsidRPr="001B679B">
        <w:rPr>
          <w:rFonts w:ascii="Arial Narrow" w:hAnsi="Arial Narrow" w:cs="Arial Narrow"/>
          <w:sz w:val="24"/>
          <w:szCs w:val="24"/>
        </w:rPr>
        <w:t xml:space="preserve"> (</w:t>
      </w:r>
      <w:r>
        <w:rPr>
          <w:rFonts w:ascii="Arial Narrow" w:hAnsi="Arial Narrow" w:cs="Arial Narrow"/>
          <w:sz w:val="24"/>
          <w:szCs w:val="24"/>
        </w:rPr>
        <w:t xml:space="preserve">județul </w:t>
      </w:r>
      <w:r w:rsidRPr="001B679B">
        <w:rPr>
          <w:rFonts w:ascii="Arial Narrow" w:hAnsi="Arial Narrow" w:cs="Arial Narrow"/>
          <w:sz w:val="24"/>
          <w:szCs w:val="24"/>
        </w:rPr>
        <w:t>Teleorman)</w:t>
      </w:r>
      <w:r>
        <w:rPr>
          <w:rFonts w:ascii="Arial Narrow" w:hAnsi="Arial Narrow" w:cs="Arial Narrow"/>
          <w:sz w:val="24"/>
          <w:szCs w:val="24"/>
        </w:rPr>
        <w:t>,</w:t>
      </w:r>
      <w:r w:rsidRPr="001B679B">
        <w:rPr>
          <w:rFonts w:ascii="Arial Narrow" w:hAnsi="Arial Narrow" w:cs="Arial Narrow"/>
          <w:sz w:val="24"/>
          <w:szCs w:val="24"/>
        </w:rPr>
        <w:t xml:space="preserve"> </w:t>
      </w:r>
      <w:r w:rsidRPr="001B679B">
        <w:rPr>
          <w:rFonts w:ascii="Arial Narrow" w:hAnsi="Arial Narrow" w:cs="Arial Narrow"/>
          <w:b/>
          <w:sz w:val="24"/>
          <w:szCs w:val="24"/>
        </w:rPr>
        <w:t xml:space="preserve">Bârla </w:t>
      </w:r>
      <w:r w:rsidRPr="001B679B">
        <w:rPr>
          <w:rFonts w:ascii="Arial Narrow" w:hAnsi="Arial Narrow" w:cs="Arial Narrow"/>
          <w:sz w:val="24"/>
          <w:szCs w:val="24"/>
        </w:rPr>
        <w:t>(</w:t>
      </w:r>
      <w:r>
        <w:rPr>
          <w:rFonts w:ascii="Arial Narrow" w:hAnsi="Arial Narrow" w:cs="Arial Narrow"/>
          <w:sz w:val="24"/>
          <w:szCs w:val="24"/>
        </w:rPr>
        <w:t xml:space="preserve">județul </w:t>
      </w:r>
      <w:r w:rsidRPr="001B679B">
        <w:rPr>
          <w:rFonts w:ascii="Arial Narrow" w:hAnsi="Arial Narrow" w:cs="Arial Narrow"/>
          <w:sz w:val="24"/>
          <w:szCs w:val="24"/>
        </w:rPr>
        <w:t>Argeş)</w:t>
      </w:r>
      <w:r>
        <w:rPr>
          <w:rFonts w:ascii="Arial Narrow" w:hAnsi="Arial Narrow" w:cs="Arial Narrow"/>
          <w:sz w:val="24"/>
          <w:szCs w:val="24"/>
        </w:rPr>
        <w:t>,</w:t>
      </w:r>
      <w:r w:rsidRPr="001B679B">
        <w:rPr>
          <w:rFonts w:ascii="Arial Narrow" w:hAnsi="Arial Narrow" w:cs="Arial Narrow"/>
          <w:sz w:val="24"/>
          <w:szCs w:val="24"/>
        </w:rPr>
        <w:t xml:space="preserve"> </w:t>
      </w:r>
      <w:r w:rsidRPr="001B679B">
        <w:rPr>
          <w:rFonts w:ascii="Arial Narrow" w:hAnsi="Arial Narrow" w:cs="Arial Narrow"/>
          <w:b/>
          <w:sz w:val="24"/>
          <w:szCs w:val="24"/>
        </w:rPr>
        <w:t>Potcoava</w:t>
      </w:r>
      <w:r w:rsidRPr="001B679B">
        <w:rPr>
          <w:rFonts w:ascii="Arial Narrow" w:hAnsi="Arial Narrow" w:cs="Arial Narrow"/>
          <w:sz w:val="24"/>
          <w:szCs w:val="24"/>
        </w:rPr>
        <w:t xml:space="preserve"> (</w:t>
      </w:r>
      <w:r>
        <w:rPr>
          <w:rFonts w:ascii="Arial Narrow" w:hAnsi="Arial Narrow" w:cs="Arial Narrow"/>
          <w:sz w:val="24"/>
          <w:szCs w:val="24"/>
        </w:rPr>
        <w:t xml:space="preserve">județul </w:t>
      </w:r>
      <w:r w:rsidRPr="001B679B">
        <w:rPr>
          <w:rFonts w:ascii="Arial Narrow" w:hAnsi="Arial Narrow" w:cs="Arial Narrow"/>
          <w:sz w:val="24"/>
          <w:szCs w:val="24"/>
        </w:rPr>
        <w:t>Olt)</w:t>
      </w:r>
      <w:r>
        <w:rPr>
          <w:rFonts w:ascii="Arial Narrow" w:hAnsi="Arial Narrow" w:cs="Arial Narrow"/>
          <w:sz w:val="24"/>
          <w:szCs w:val="24"/>
        </w:rPr>
        <w:t>,</w:t>
      </w:r>
      <w:r w:rsidRPr="001B679B">
        <w:rPr>
          <w:rFonts w:ascii="Arial Narrow" w:hAnsi="Arial Narrow" w:cs="Arial Narrow"/>
          <w:sz w:val="24"/>
          <w:szCs w:val="24"/>
        </w:rPr>
        <w:t xml:space="preserve"> </w:t>
      </w:r>
      <w:r w:rsidRPr="001B679B">
        <w:rPr>
          <w:rFonts w:ascii="Arial Narrow" w:hAnsi="Arial Narrow" w:cs="Arial Narrow"/>
          <w:b/>
          <w:sz w:val="24"/>
          <w:szCs w:val="24"/>
        </w:rPr>
        <w:t>Guşoieni</w:t>
      </w:r>
      <w:r w:rsidRPr="001B679B">
        <w:rPr>
          <w:rFonts w:ascii="Arial Narrow" w:hAnsi="Arial Narrow" w:cs="Arial Narrow"/>
          <w:sz w:val="24"/>
          <w:szCs w:val="24"/>
        </w:rPr>
        <w:t xml:space="preserve"> (</w:t>
      </w:r>
      <w:r>
        <w:rPr>
          <w:rFonts w:ascii="Arial Narrow" w:hAnsi="Arial Narrow" w:cs="Arial Narrow"/>
          <w:sz w:val="24"/>
          <w:szCs w:val="24"/>
        </w:rPr>
        <w:t xml:space="preserve">județul </w:t>
      </w:r>
      <w:r w:rsidRPr="001B679B">
        <w:rPr>
          <w:rFonts w:ascii="Arial Narrow" w:hAnsi="Arial Narrow" w:cs="Arial Narrow"/>
          <w:sz w:val="24"/>
          <w:szCs w:val="24"/>
        </w:rPr>
        <w:t>Vâlcea)</w:t>
      </w:r>
      <w:r>
        <w:rPr>
          <w:rFonts w:ascii="Arial Narrow" w:hAnsi="Arial Narrow" w:cs="Arial Narrow"/>
          <w:sz w:val="24"/>
          <w:szCs w:val="24"/>
        </w:rPr>
        <w:t>,</w:t>
      </w:r>
      <w:r w:rsidRPr="001B679B">
        <w:rPr>
          <w:rFonts w:ascii="Arial Narrow" w:hAnsi="Arial Narrow" w:cs="Arial Narrow"/>
          <w:sz w:val="24"/>
          <w:szCs w:val="24"/>
        </w:rPr>
        <w:t xml:space="preserve"> </w:t>
      </w:r>
      <w:r w:rsidRPr="001B679B">
        <w:rPr>
          <w:rFonts w:ascii="Arial Narrow" w:hAnsi="Arial Narrow" w:cs="Arial Narrow"/>
          <w:b/>
          <w:sz w:val="24"/>
          <w:szCs w:val="24"/>
        </w:rPr>
        <w:t>Măciuca</w:t>
      </w:r>
      <w:r w:rsidRPr="001B679B">
        <w:rPr>
          <w:rFonts w:ascii="Arial Narrow" w:hAnsi="Arial Narrow" w:cs="Arial Narrow"/>
          <w:sz w:val="24"/>
          <w:szCs w:val="24"/>
        </w:rPr>
        <w:t xml:space="preserve"> (</w:t>
      </w:r>
      <w:r>
        <w:rPr>
          <w:rFonts w:ascii="Arial Narrow" w:hAnsi="Arial Narrow" w:cs="Arial Narrow"/>
          <w:sz w:val="24"/>
          <w:szCs w:val="24"/>
        </w:rPr>
        <w:t xml:space="preserve">județul </w:t>
      </w:r>
      <w:r w:rsidRPr="001B679B">
        <w:rPr>
          <w:rFonts w:ascii="Arial Narrow" w:hAnsi="Arial Narrow" w:cs="Arial Narrow"/>
          <w:sz w:val="24"/>
          <w:szCs w:val="24"/>
        </w:rPr>
        <w:t>Vâlcea)</w:t>
      </w:r>
      <w:r>
        <w:rPr>
          <w:rFonts w:ascii="Arial Narrow" w:hAnsi="Arial Narrow" w:cs="Arial Narrow"/>
          <w:sz w:val="24"/>
          <w:szCs w:val="24"/>
        </w:rPr>
        <w:t>,</w:t>
      </w:r>
      <w:r w:rsidRPr="001B679B">
        <w:rPr>
          <w:rFonts w:ascii="Arial Narrow" w:hAnsi="Arial Narrow" w:cs="Arial Narrow"/>
          <w:sz w:val="24"/>
          <w:szCs w:val="24"/>
        </w:rPr>
        <w:t xml:space="preserve"> </w:t>
      </w:r>
      <w:r w:rsidRPr="001B679B">
        <w:rPr>
          <w:rFonts w:ascii="Arial Narrow" w:hAnsi="Arial Narrow" w:cs="Arial Narrow"/>
          <w:b/>
          <w:sz w:val="24"/>
          <w:szCs w:val="24"/>
        </w:rPr>
        <w:t>Bălăneşti</w:t>
      </w:r>
      <w:r w:rsidRPr="001B679B">
        <w:rPr>
          <w:rFonts w:ascii="Arial Narrow" w:hAnsi="Arial Narrow" w:cs="Arial Narrow"/>
          <w:sz w:val="24"/>
          <w:szCs w:val="24"/>
        </w:rPr>
        <w:t xml:space="preserve"> (</w:t>
      </w:r>
      <w:r>
        <w:rPr>
          <w:rFonts w:ascii="Arial Narrow" w:hAnsi="Arial Narrow" w:cs="Arial Narrow"/>
          <w:sz w:val="24"/>
          <w:szCs w:val="24"/>
        </w:rPr>
        <w:t xml:space="preserve">județul </w:t>
      </w:r>
      <w:r w:rsidRPr="001B679B">
        <w:rPr>
          <w:rFonts w:ascii="Arial Narrow" w:hAnsi="Arial Narrow" w:cs="Arial Narrow"/>
          <w:sz w:val="24"/>
          <w:szCs w:val="24"/>
        </w:rPr>
        <w:t>Gorj)</w:t>
      </w:r>
      <w:r>
        <w:rPr>
          <w:rFonts w:ascii="Arial Narrow" w:hAnsi="Arial Narrow" w:cs="Arial Narrow"/>
          <w:sz w:val="24"/>
          <w:szCs w:val="24"/>
        </w:rPr>
        <w:t xml:space="preserve">, </w:t>
      </w:r>
      <w:r w:rsidRPr="001B679B">
        <w:rPr>
          <w:rFonts w:ascii="Arial Narrow" w:hAnsi="Arial Narrow" w:cs="Arial Narrow"/>
          <w:b/>
          <w:sz w:val="24"/>
          <w:szCs w:val="24"/>
        </w:rPr>
        <w:t>Turcineşti</w:t>
      </w:r>
      <w:r>
        <w:rPr>
          <w:rFonts w:ascii="Arial Narrow" w:hAnsi="Arial Narrow" w:cs="Arial Narrow"/>
          <w:b/>
          <w:sz w:val="24"/>
          <w:szCs w:val="24"/>
        </w:rPr>
        <w:t xml:space="preserve"> </w:t>
      </w:r>
      <w:r w:rsidRPr="001B679B">
        <w:rPr>
          <w:rFonts w:ascii="Arial Narrow" w:hAnsi="Arial Narrow" w:cs="Arial Narrow"/>
          <w:sz w:val="24"/>
          <w:szCs w:val="24"/>
        </w:rPr>
        <w:t>(</w:t>
      </w:r>
      <w:r>
        <w:rPr>
          <w:rFonts w:ascii="Arial Narrow" w:hAnsi="Arial Narrow" w:cs="Arial Narrow"/>
          <w:sz w:val="24"/>
          <w:szCs w:val="24"/>
        </w:rPr>
        <w:t xml:space="preserve">județul </w:t>
      </w:r>
      <w:r w:rsidRPr="001B679B">
        <w:rPr>
          <w:rFonts w:ascii="Arial Narrow" w:hAnsi="Arial Narrow" w:cs="Arial Narrow"/>
          <w:sz w:val="24"/>
          <w:szCs w:val="24"/>
        </w:rPr>
        <w:t>Gorj)</w:t>
      </w:r>
      <w:r>
        <w:rPr>
          <w:rFonts w:ascii="Arial Narrow" w:hAnsi="Arial Narrow" w:cs="Arial Narrow"/>
          <w:sz w:val="24"/>
          <w:szCs w:val="24"/>
        </w:rPr>
        <w:t xml:space="preserve">, </w:t>
      </w:r>
      <w:r w:rsidRPr="001B679B">
        <w:rPr>
          <w:rFonts w:ascii="Arial Narrow" w:hAnsi="Arial Narrow" w:cs="Arial Narrow"/>
          <w:b/>
          <w:sz w:val="24"/>
          <w:szCs w:val="24"/>
        </w:rPr>
        <w:t>Toteşti</w:t>
      </w:r>
      <w:r>
        <w:rPr>
          <w:rFonts w:ascii="Arial Narrow" w:hAnsi="Arial Narrow" w:cs="Arial Narrow"/>
          <w:b/>
          <w:sz w:val="24"/>
          <w:szCs w:val="24"/>
        </w:rPr>
        <w:t xml:space="preserve"> </w:t>
      </w:r>
      <w:r w:rsidRPr="001B679B">
        <w:rPr>
          <w:rFonts w:ascii="Arial Narrow" w:hAnsi="Arial Narrow" w:cs="Arial Narrow"/>
          <w:sz w:val="24"/>
          <w:szCs w:val="24"/>
        </w:rPr>
        <w:t>(</w:t>
      </w:r>
      <w:r>
        <w:rPr>
          <w:rFonts w:ascii="Arial Narrow" w:hAnsi="Arial Narrow" w:cs="Arial Narrow"/>
          <w:sz w:val="24"/>
          <w:szCs w:val="24"/>
        </w:rPr>
        <w:t xml:space="preserve">județul </w:t>
      </w:r>
      <w:r w:rsidRPr="001B679B">
        <w:rPr>
          <w:rFonts w:ascii="Arial Narrow" w:hAnsi="Arial Narrow" w:cs="Arial Narrow"/>
          <w:sz w:val="24"/>
          <w:szCs w:val="24"/>
        </w:rPr>
        <w:t>Hunedoara)</w:t>
      </w:r>
      <w:r>
        <w:rPr>
          <w:rFonts w:ascii="Arial Narrow" w:hAnsi="Arial Narrow" w:cs="Arial Narrow"/>
          <w:sz w:val="24"/>
          <w:szCs w:val="24"/>
        </w:rPr>
        <w:t xml:space="preserve">, </w:t>
      </w:r>
      <w:r w:rsidRPr="001B679B">
        <w:rPr>
          <w:rFonts w:ascii="Arial Narrow" w:hAnsi="Arial Narrow" w:cs="Arial Narrow"/>
          <w:b/>
          <w:sz w:val="24"/>
          <w:szCs w:val="24"/>
        </w:rPr>
        <w:t>Băuţar</w:t>
      </w:r>
      <w:r>
        <w:rPr>
          <w:rFonts w:ascii="Arial Narrow" w:hAnsi="Arial Narrow" w:cs="Arial Narrow"/>
          <w:b/>
          <w:sz w:val="24"/>
          <w:szCs w:val="24"/>
        </w:rPr>
        <w:t xml:space="preserve"> </w:t>
      </w:r>
      <w:r w:rsidRPr="001B679B">
        <w:rPr>
          <w:rFonts w:ascii="Arial Narrow" w:hAnsi="Arial Narrow" w:cs="Arial Narrow"/>
          <w:sz w:val="24"/>
          <w:szCs w:val="24"/>
        </w:rPr>
        <w:t>(</w:t>
      </w:r>
      <w:r>
        <w:rPr>
          <w:rFonts w:ascii="Arial Narrow" w:hAnsi="Arial Narrow" w:cs="Arial Narrow"/>
          <w:sz w:val="24"/>
          <w:szCs w:val="24"/>
        </w:rPr>
        <w:t xml:space="preserve">județul </w:t>
      </w:r>
      <w:r w:rsidRPr="001B679B">
        <w:rPr>
          <w:rFonts w:ascii="Arial Narrow" w:hAnsi="Arial Narrow" w:cs="Arial Narrow"/>
          <w:sz w:val="24"/>
          <w:szCs w:val="24"/>
        </w:rPr>
        <w:t>Caraş-Severin)</w:t>
      </w:r>
      <w:r>
        <w:rPr>
          <w:rFonts w:ascii="Arial Narrow" w:hAnsi="Arial Narrow" w:cs="Arial Narrow"/>
          <w:sz w:val="24"/>
          <w:szCs w:val="24"/>
        </w:rPr>
        <w:t xml:space="preserve">, </w:t>
      </w:r>
      <w:r w:rsidRPr="001B679B">
        <w:rPr>
          <w:rFonts w:ascii="Arial Narrow" w:hAnsi="Arial Narrow" w:cs="Arial Narrow"/>
          <w:b/>
          <w:sz w:val="24"/>
          <w:szCs w:val="24"/>
        </w:rPr>
        <w:t>Obreja</w:t>
      </w:r>
      <w:r>
        <w:rPr>
          <w:rFonts w:ascii="Arial Narrow" w:hAnsi="Arial Narrow" w:cs="Arial Narrow"/>
          <w:b/>
          <w:sz w:val="24"/>
          <w:szCs w:val="24"/>
        </w:rPr>
        <w:t xml:space="preserve"> </w:t>
      </w:r>
      <w:r w:rsidRPr="001B679B">
        <w:rPr>
          <w:rFonts w:ascii="Arial Narrow" w:hAnsi="Arial Narrow" w:cs="Arial Narrow"/>
          <w:sz w:val="24"/>
          <w:szCs w:val="24"/>
        </w:rPr>
        <w:t>(</w:t>
      </w:r>
      <w:r>
        <w:rPr>
          <w:rFonts w:ascii="Arial Narrow" w:hAnsi="Arial Narrow" w:cs="Arial Narrow"/>
          <w:sz w:val="24"/>
          <w:szCs w:val="24"/>
        </w:rPr>
        <w:t xml:space="preserve">județul </w:t>
      </w:r>
      <w:r w:rsidRPr="001B679B">
        <w:rPr>
          <w:rFonts w:ascii="Arial Narrow" w:hAnsi="Arial Narrow" w:cs="Arial Narrow"/>
          <w:sz w:val="24"/>
          <w:szCs w:val="24"/>
        </w:rPr>
        <w:t>Caraş-Severin)</w:t>
      </w:r>
      <w:r>
        <w:rPr>
          <w:rFonts w:ascii="Arial Narrow" w:hAnsi="Arial Narrow" w:cs="Arial Narrow"/>
          <w:sz w:val="24"/>
          <w:szCs w:val="24"/>
        </w:rPr>
        <w:t xml:space="preserve">, </w:t>
      </w:r>
      <w:r w:rsidRPr="001B679B">
        <w:rPr>
          <w:rFonts w:ascii="Arial Narrow" w:hAnsi="Arial Narrow" w:cs="Arial Narrow"/>
          <w:b/>
          <w:sz w:val="24"/>
          <w:szCs w:val="24"/>
        </w:rPr>
        <w:t>Coşteiu</w:t>
      </w:r>
      <w:r w:rsidRPr="001B679B">
        <w:rPr>
          <w:rFonts w:ascii="Arial Narrow" w:hAnsi="Arial Narrow" w:cs="Arial Narrow"/>
          <w:sz w:val="24"/>
          <w:szCs w:val="24"/>
        </w:rPr>
        <w:t xml:space="preserve"> (</w:t>
      </w:r>
      <w:r>
        <w:rPr>
          <w:rFonts w:ascii="Arial Narrow" w:hAnsi="Arial Narrow" w:cs="Arial Narrow"/>
          <w:sz w:val="24"/>
          <w:szCs w:val="24"/>
        </w:rPr>
        <w:t xml:space="preserve">județul </w:t>
      </w:r>
      <w:r w:rsidRPr="001B679B">
        <w:rPr>
          <w:rFonts w:ascii="Arial Narrow" w:hAnsi="Arial Narrow" w:cs="Arial Narrow"/>
          <w:sz w:val="24"/>
          <w:szCs w:val="24"/>
        </w:rPr>
        <w:t>Timiş) pentru proiectul "</w:t>
      </w:r>
      <w:r w:rsidRPr="001B679B">
        <w:rPr>
          <w:rFonts w:ascii="Arial Narrow" w:hAnsi="Arial Narrow" w:cs="Arial Narrow"/>
          <w:b/>
          <w:bCs/>
          <w:sz w:val="24"/>
          <w:szCs w:val="24"/>
        </w:rPr>
        <w:t>Dezvoltarea pe teritoriul României a Sistemului Naţional de Transport Gaze Naturale pe coridorul Bulgaria-Româ</w:t>
      </w:r>
      <w:r w:rsidRPr="000A5186">
        <w:rPr>
          <w:rFonts w:ascii="Arial Narrow" w:hAnsi="Arial Narrow" w:cs="Arial Narrow"/>
          <w:b/>
          <w:bCs/>
          <w:sz w:val="24"/>
          <w:szCs w:val="24"/>
        </w:rPr>
        <w:t>nia-Ungaria-Austria, Podi</w:t>
      </w:r>
      <w:r w:rsidRPr="001B679B">
        <w:rPr>
          <w:rFonts w:ascii="Arial Narrow" w:hAnsi="Arial Narrow" w:cs="Arial Narrow"/>
          <w:b/>
          <w:bCs/>
          <w:sz w:val="24"/>
          <w:szCs w:val="24"/>
        </w:rPr>
        <w:t>șor – SMG Horia și 3 noi stații de comprimare (Jupa, Bibești și Podișor) (Faza 1)” (Număr de referință în Lista Uniunii: 6.24.2.)"</w:t>
      </w:r>
      <w:r w:rsidRPr="00B3596A">
        <w:rPr>
          <w:rFonts w:ascii="Arial Narrow" w:hAnsi="Arial Narrow" w:cs="Arial Narrow"/>
          <w:bCs/>
          <w:sz w:val="24"/>
          <w:szCs w:val="24"/>
        </w:rPr>
        <w:t>.</w:t>
      </w:r>
      <w:r>
        <w:rPr>
          <w:rFonts w:ascii="Arial Narrow" w:hAnsi="Arial Narrow" w:cs="Arial Narrow"/>
          <w:b/>
          <w:bCs/>
          <w:sz w:val="24"/>
          <w:szCs w:val="24"/>
        </w:rPr>
        <w:t xml:space="preserve"> </w:t>
      </w:r>
    </w:p>
    <w:p w14:paraId="6AD4BB98" w14:textId="77777777" w:rsidR="005C125C"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rPr>
      </w:pPr>
      <w:r w:rsidRPr="00B3596A">
        <w:rPr>
          <w:rFonts w:ascii="Arial Narrow" w:hAnsi="Arial Narrow" w:cs="Arial Narrow"/>
          <w:bCs/>
          <w:sz w:val="24"/>
          <w:szCs w:val="24"/>
        </w:rPr>
        <w:t>Trebuie precizat că perioada în care s-au realizat</w:t>
      </w:r>
      <w:r>
        <w:rPr>
          <w:rFonts w:ascii="Arial Narrow" w:hAnsi="Arial Narrow" w:cs="Arial Narrow"/>
          <w:b/>
          <w:bCs/>
          <w:sz w:val="24"/>
          <w:szCs w:val="24"/>
        </w:rPr>
        <w:t xml:space="preserve"> </w:t>
      </w:r>
      <w:r w:rsidRPr="00B3596A">
        <w:rPr>
          <w:rFonts w:ascii="Arial Narrow" w:hAnsi="Arial Narrow" w:cs="Arial Narrow"/>
          <w:bCs/>
          <w:sz w:val="24"/>
          <w:szCs w:val="24"/>
        </w:rPr>
        <w:t>c</w:t>
      </w:r>
      <w:r>
        <w:rPr>
          <w:rFonts w:ascii="Arial Narrow" w:hAnsi="Arial Narrow" w:cs="Arial Narrow"/>
          <w:bCs/>
          <w:sz w:val="24"/>
          <w:szCs w:val="24"/>
        </w:rPr>
        <w:t xml:space="preserve">onsultările publice a fost </w:t>
      </w:r>
      <w:r w:rsidRPr="001B679B">
        <w:rPr>
          <w:rFonts w:ascii="Arial Narrow" w:hAnsi="Arial Narrow" w:cs="Arial Narrow"/>
          <w:b/>
          <w:sz w:val="24"/>
          <w:szCs w:val="24"/>
        </w:rPr>
        <w:t>24 octombrie - 08 noiembrie 2016</w:t>
      </w:r>
      <w:r>
        <w:rPr>
          <w:rFonts w:ascii="Arial Narrow" w:hAnsi="Arial Narrow" w:cs="Arial Narrow"/>
          <w:sz w:val="24"/>
          <w:szCs w:val="24"/>
        </w:rPr>
        <w:t xml:space="preserve">, diferită de cea estimată în </w:t>
      </w:r>
      <w:r>
        <w:rPr>
          <w:rFonts w:ascii="Arial Narrow" w:hAnsi="Arial Narrow" w:cs="Arial Narrow"/>
          <w:b/>
          <w:sz w:val="24"/>
          <w:szCs w:val="24"/>
        </w:rPr>
        <w:t>P</w:t>
      </w:r>
      <w:r w:rsidRPr="00CF52FE">
        <w:rPr>
          <w:rFonts w:ascii="Arial Narrow" w:hAnsi="Arial Narrow"/>
          <w:b/>
          <w:sz w:val="24"/>
          <w:szCs w:val="24"/>
        </w:rPr>
        <w:t>lanul de consultare al părţilor abordate</w:t>
      </w:r>
      <w:r>
        <w:rPr>
          <w:rFonts w:ascii="Arial Narrow" w:hAnsi="Arial Narrow"/>
          <w:b/>
          <w:sz w:val="24"/>
          <w:szCs w:val="24"/>
        </w:rPr>
        <w:t xml:space="preserve"> </w:t>
      </w:r>
      <w:r>
        <w:rPr>
          <w:rFonts w:ascii="Arial Narrow" w:hAnsi="Arial Narrow" w:cs="Arial Narrow"/>
          <w:sz w:val="24"/>
          <w:szCs w:val="24"/>
        </w:rPr>
        <w:t xml:space="preserve">din Conceptul privind participarea publicului aprobat, întrucât a fost necesară confirmarea </w:t>
      </w:r>
      <w:r w:rsidR="005C125C">
        <w:rPr>
          <w:rFonts w:ascii="Arial Narrow" w:hAnsi="Arial Narrow" w:cs="Arial Narrow"/>
          <w:sz w:val="24"/>
          <w:szCs w:val="24"/>
        </w:rPr>
        <w:t>din partea părţilor  interesate şi relevante afectate.</w:t>
      </w:r>
    </w:p>
    <w:p w14:paraId="385D9A32" w14:textId="77777777" w:rsidR="005C125C" w:rsidRDefault="005C125C">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rPr>
      </w:pPr>
    </w:p>
    <w:p w14:paraId="001611AE" w14:textId="11FEA3E6" w:rsidR="00896C08" w:rsidRPr="001B679B"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rPr>
      </w:pPr>
      <w:r w:rsidRPr="001B679B">
        <w:rPr>
          <w:rFonts w:ascii="Arial Narrow" w:hAnsi="Arial Narrow" w:cs="Arial Narrow"/>
          <w:sz w:val="24"/>
          <w:szCs w:val="24"/>
        </w:rPr>
        <w:t>Consultarea publicului s-</w:t>
      </w:r>
      <w:proofErr w:type="gramStart"/>
      <w:r w:rsidRPr="001B679B">
        <w:rPr>
          <w:rFonts w:ascii="Arial Narrow" w:hAnsi="Arial Narrow" w:cs="Arial Narrow"/>
          <w:sz w:val="24"/>
          <w:szCs w:val="24"/>
        </w:rPr>
        <w:t>a</w:t>
      </w:r>
      <w:proofErr w:type="gramEnd"/>
      <w:r w:rsidRPr="001B679B">
        <w:rPr>
          <w:rFonts w:ascii="Arial Narrow" w:hAnsi="Arial Narrow" w:cs="Arial Narrow"/>
          <w:sz w:val="24"/>
          <w:szCs w:val="24"/>
        </w:rPr>
        <w:t xml:space="preserve"> organizat şi desfăşurat în conformitate cu prevederile Regulamentului (UE) nr. 347/2013 al Parlamentului European și al Consiliului din 17 aprilie 2013 privind liniiile directoare pentru infrastructurile energetice transeuropene</w:t>
      </w:r>
      <w:r>
        <w:rPr>
          <w:rFonts w:ascii="Arial Narrow" w:hAnsi="Arial Narrow" w:cs="Arial Narrow"/>
          <w:sz w:val="24"/>
          <w:szCs w:val="24"/>
        </w:rPr>
        <w:t>,</w:t>
      </w:r>
      <w:r w:rsidRPr="00B3596A">
        <w:rPr>
          <w:rFonts w:ascii="Arial Narrow" w:hAnsi="Arial Narrow" w:cs="Arial Narrow"/>
          <w:sz w:val="24"/>
        </w:rPr>
        <w:t xml:space="preserve"> de abrogare a Deciziei nr. 1364/2006/CE şi de modificare a Regulamentelor (CE) nr. 713/2009, (CE) nr. 714/2009 şi (CE) nr. 715/2009 </w:t>
      </w:r>
      <w:r w:rsidRPr="001B679B">
        <w:rPr>
          <w:rFonts w:ascii="Arial Narrow" w:hAnsi="Arial Narrow" w:cs="Arial Narrow"/>
          <w:sz w:val="24"/>
          <w:szCs w:val="24"/>
        </w:rPr>
        <w:t>şi cele ale Manualului privind procedura de autorizare a Proiectelor de Interes Comun, elaborat de Autoritatea Competent</w:t>
      </w:r>
      <w:r>
        <w:rPr>
          <w:rFonts w:ascii="Arial Narrow" w:hAnsi="Arial Narrow" w:cs="Arial Narrow"/>
          <w:sz w:val="24"/>
          <w:szCs w:val="24"/>
        </w:rPr>
        <w:t>ă</w:t>
      </w:r>
      <w:r w:rsidRPr="001B679B">
        <w:rPr>
          <w:rFonts w:ascii="Arial Narrow" w:hAnsi="Arial Narrow" w:cs="Arial Narrow"/>
          <w:sz w:val="24"/>
          <w:szCs w:val="24"/>
        </w:rPr>
        <w:t xml:space="preserve"> pentru Proiecte de Interes Comun</w:t>
      </w:r>
      <w:r w:rsidR="00755833">
        <w:rPr>
          <w:rFonts w:ascii="Arial Narrow" w:hAnsi="Arial Narrow" w:cs="Arial Narrow"/>
          <w:sz w:val="24"/>
          <w:szCs w:val="24"/>
        </w:rPr>
        <w:t>.</w:t>
      </w:r>
    </w:p>
    <w:p w14:paraId="5F14EEA5" w14:textId="77777777" w:rsidR="00C96EB5"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rPr>
      </w:pPr>
    </w:p>
    <w:p w14:paraId="4E06B388" w14:textId="6E3B5E16" w:rsidR="00896C08" w:rsidRPr="001B679B"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rPr>
      </w:pPr>
      <w:r w:rsidRPr="001B679B">
        <w:rPr>
          <w:rFonts w:ascii="Arial Narrow" w:hAnsi="Arial Narrow" w:cs="Arial Narrow"/>
          <w:sz w:val="24"/>
          <w:szCs w:val="24"/>
        </w:rPr>
        <w:t>Consultarea publicului conform Regulamentului (UE) nr. 347/2013 completează seria de dezbateri ş</w:t>
      </w:r>
      <w:r w:rsidRPr="000A5186">
        <w:rPr>
          <w:rFonts w:ascii="Arial Narrow" w:hAnsi="Arial Narrow" w:cs="Arial Narrow"/>
          <w:sz w:val="24"/>
          <w:szCs w:val="24"/>
        </w:rPr>
        <w:t>i consult</w:t>
      </w:r>
      <w:r w:rsidRPr="001B679B">
        <w:rPr>
          <w:rFonts w:ascii="Arial Narrow" w:hAnsi="Arial Narrow" w:cs="Arial Narrow"/>
          <w:sz w:val="24"/>
          <w:szCs w:val="24"/>
        </w:rPr>
        <w:t xml:space="preserve">ări publice </w:t>
      </w:r>
      <w:r>
        <w:rPr>
          <w:rFonts w:ascii="Arial Narrow" w:hAnsi="Arial Narrow" w:cs="Arial Narrow"/>
          <w:sz w:val="24"/>
          <w:szCs w:val="24"/>
        </w:rPr>
        <w:t>realizate</w:t>
      </w:r>
      <w:r w:rsidRPr="001B679B">
        <w:rPr>
          <w:rFonts w:ascii="Arial Narrow" w:hAnsi="Arial Narrow" w:cs="Arial Narrow"/>
          <w:sz w:val="24"/>
          <w:szCs w:val="24"/>
        </w:rPr>
        <w:t xml:space="preserve"> de Transgaz, atât în conformitate cu cerinţele reglementărilor legislative în </w:t>
      </w:r>
      <w:r>
        <w:rPr>
          <w:rFonts w:ascii="Arial Narrow" w:hAnsi="Arial Narrow" w:cs="Arial Narrow"/>
          <w:sz w:val="24"/>
          <w:szCs w:val="24"/>
        </w:rPr>
        <w:t>domeniul</w:t>
      </w:r>
      <w:r w:rsidRPr="001B679B">
        <w:rPr>
          <w:rFonts w:ascii="Arial Narrow" w:hAnsi="Arial Narrow" w:cs="Arial Narrow"/>
          <w:sz w:val="24"/>
          <w:szCs w:val="24"/>
        </w:rPr>
        <w:t xml:space="preserve"> mediu</w:t>
      </w:r>
      <w:r>
        <w:rPr>
          <w:rFonts w:ascii="Arial Narrow" w:hAnsi="Arial Narrow" w:cs="Arial Narrow"/>
          <w:sz w:val="24"/>
          <w:szCs w:val="24"/>
        </w:rPr>
        <w:t>lui</w:t>
      </w:r>
      <w:r w:rsidRPr="001B679B">
        <w:rPr>
          <w:rFonts w:ascii="Arial Narrow" w:hAnsi="Arial Narrow" w:cs="Arial Narrow"/>
          <w:sz w:val="24"/>
          <w:szCs w:val="24"/>
        </w:rPr>
        <w:t xml:space="preserve"> şi protej</w:t>
      </w:r>
      <w:r>
        <w:rPr>
          <w:rFonts w:ascii="Arial Narrow" w:hAnsi="Arial Narrow" w:cs="Arial Narrow"/>
          <w:sz w:val="24"/>
          <w:szCs w:val="24"/>
        </w:rPr>
        <w:t>ării</w:t>
      </w:r>
      <w:r w:rsidRPr="001B679B">
        <w:rPr>
          <w:rFonts w:ascii="Arial Narrow" w:hAnsi="Arial Narrow" w:cs="Arial Narrow"/>
          <w:sz w:val="24"/>
          <w:szCs w:val="24"/>
        </w:rPr>
        <w:t xml:space="preserve"> acestuia</w:t>
      </w:r>
      <w:r>
        <w:rPr>
          <w:rFonts w:ascii="Arial Narrow" w:hAnsi="Arial Narrow" w:cs="Arial Narrow"/>
          <w:sz w:val="24"/>
          <w:szCs w:val="24"/>
        </w:rPr>
        <w:t>,</w:t>
      </w:r>
      <w:r w:rsidRPr="001B679B">
        <w:rPr>
          <w:rFonts w:ascii="Arial Narrow" w:hAnsi="Arial Narrow" w:cs="Arial Narrow"/>
          <w:sz w:val="24"/>
          <w:szCs w:val="24"/>
        </w:rPr>
        <w:t xml:space="preserve"> cât şi în ceea ce priveşte accesul în teren pentru execuţia lucrărilor de proiectare ş</w:t>
      </w:r>
      <w:r w:rsidRPr="000A5186">
        <w:rPr>
          <w:rFonts w:ascii="Arial Narrow" w:hAnsi="Arial Narrow" w:cs="Arial Narrow"/>
          <w:sz w:val="24"/>
          <w:szCs w:val="24"/>
        </w:rPr>
        <w:t>i construc</w:t>
      </w:r>
      <w:r w:rsidRPr="001B679B">
        <w:rPr>
          <w:rFonts w:ascii="Arial Narrow" w:hAnsi="Arial Narrow" w:cs="Arial Narrow"/>
          <w:sz w:val="24"/>
          <w:szCs w:val="24"/>
        </w:rPr>
        <w:t>ţ</w:t>
      </w:r>
      <w:r>
        <w:rPr>
          <w:rFonts w:ascii="Arial Narrow" w:hAnsi="Arial Narrow" w:cs="Arial Narrow"/>
          <w:sz w:val="24"/>
          <w:szCs w:val="24"/>
        </w:rPr>
        <w:t>ie a gazoductului BRUA - F</w:t>
      </w:r>
      <w:r w:rsidRPr="001B679B">
        <w:rPr>
          <w:rFonts w:ascii="Arial Narrow" w:hAnsi="Arial Narrow" w:cs="Arial Narrow"/>
          <w:sz w:val="24"/>
          <w:szCs w:val="24"/>
        </w:rPr>
        <w:t>aza 1</w:t>
      </w:r>
      <w:r>
        <w:rPr>
          <w:rFonts w:ascii="Arial Narrow" w:hAnsi="Arial Narrow" w:cs="Arial Narrow"/>
          <w:sz w:val="24"/>
          <w:szCs w:val="24"/>
        </w:rPr>
        <w:t xml:space="preserve">, </w:t>
      </w:r>
      <w:r w:rsidRPr="00B3596A">
        <w:rPr>
          <w:rFonts w:ascii="Arial Narrow" w:hAnsi="Arial Narrow" w:cs="Arial Narrow"/>
          <w:sz w:val="24"/>
          <w:szCs w:val="24"/>
        </w:rPr>
        <w:t>pentru a asigura cele mai înalte standarde posibile de transparenţă şi de participare a publicului la toate aspectele relevante în procesul de autorizare</w:t>
      </w:r>
      <w:r w:rsidRPr="001B679B">
        <w:rPr>
          <w:rFonts w:ascii="Arial Narrow" w:hAnsi="Arial Narrow" w:cs="Arial Narrow"/>
          <w:sz w:val="24"/>
          <w:szCs w:val="24"/>
        </w:rPr>
        <w:t>.</w:t>
      </w:r>
    </w:p>
    <w:p w14:paraId="72225A4B" w14:textId="77777777" w:rsidR="00896C08" w:rsidRPr="001B679B"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rPr>
      </w:pPr>
    </w:p>
    <w:p w14:paraId="2AEEF30C" w14:textId="77777777" w:rsidR="00896C08" w:rsidRPr="000A5186" w:rsidRDefault="00896C08" w:rsidP="001B679B">
      <w:pPr>
        <w:pStyle w:val="ListParagraph"/>
        <w:numPr>
          <w:ilvl w:val="0"/>
          <w:numId w:val="2"/>
        </w:numPr>
        <w:pBdr>
          <w:top w:val="none" w:sz="0" w:space="0" w:color="auto"/>
          <w:left w:val="none" w:sz="0" w:space="0" w:color="auto"/>
          <w:bottom w:val="none" w:sz="0" w:space="0" w:color="auto"/>
          <w:right w:val="none" w:sz="0" w:space="0" w:color="auto"/>
          <w:between w:val="skyrocket" w:sz="96" w:space="0" w:color="auto"/>
          <w:bar w:val="none" w:sz="0" w:color="auto"/>
        </w:pBdr>
        <w:shd w:val="clear" w:color="auto" w:fill="2F5496"/>
        <w:spacing w:after="0" w:line="240" w:lineRule="auto"/>
        <w:jc w:val="both"/>
        <w:rPr>
          <w:rFonts w:ascii="Arial Narrow" w:hAnsi="Arial Narrow" w:cs="Arial Narrow"/>
          <w:b/>
          <w:bCs/>
          <w:color w:val="FFFFFF"/>
          <w:sz w:val="24"/>
          <w:szCs w:val="24"/>
          <w:lang w:val="it-IT"/>
        </w:rPr>
      </w:pPr>
      <w:r w:rsidRPr="000A5186">
        <w:rPr>
          <w:rFonts w:ascii="Arial Narrow" w:hAnsi="Arial Narrow" w:cs="Arial Narrow"/>
          <w:b/>
          <w:bCs/>
          <w:color w:val="FFFFFF"/>
          <w:sz w:val="24"/>
          <w:szCs w:val="24"/>
          <w:lang w:val="it-IT"/>
        </w:rPr>
        <w:t>Număr ş</w:t>
      </w:r>
      <w:r w:rsidRPr="001B679B">
        <w:rPr>
          <w:rFonts w:ascii="Arial Narrow" w:hAnsi="Arial Narrow" w:cs="Arial Narrow"/>
          <w:b/>
          <w:bCs/>
          <w:color w:val="FFFFFF"/>
          <w:sz w:val="24"/>
          <w:szCs w:val="24"/>
          <w:lang w:val="it-IT"/>
        </w:rPr>
        <w:t>i categoria de participan</w:t>
      </w:r>
      <w:r w:rsidRPr="000A5186">
        <w:rPr>
          <w:rFonts w:ascii="Arial Narrow" w:hAnsi="Arial Narrow" w:cs="Arial Narrow"/>
          <w:b/>
          <w:bCs/>
          <w:color w:val="FFFFFF"/>
          <w:sz w:val="24"/>
          <w:szCs w:val="24"/>
          <w:lang w:val="it-IT"/>
        </w:rPr>
        <w:t xml:space="preserve">ţi la consultarea publică desfăşurată în cele 12 locaţii </w:t>
      </w:r>
    </w:p>
    <w:p w14:paraId="2BEEDA51" w14:textId="77777777" w:rsidR="00896C08" w:rsidRPr="000A5186"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lang w:val="it-IT"/>
        </w:rPr>
      </w:pPr>
    </w:p>
    <w:p w14:paraId="053A2FCB" w14:textId="46B7A985"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lang w:val="it-IT"/>
        </w:rPr>
      </w:pPr>
      <w:r>
        <w:rPr>
          <w:rFonts w:ascii="Arial Narrow" w:hAnsi="Arial Narrow" w:cs="Arial Narrow"/>
          <w:sz w:val="24"/>
          <w:szCs w:val="24"/>
          <w:lang w:val="it-IT"/>
        </w:rPr>
        <w:t>În urma finalizării procesului de consultare publică s</w:t>
      </w:r>
      <w:r w:rsidRPr="00B3596A">
        <w:rPr>
          <w:rFonts w:ascii="Arial Narrow" w:hAnsi="Arial Narrow" w:cs="Arial Narrow"/>
          <w:sz w:val="24"/>
          <w:szCs w:val="24"/>
          <w:lang w:val="it-IT"/>
        </w:rPr>
        <w:t xml:space="preserve">ituaţia participării publicului la consultarea publică se prezintă astfel: </w:t>
      </w:r>
    </w:p>
    <w:p w14:paraId="24483479" w14:textId="77777777"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lang w:val="it-IT"/>
        </w:rPr>
      </w:pPr>
    </w:p>
    <w:tbl>
      <w:tblPr>
        <w:tblW w:w="4524" w:type="pct"/>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548"/>
        <w:gridCol w:w="1022"/>
        <w:gridCol w:w="1240"/>
        <w:gridCol w:w="1271"/>
        <w:gridCol w:w="1561"/>
        <w:gridCol w:w="2514"/>
      </w:tblGrid>
      <w:tr w:rsidR="00C96EB5" w:rsidRPr="00C96EB5" w14:paraId="2022F84A" w14:textId="77777777" w:rsidTr="001A01E5">
        <w:trPr>
          <w:trHeight w:val="750"/>
          <w:tblCellSpacing w:w="20" w:type="dxa"/>
          <w:jc w:val="center"/>
        </w:trPr>
        <w:tc>
          <w:tcPr>
            <w:tcW w:w="303" w:type="pct"/>
            <w:shd w:val="clear" w:color="auto" w:fill="2F5496"/>
            <w:tcMar>
              <w:top w:w="80" w:type="dxa"/>
              <w:left w:w="80" w:type="dxa"/>
              <w:bottom w:w="80" w:type="dxa"/>
              <w:right w:w="80" w:type="dxa"/>
            </w:tcMar>
          </w:tcPr>
          <w:p w14:paraId="0111C281" w14:textId="77777777" w:rsidR="00C96EB5" w:rsidRPr="00B3596A" w:rsidRDefault="00C96EB5" w:rsidP="00D001AF">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color w:val="FFFFFF"/>
                <w:sz w:val="20"/>
                <w:szCs w:val="20"/>
              </w:rPr>
            </w:pPr>
            <w:r w:rsidRPr="00B3596A">
              <w:rPr>
                <w:rFonts w:ascii="Arial Narrow" w:hAnsi="Arial Narrow" w:cs="Arial Narrow"/>
                <w:b/>
                <w:bCs/>
                <w:color w:val="FFFFFF"/>
                <w:sz w:val="20"/>
                <w:szCs w:val="20"/>
              </w:rPr>
              <w:lastRenderedPageBreak/>
              <w:t>Nr.</w:t>
            </w:r>
          </w:p>
          <w:p w14:paraId="215F795A" w14:textId="77777777" w:rsidR="00C96EB5" w:rsidRPr="00B3596A" w:rsidRDefault="00C96EB5" w:rsidP="00D001AF">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color w:val="FFFFFF"/>
                <w:sz w:val="20"/>
                <w:szCs w:val="20"/>
              </w:rPr>
            </w:pPr>
            <w:r w:rsidRPr="00B3596A">
              <w:rPr>
                <w:rFonts w:ascii="Arial Narrow" w:hAnsi="Arial Narrow" w:cs="Arial Narrow"/>
                <w:b/>
                <w:bCs/>
                <w:color w:val="FFFFFF"/>
                <w:sz w:val="20"/>
                <w:szCs w:val="20"/>
              </w:rPr>
              <w:t>crt</w:t>
            </w:r>
          </w:p>
        </w:tc>
        <w:tc>
          <w:tcPr>
            <w:tcW w:w="602" w:type="pct"/>
            <w:shd w:val="clear" w:color="auto" w:fill="2F5496"/>
            <w:tcMar>
              <w:top w:w="80" w:type="dxa"/>
              <w:left w:w="80" w:type="dxa"/>
              <w:bottom w:w="80" w:type="dxa"/>
              <w:right w:w="80" w:type="dxa"/>
            </w:tcMar>
          </w:tcPr>
          <w:p w14:paraId="66BF24CC" w14:textId="77777777" w:rsidR="00C96EB5" w:rsidRPr="00B3596A" w:rsidRDefault="00C96EB5" w:rsidP="00D001AF">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color w:val="FFFFFF"/>
                <w:sz w:val="20"/>
                <w:szCs w:val="20"/>
              </w:rPr>
            </w:pPr>
            <w:r w:rsidRPr="00B3596A">
              <w:rPr>
                <w:rFonts w:ascii="Arial Narrow" w:hAnsi="Arial Narrow" w:cs="Arial Narrow"/>
                <w:b/>
                <w:bCs/>
                <w:color w:val="FFFFFF"/>
                <w:sz w:val="20"/>
                <w:szCs w:val="20"/>
              </w:rPr>
              <w:t>Locaţia</w:t>
            </w:r>
          </w:p>
        </w:tc>
        <w:tc>
          <w:tcPr>
            <w:tcW w:w="736" w:type="pct"/>
            <w:shd w:val="clear" w:color="auto" w:fill="2F5496"/>
            <w:tcMar>
              <w:top w:w="80" w:type="dxa"/>
              <w:left w:w="80" w:type="dxa"/>
              <w:bottom w:w="80" w:type="dxa"/>
              <w:right w:w="80" w:type="dxa"/>
            </w:tcMar>
          </w:tcPr>
          <w:p w14:paraId="12876328" w14:textId="77777777" w:rsidR="00C96EB5" w:rsidRPr="00B3596A" w:rsidRDefault="00C96EB5" w:rsidP="00D001AF">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color w:val="FFFFFF"/>
                <w:sz w:val="20"/>
                <w:szCs w:val="20"/>
                <w:lang w:val="pt-BR"/>
              </w:rPr>
            </w:pPr>
            <w:r w:rsidRPr="00B3596A">
              <w:rPr>
                <w:rFonts w:ascii="Arial Narrow" w:hAnsi="Arial Narrow" w:cs="Arial Narrow"/>
                <w:b/>
                <w:bCs/>
                <w:color w:val="FFFFFF"/>
                <w:sz w:val="20"/>
                <w:szCs w:val="20"/>
                <w:lang w:val="pt-BR"/>
              </w:rPr>
              <w:t>Nr. reprezentanţi părţi relevante afectate</w:t>
            </w:r>
          </w:p>
        </w:tc>
        <w:tc>
          <w:tcPr>
            <w:tcW w:w="736" w:type="pct"/>
            <w:shd w:val="clear" w:color="auto" w:fill="2F5496"/>
            <w:tcMar>
              <w:top w:w="80" w:type="dxa"/>
              <w:left w:w="80" w:type="dxa"/>
              <w:bottom w:w="80" w:type="dxa"/>
              <w:right w:w="80" w:type="dxa"/>
            </w:tcMar>
          </w:tcPr>
          <w:p w14:paraId="6EF3B298" w14:textId="77777777" w:rsidR="00C96EB5" w:rsidRPr="00B3596A" w:rsidRDefault="00C96EB5" w:rsidP="00D001AF">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color w:val="FFFFFF"/>
                <w:sz w:val="20"/>
                <w:szCs w:val="20"/>
                <w:lang w:val="pt-BR"/>
              </w:rPr>
            </w:pPr>
            <w:r w:rsidRPr="00B3596A">
              <w:rPr>
                <w:rFonts w:ascii="Arial Narrow" w:hAnsi="Arial Narrow" w:cs="Arial Narrow"/>
                <w:b/>
                <w:bCs/>
                <w:color w:val="FFFFFF"/>
                <w:sz w:val="20"/>
                <w:szCs w:val="20"/>
                <w:lang w:val="pt-BR"/>
              </w:rPr>
              <w:t>Nr.</w:t>
            </w:r>
          </w:p>
          <w:p w14:paraId="161772D9" w14:textId="77777777" w:rsidR="00C96EB5" w:rsidRPr="00B3596A" w:rsidRDefault="00C96EB5" w:rsidP="00D001AF">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color w:val="FFFFFF"/>
                <w:sz w:val="20"/>
                <w:szCs w:val="20"/>
                <w:lang w:val="pt-BR"/>
              </w:rPr>
            </w:pPr>
            <w:r w:rsidRPr="00B3596A">
              <w:rPr>
                <w:rFonts w:ascii="Arial Narrow" w:hAnsi="Arial Narrow" w:cs="Arial Narrow"/>
                <w:b/>
                <w:bCs/>
                <w:color w:val="FFFFFF"/>
                <w:sz w:val="20"/>
                <w:szCs w:val="20"/>
                <w:lang w:val="pt-BR"/>
              </w:rPr>
              <w:t>reprezentanţi părţi interesate afectate</w:t>
            </w:r>
          </w:p>
        </w:tc>
        <w:tc>
          <w:tcPr>
            <w:tcW w:w="939" w:type="pct"/>
            <w:shd w:val="clear" w:color="auto" w:fill="2F5496"/>
            <w:tcMar>
              <w:top w:w="80" w:type="dxa"/>
              <w:left w:w="80" w:type="dxa"/>
              <w:bottom w:w="80" w:type="dxa"/>
              <w:right w:w="80" w:type="dxa"/>
            </w:tcMar>
          </w:tcPr>
          <w:p w14:paraId="1C9DAB9A" w14:textId="77777777" w:rsidR="00C96EB5" w:rsidRPr="00B3596A" w:rsidRDefault="00C96EB5" w:rsidP="00D001AF">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color w:val="FFFFFF"/>
                <w:sz w:val="20"/>
                <w:szCs w:val="20"/>
              </w:rPr>
            </w:pPr>
            <w:r w:rsidRPr="00B3596A">
              <w:rPr>
                <w:rFonts w:ascii="Arial Narrow" w:hAnsi="Arial Narrow" w:cs="Arial Narrow"/>
                <w:b/>
                <w:bCs/>
                <w:color w:val="FFFFFF"/>
                <w:sz w:val="20"/>
                <w:szCs w:val="20"/>
              </w:rPr>
              <w:t xml:space="preserve">Menţiuni privind părţile </w:t>
            </w:r>
          </w:p>
          <w:p w14:paraId="67CCF255"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color w:val="FFFFFF"/>
                <w:sz w:val="20"/>
                <w:szCs w:val="20"/>
              </w:rPr>
            </w:pPr>
            <w:r w:rsidRPr="00B3596A">
              <w:rPr>
                <w:rFonts w:ascii="Arial Narrow" w:hAnsi="Arial Narrow" w:cs="Arial Narrow"/>
                <w:b/>
                <w:bCs/>
                <w:color w:val="FFFFFF"/>
                <w:sz w:val="20"/>
                <w:szCs w:val="20"/>
              </w:rPr>
              <w:t>relevante afectate</w:t>
            </w:r>
          </w:p>
        </w:tc>
        <w:tc>
          <w:tcPr>
            <w:tcW w:w="1513" w:type="pct"/>
            <w:shd w:val="clear" w:color="auto" w:fill="2F5496"/>
            <w:tcMar>
              <w:top w:w="80" w:type="dxa"/>
              <w:left w:w="80" w:type="dxa"/>
              <w:bottom w:w="80" w:type="dxa"/>
              <w:right w:w="80" w:type="dxa"/>
            </w:tcMar>
          </w:tcPr>
          <w:p w14:paraId="3C799A58"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color w:val="FFFFFF"/>
                <w:sz w:val="20"/>
                <w:szCs w:val="20"/>
                <w:lang w:val="it-IT"/>
              </w:rPr>
            </w:pPr>
            <w:r w:rsidRPr="00B3596A">
              <w:rPr>
                <w:rFonts w:ascii="Arial Narrow" w:hAnsi="Arial Narrow" w:cs="Arial Narrow"/>
                <w:b/>
                <w:bCs/>
                <w:color w:val="FFFFFF"/>
                <w:sz w:val="20"/>
                <w:szCs w:val="20"/>
                <w:lang w:val="it-IT"/>
              </w:rPr>
              <w:t>Menţiuni privind părţile interesate afectate</w:t>
            </w:r>
          </w:p>
        </w:tc>
      </w:tr>
      <w:tr w:rsidR="00C96EB5" w:rsidRPr="00C96EB5" w14:paraId="7F216800" w14:textId="77777777" w:rsidTr="001A01E5">
        <w:trPr>
          <w:trHeight w:val="1425"/>
          <w:tblCellSpacing w:w="20" w:type="dxa"/>
          <w:jc w:val="center"/>
        </w:trPr>
        <w:tc>
          <w:tcPr>
            <w:tcW w:w="303" w:type="pct"/>
            <w:tcMar>
              <w:top w:w="80" w:type="dxa"/>
              <w:left w:w="80" w:type="dxa"/>
              <w:bottom w:w="80" w:type="dxa"/>
              <w:right w:w="80" w:type="dxa"/>
            </w:tcMar>
            <w:vAlign w:val="center"/>
          </w:tcPr>
          <w:p w14:paraId="789BEBF2"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1</w:t>
            </w:r>
          </w:p>
        </w:tc>
        <w:tc>
          <w:tcPr>
            <w:tcW w:w="602" w:type="pct"/>
            <w:tcMar>
              <w:top w:w="80" w:type="dxa"/>
              <w:left w:w="80" w:type="dxa"/>
              <w:bottom w:w="80" w:type="dxa"/>
              <w:right w:w="80" w:type="dxa"/>
            </w:tcMar>
            <w:vAlign w:val="center"/>
          </w:tcPr>
          <w:p w14:paraId="10B7A48B" w14:textId="0EEF27C4"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sz w:val="20"/>
                <w:szCs w:val="20"/>
              </w:rPr>
            </w:pPr>
            <w:r w:rsidRPr="00B3596A">
              <w:rPr>
                <w:rFonts w:ascii="Arial Narrow" w:hAnsi="Arial Narrow" w:cs="Arial Narrow"/>
                <w:sz w:val="20"/>
                <w:szCs w:val="20"/>
              </w:rPr>
              <w:t>Comuna Mârşa -judeţul  Giurgiu</w:t>
            </w:r>
          </w:p>
        </w:tc>
        <w:tc>
          <w:tcPr>
            <w:tcW w:w="736" w:type="pct"/>
            <w:tcMar>
              <w:top w:w="80" w:type="dxa"/>
              <w:left w:w="80" w:type="dxa"/>
              <w:bottom w:w="80" w:type="dxa"/>
              <w:right w:w="80" w:type="dxa"/>
            </w:tcMar>
            <w:vAlign w:val="center"/>
          </w:tcPr>
          <w:p w14:paraId="02126119"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1</w:t>
            </w:r>
          </w:p>
        </w:tc>
        <w:tc>
          <w:tcPr>
            <w:tcW w:w="736" w:type="pct"/>
            <w:tcMar>
              <w:top w:w="80" w:type="dxa"/>
              <w:left w:w="80" w:type="dxa"/>
              <w:bottom w:w="80" w:type="dxa"/>
              <w:right w:w="80" w:type="dxa"/>
            </w:tcMar>
            <w:vAlign w:val="center"/>
          </w:tcPr>
          <w:p w14:paraId="1623A2F9"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35</w:t>
            </w:r>
          </w:p>
        </w:tc>
        <w:tc>
          <w:tcPr>
            <w:tcW w:w="939" w:type="pct"/>
            <w:tcMar>
              <w:top w:w="80" w:type="dxa"/>
              <w:left w:w="80" w:type="dxa"/>
              <w:bottom w:w="80" w:type="dxa"/>
              <w:right w:w="80" w:type="dxa"/>
            </w:tcMar>
          </w:tcPr>
          <w:p w14:paraId="702FE859"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ACPIC</w:t>
            </w:r>
          </w:p>
          <w:p w14:paraId="7929D495" w14:textId="77777777" w:rsidR="00A0641B"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Desi s-au trimis invitaţii,</w:t>
            </w:r>
          </w:p>
          <w:p w14:paraId="78F19085" w14:textId="54CD49A5"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ONG-urile nu au fost prezente</w:t>
            </w:r>
          </w:p>
        </w:tc>
        <w:tc>
          <w:tcPr>
            <w:tcW w:w="1513" w:type="pct"/>
            <w:tcMar>
              <w:top w:w="80" w:type="dxa"/>
              <w:left w:w="80" w:type="dxa"/>
              <w:bottom w:w="80" w:type="dxa"/>
              <w:right w:w="80" w:type="dxa"/>
            </w:tcMar>
          </w:tcPr>
          <w:p w14:paraId="664237A0" w14:textId="07D53285"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pt-BR"/>
              </w:rPr>
            </w:pPr>
            <w:r w:rsidRPr="00B3596A">
              <w:rPr>
                <w:rFonts w:ascii="Arial Narrow" w:hAnsi="Arial Narrow"/>
                <w:sz w:val="20"/>
                <w:szCs w:val="20"/>
                <w:lang w:val="pt-BR"/>
              </w:rPr>
              <w:t>Consiliul Judeţean Giurgiu</w:t>
            </w:r>
          </w:p>
          <w:p w14:paraId="155CD1F7"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pt-BR"/>
              </w:rPr>
            </w:pPr>
            <w:r w:rsidRPr="00B3596A">
              <w:rPr>
                <w:rFonts w:ascii="Arial Narrow" w:hAnsi="Arial Narrow"/>
                <w:sz w:val="20"/>
                <w:szCs w:val="20"/>
                <w:lang w:val="pt-BR"/>
              </w:rPr>
              <w:t>Prefectura Giurgiu</w:t>
            </w:r>
          </w:p>
          <w:p w14:paraId="24EFA63B"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pt-BR"/>
              </w:rPr>
            </w:pPr>
            <w:r w:rsidRPr="00B3596A">
              <w:rPr>
                <w:rFonts w:ascii="Arial Narrow" w:hAnsi="Arial Narrow"/>
                <w:sz w:val="20"/>
                <w:szCs w:val="20"/>
                <w:lang w:val="pt-BR"/>
              </w:rPr>
              <w:t>Primar Mârşa</w:t>
            </w:r>
          </w:p>
          <w:p w14:paraId="18C8F370"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w:t>
            </w:r>
          </w:p>
          <w:p w14:paraId="702FC688"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73E04E1B" w14:textId="18FFC128"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Asociaţii de proprietari, producători</w:t>
            </w:r>
          </w:p>
        </w:tc>
      </w:tr>
      <w:tr w:rsidR="00C96EB5" w:rsidRPr="00C96EB5" w14:paraId="65D42E0E" w14:textId="77777777" w:rsidTr="001A01E5">
        <w:trPr>
          <w:trHeight w:val="1245"/>
          <w:tblCellSpacing w:w="20" w:type="dxa"/>
          <w:jc w:val="center"/>
        </w:trPr>
        <w:tc>
          <w:tcPr>
            <w:tcW w:w="303" w:type="pct"/>
            <w:tcMar>
              <w:top w:w="80" w:type="dxa"/>
              <w:left w:w="80" w:type="dxa"/>
              <w:bottom w:w="80" w:type="dxa"/>
              <w:right w:w="80" w:type="dxa"/>
            </w:tcMar>
            <w:vAlign w:val="center"/>
          </w:tcPr>
          <w:p w14:paraId="3F9FD47E"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2</w:t>
            </w:r>
          </w:p>
        </w:tc>
        <w:tc>
          <w:tcPr>
            <w:tcW w:w="602" w:type="pct"/>
            <w:tcMar>
              <w:top w:w="80" w:type="dxa"/>
              <w:left w:w="80" w:type="dxa"/>
              <w:bottom w:w="80" w:type="dxa"/>
              <w:right w:w="80" w:type="dxa"/>
            </w:tcMar>
            <w:vAlign w:val="center"/>
          </w:tcPr>
          <w:p w14:paraId="71A7AF6D" w14:textId="26A1CEC9"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 xml:space="preserve">Comuna </w:t>
            </w:r>
            <w:r w:rsidRPr="00A0641B">
              <w:rPr>
                <w:rFonts w:ascii="Arial Narrow" w:hAnsi="Arial Narrow"/>
                <w:sz w:val="20"/>
                <w:szCs w:val="20"/>
              </w:rPr>
              <w:t xml:space="preserve">Graţia </w:t>
            </w:r>
            <w:r w:rsidRPr="00B3596A">
              <w:rPr>
                <w:rFonts w:ascii="Arial Narrow" w:hAnsi="Arial Narrow"/>
                <w:sz w:val="20"/>
                <w:szCs w:val="20"/>
              </w:rPr>
              <w:t>-</w:t>
            </w:r>
            <w:r w:rsidRPr="00B3596A">
              <w:rPr>
                <w:rFonts w:ascii="Arial Narrow" w:hAnsi="Arial Narrow" w:cs="Arial Narrow"/>
                <w:sz w:val="20"/>
                <w:szCs w:val="20"/>
              </w:rPr>
              <w:t xml:space="preserve">judeţul </w:t>
            </w:r>
            <w:r w:rsidRPr="00A0641B">
              <w:rPr>
                <w:rFonts w:ascii="Arial Narrow" w:hAnsi="Arial Narrow"/>
                <w:sz w:val="20"/>
                <w:szCs w:val="20"/>
              </w:rPr>
              <w:t>Teleorman</w:t>
            </w:r>
            <w:r w:rsidRPr="00B3596A">
              <w:rPr>
                <w:rFonts w:ascii="Arial Narrow" w:hAnsi="Arial Narrow" w:cs="Arial Narrow"/>
                <w:sz w:val="20"/>
                <w:szCs w:val="20"/>
              </w:rPr>
              <w:t xml:space="preserve"> </w:t>
            </w:r>
          </w:p>
        </w:tc>
        <w:tc>
          <w:tcPr>
            <w:tcW w:w="736" w:type="pct"/>
            <w:tcMar>
              <w:top w:w="80" w:type="dxa"/>
              <w:left w:w="80" w:type="dxa"/>
              <w:bottom w:w="80" w:type="dxa"/>
              <w:right w:w="80" w:type="dxa"/>
            </w:tcMar>
            <w:vAlign w:val="center"/>
          </w:tcPr>
          <w:p w14:paraId="66BA8FE8"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1E2FB59D"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27</w:t>
            </w:r>
          </w:p>
        </w:tc>
        <w:tc>
          <w:tcPr>
            <w:tcW w:w="939" w:type="pct"/>
            <w:tcMar>
              <w:top w:w="80" w:type="dxa"/>
              <w:left w:w="80" w:type="dxa"/>
              <w:bottom w:w="80" w:type="dxa"/>
              <w:right w:w="80" w:type="dxa"/>
            </w:tcMar>
          </w:tcPr>
          <w:p w14:paraId="275704F4"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p>
          <w:p w14:paraId="628F1FF9" w14:textId="77777777" w:rsidR="00A0641B"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Desi s-au trimis invitaţii,</w:t>
            </w:r>
          </w:p>
          <w:p w14:paraId="5065D1F7" w14:textId="27CA75EA"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ONG-urile nu au fost prezente</w:t>
            </w:r>
          </w:p>
        </w:tc>
        <w:tc>
          <w:tcPr>
            <w:tcW w:w="1513" w:type="pct"/>
            <w:tcMar>
              <w:top w:w="80" w:type="dxa"/>
              <w:left w:w="80" w:type="dxa"/>
              <w:bottom w:w="80" w:type="dxa"/>
              <w:right w:w="80" w:type="dxa"/>
            </w:tcMar>
          </w:tcPr>
          <w:p w14:paraId="6D34DBF3"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Consiliul Judeţean Dâmboviţa</w:t>
            </w:r>
          </w:p>
          <w:p w14:paraId="1FE6F6B6"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 xml:space="preserve">Desi au fost invitaţi </w:t>
            </w:r>
          </w:p>
          <w:p w14:paraId="7A935A49" w14:textId="2886B1CA"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 xml:space="preserve">Consiliul Judeţean Teleorman, Prefectura Teleorman nu a participat </w:t>
            </w:r>
          </w:p>
          <w:p w14:paraId="01FBAF3D" w14:textId="525F51C5"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Viceprimar Graţia</w:t>
            </w:r>
          </w:p>
          <w:p w14:paraId="2F7E6F6F"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w:t>
            </w:r>
          </w:p>
          <w:p w14:paraId="2085B89D"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45082DDC" w14:textId="2DD0E608"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Asociaţii de proprietari, producători</w:t>
            </w:r>
          </w:p>
        </w:tc>
      </w:tr>
      <w:tr w:rsidR="00C96EB5" w:rsidRPr="00C96EB5" w14:paraId="6F5C59F3" w14:textId="77777777" w:rsidTr="001A01E5">
        <w:trPr>
          <w:trHeight w:val="1699"/>
          <w:tblCellSpacing w:w="20" w:type="dxa"/>
          <w:jc w:val="center"/>
        </w:trPr>
        <w:tc>
          <w:tcPr>
            <w:tcW w:w="303" w:type="pct"/>
            <w:tcMar>
              <w:top w:w="80" w:type="dxa"/>
              <w:left w:w="80" w:type="dxa"/>
              <w:bottom w:w="80" w:type="dxa"/>
              <w:right w:w="80" w:type="dxa"/>
            </w:tcMar>
            <w:vAlign w:val="center"/>
          </w:tcPr>
          <w:p w14:paraId="17F7C6D3"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3</w:t>
            </w:r>
          </w:p>
        </w:tc>
        <w:tc>
          <w:tcPr>
            <w:tcW w:w="602" w:type="pct"/>
            <w:tcMar>
              <w:top w:w="80" w:type="dxa"/>
              <w:left w:w="80" w:type="dxa"/>
              <w:bottom w:w="80" w:type="dxa"/>
              <w:right w:w="80" w:type="dxa"/>
            </w:tcMar>
            <w:vAlign w:val="center"/>
          </w:tcPr>
          <w:p w14:paraId="17934A2C" w14:textId="42159739"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Bîrla - judeţul  Argeş</w:t>
            </w:r>
          </w:p>
        </w:tc>
        <w:tc>
          <w:tcPr>
            <w:tcW w:w="736" w:type="pct"/>
            <w:tcMar>
              <w:top w:w="80" w:type="dxa"/>
              <w:left w:w="80" w:type="dxa"/>
              <w:bottom w:w="80" w:type="dxa"/>
              <w:right w:w="80" w:type="dxa"/>
            </w:tcMar>
            <w:vAlign w:val="center"/>
          </w:tcPr>
          <w:p w14:paraId="4544B122"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774C3F6A"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63</w:t>
            </w:r>
          </w:p>
        </w:tc>
        <w:tc>
          <w:tcPr>
            <w:tcW w:w="939" w:type="pct"/>
            <w:tcMar>
              <w:top w:w="80" w:type="dxa"/>
              <w:left w:w="80" w:type="dxa"/>
              <w:bottom w:w="80" w:type="dxa"/>
              <w:right w:w="80" w:type="dxa"/>
            </w:tcMar>
          </w:tcPr>
          <w:p w14:paraId="091C59AB" w14:textId="77777777" w:rsidR="00FA37D9"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Desi s-au trimis invitaţii,</w:t>
            </w:r>
          </w:p>
          <w:p w14:paraId="4329AC16" w14:textId="1FA8B9E8"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ONG-urile nu au fost prezente</w:t>
            </w:r>
          </w:p>
        </w:tc>
        <w:tc>
          <w:tcPr>
            <w:tcW w:w="1513" w:type="pct"/>
            <w:tcMar>
              <w:top w:w="80" w:type="dxa"/>
              <w:left w:w="80" w:type="dxa"/>
              <w:bottom w:w="80" w:type="dxa"/>
              <w:right w:w="80" w:type="dxa"/>
            </w:tcMar>
          </w:tcPr>
          <w:p w14:paraId="30BB9518" w14:textId="51574923"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Consiliul Judeţean Argeş</w:t>
            </w:r>
          </w:p>
          <w:p w14:paraId="2753900A" w14:textId="1C9D9EFB"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Subprefect judeţului Argeş</w:t>
            </w:r>
          </w:p>
          <w:p w14:paraId="4BC98CB3" w14:textId="65E8BFCC"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Primar Bîrla</w:t>
            </w:r>
          </w:p>
          <w:p w14:paraId="0E278A4B"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Proprietari de terenuri</w:t>
            </w:r>
          </w:p>
          <w:p w14:paraId="1DF11BDE"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Utilizatori de terenuri</w:t>
            </w:r>
          </w:p>
          <w:p w14:paraId="45C6C51A" w14:textId="2D12F34A"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Asociatii de proprietari, producători</w:t>
            </w:r>
          </w:p>
          <w:p w14:paraId="75844BC9" w14:textId="4B0C333A"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Arendaşi</w:t>
            </w:r>
          </w:p>
        </w:tc>
      </w:tr>
      <w:tr w:rsidR="00C96EB5" w:rsidRPr="00C96EB5" w14:paraId="6CF2C9A0" w14:textId="77777777" w:rsidTr="001A01E5">
        <w:trPr>
          <w:trHeight w:val="796"/>
          <w:tblCellSpacing w:w="20" w:type="dxa"/>
          <w:jc w:val="center"/>
        </w:trPr>
        <w:tc>
          <w:tcPr>
            <w:tcW w:w="303" w:type="pct"/>
            <w:tcMar>
              <w:top w:w="80" w:type="dxa"/>
              <w:left w:w="80" w:type="dxa"/>
              <w:bottom w:w="80" w:type="dxa"/>
              <w:right w:w="80" w:type="dxa"/>
            </w:tcMar>
            <w:vAlign w:val="center"/>
          </w:tcPr>
          <w:p w14:paraId="44F3A9E6"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4</w:t>
            </w:r>
          </w:p>
        </w:tc>
        <w:tc>
          <w:tcPr>
            <w:tcW w:w="602" w:type="pct"/>
            <w:tcMar>
              <w:top w:w="80" w:type="dxa"/>
              <w:left w:w="80" w:type="dxa"/>
              <w:bottom w:w="80" w:type="dxa"/>
              <w:right w:w="80" w:type="dxa"/>
            </w:tcMar>
            <w:vAlign w:val="center"/>
          </w:tcPr>
          <w:p w14:paraId="52C9C8AD" w14:textId="2E160DA4"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Potcoava  - judeţul  Olt</w:t>
            </w:r>
          </w:p>
        </w:tc>
        <w:tc>
          <w:tcPr>
            <w:tcW w:w="736" w:type="pct"/>
            <w:tcMar>
              <w:top w:w="80" w:type="dxa"/>
              <w:left w:w="80" w:type="dxa"/>
              <w:bottom w:w="80" w:type="dxa"/>
              <w:right w:w="80" w:type="dxa"/>
            </w:tcMar>
            <w:vAlign w:val="center"/>
          </w:tcPr>
          <w:p w14:paraId="6B55407E"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4098250C"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50</w:t>
            </w:r>
          </w:p>
        </w:tc>
        <w:tc>
          <w:tcPr>
            <w:tcW w:w="939" w:type="pct"/>
            <w:tcMar>
              <w:top w:w="80" w:type="dxa"/>
              <w:left w:w="80" w:type="dxa"/>
              <w:bottom w:w="80" w:type="dxa"/>
              <w:right w:w="80" w:type="dxa"/>
            </w:tcMar>
          </w:tcPr>
          <w:p w14:paraId="3EEAFD56" w14:textId="77777777" w:rsidR="00FA37D9"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Desi s-au trimis invitaţii,</w:t>
            </w:r>
          </w:p>
          <w:p w14:paraId="33F80DCC" w14:textId="315DB8E4" w:rsidR="00C96EB5" w:rsidRPr="00B3596A" w:rsidRDefault="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ONG-urile nu au fost prezente</w:t>
            </w:r>
            <w:r w:rsidRPr="00C96EB5">
              <w:rPr>
                <w:rFonts w:ascii="Arial Narrow" w:hAnsi="Arial Narrow"/>
                <w:sz w:val="20"/>
                <w:szCs w:val="20"/>
                <w:lang w:val="fr-FR"/>
              </w:rPr>
              <w:t xml:space="preserve"> </w:t>
            </w:r>
          </w:p>
        </w:tc>
        <w:tc>
          <w:tcPr>
            <w:tcW w:w="1513" w:type="pct"/>
            <w:tcMar>
              <w:top w:w="80" w:type="dxa"/>
              <w:left w:w="80" w:type="dxa"/>
              <w:bottom w:w="80" w:type="dxa"/>
              <w:right w:w="80" w:type="dxa"/>
            </w:tcMar>
          </w:tcPr>
          <w:p w14:paraId="4E361FED" w14:textId="738AC031"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Consiliul Judeţean Olt şi Prefectura Olt</w:t>
            </w:r>
            <w:r w:rsidR="00FA37D9">
              <w:rPr>
                <w:rFonts w:ascii="Arial Narrow" w:hAnsi="Arial Narrow"/>
                <w:sz w:val="20"/>
                <w:szCs w:val="20"/>
                <w:lang w:val="fr-FR"/>
              </w:rPr>
              <w:t>, deşi au fost invitate,</w:t>
            </w:r>
            <w:r w:rsidRPr="00B3596A">
              <w:rPr>
                <w:rFonts w:ascii="Arial Narrow" w:hAnsi="Arial Narrow"/>
                <w:sz w:val="20"/>
                <w:szCs w:val="20"/>
                <w:lang w:val="fr-FR"/>
              </w:rPr>
              <w:t xml:space="preserve"> nu au fost prezente</w:t>
            </w:r>
            <w:r w:rsidR="00FA37D9">
              <w:rPr>
                <w:rFonts w:ascii="Arial Narrow" w:hAnsi="Arial Narrow"/>
                <w:sz w:val="20"/>
                <w:szCs w:val="20"/>
                <w:lang w:val="fr-FR"/>
              </w:rPr>
              <w:t>.</w:t>
            </w:r>
          </w:p>
          <w:p w14:paraId="0D73B89E"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Viceprimar Potcoava</w:t>
            </w:r>
          </w:p>
          <w:p w14:paraId="2B7E3FFE" w14:textId="2CFC0EF0"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 păduri</w:t>
            </w:r>
          </w:p>
          <w:p w14:paraId="2569CEC3"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672DE05C" w14:textId="13F8D5A2"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Asociaţii de proprietari, producători</w:t>
            </w:r>
          </w:p>
          <w:p w14:paraId="66051B3C" w14:textId="4C2866DE"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Arendaşi</w:t>
            </w:r>
          </w:p>
        </w:tc>
      </w:tr>
      <w:tr w:rsidR="00C96EB5" w:rsidRPr="00C96EB5" w14:paraId="70D5EEAC" w14:textId="77777777" w:rsidTr="001A01E5">
        <w:trPr>
          <w:trHeight w:val="1339"/>
          <w:tblCellSpacing w:w="20" w:type="dxa"/>
          <w:jc w:val="center"/>
        </w:trPr>
        <w:tc>
          <w:tcPr>
            <w:tcW w:w="303" w:type="pct"/>
            <w:tcMar>
              <w:top w:w="80" w:type="dxa"/>
              <w:left w:w="80" w:type="dxa"/>
              <w:bottom w:w="80" w:type="dxa"/>
              <w:right w:w="80" w:type="dxa"/>
            </w:tcMar>
            <w:vAlign w:val="center"/>
          </w:tcPr>
          <w:p w14:paraId="392DF07E"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5</w:t>
            </w:r>
          </w:p>
        </w:tc>
        <w:tc>
          <w:tcPr>
            <w:tcW w:w="602" w:type="pct"/>
            <w:tcMar>
              <w:top w:w="80" w:type="dxa"/>
              <w:left w:w="80" w:type="dxa"/>
              <w:bottom w:w="80" w:type="dxa"/>
              <w:right w:w="80" w:type="dxa"/>
            </w:tcMar>
            <w:vAlign w:val="center"/>
          </w:tcPr>
          <w:p w14:paraId="326FE4DF" w14:textId="0AF8F8FE"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Guşoieni - judeţul  Vâlcea</w:t>
            </w:r>
          </w:p>
        </w:tc>
        <w:tc>
          <w:tcPr>
            <w:tcW w:w="736" w:type="pct"/>
            <w:tcMar>
              <w:top w:w="80" w:type="dxa"/>
              <w:left w:w="80" w:type="dxa"/>
              <w:bottom w:w="80" w:type="dxa"/>
              <w:right w:w="80" w:type="dxa"/>
            </w:tcMar>
            <w:vAlign w:val="center"/>
          </w:tcPr>
          <w:p w14:paraId="270939FC"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28024B6B"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48</w:t>
            </w:r>
          </w:p>
        </w:tc>
        <w:tc>
          <w:tcPr>
            <w:tcW w:w="939" w:type="pct"/>
            <w:tcMar>
              <w:top w:w="80" w:type="dxa"/>
              <w:left w:w="80" w:type="dxa"/>
              <w:bottom w:w="80" w:type="dxa"/>
              <w:right w:w="80" w:type="dxa"/>
            </w:tcMar>
          </w:tcPr>
          <w:p w14:paraId="02C966CC" w14:textId="77777777" w:rsidR="00FA37D9"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Desi s-au trimis invitaţii,</w:t>
            </w:r>
          </w:p>
          <w:p w14:paraId="4DC2DBC6" w14:textId="7666715C" w:rsidR="00C96EB5" w:rsidRPr="00B3596A" w:rsidRDefault="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ONG-urile nu au fost prezente</w:t>
            </w:r>
            <w:r w:rsidRPr="00C96EB5">
              <w:rPr>
                <w:rFonts w:ascii="Arial Narrow" w:hAnsi="Arial Narrow"/>
                <w:sz w:val="20"/>
                <w:szCs w:val="20"/>
                <w:lang w:val="fr-FR"/>
              </w:rPr>
              <w:t xml:space="preserve"> </w:t>
            </w:r>
          </w:p>
        </w:tc>
        <w:tc>
          <w:tcPr>
            <w:tcW w:w="1513" w:type="pct"/>
            <w:tcMar>
              <w:top w:w="80" w:type="dxa"/>
              <w:left w:w="80" w:type="dxa"/>
              <w:bottom w:w="80" w:type="dxa"/>
              <w:right w:w="80" w:type="dxa"/>
            </w:tcMar>
          </w:tcPr>
          <w:p w14:paraId="47760CAD" w14:textId="52DC9D8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Subprefect judeţul Vâlcea</w:t>
            </w:r>
          </w:p>
          <w:p w14:paraId="16D12935"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Primar Guşoieni</w:t>
            </w:r>
          </w:p>
          <w:p w14:paraId="7126A05B" w14:textId="749430FC"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 păduri</w:t>
            </w:r>
          </w:p>
          <w:p w14:paraId="71E2B58C"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215BAAAE" w14:textId="45F15783"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Asociaţii de proprietari, producători</w:t>
            </w:r>
          </w:p>
          <w:p w14:paraId="54AFA190" w14:textId="56B724AA"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Arendaşi</w:t>
            </w:r>
          </w:p>
        </w:tc>
      </w:tr>
      <w:tr w:rsidR="00C96EB5" w:rsidRPr="00C96EB5" w14:paraId="4998CE38" w14:textId="77777777" w:rsidTr="001A01E5">
        <w:trPr>
          <w:trHeight w:val="796"/>
          <w:tblCellSpacing w:w="20" w:type="dxa"/>
          <w:jc w:val="center"/>
        </w:trPr>
        <w:tc>
          <w:tcPr>
            <w:tcW w:w="303" w:type="pct"/>
            <w:tcMar>
              <w:top w:w="80" w:type="dxa"/>
              <w:left w:w="80" w:type="dxa"/>
              <w:bottom w:w="80" w:type="dxa"/>
              <w:right w:w="80" w:type="dxa"/>
            </w:tcMar>
            <w:vAlign w:val="center"/>
          </w:tcPr>
          <w:p w14:paraId="5A3222C3"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6</w:t>
            </w:r>
          </w:p>
        </w:tc>
        <w:tc>
          <w:tcPr>
            <w:tcW w:w="602" w:type="pct"/>
            <w:tcMar>
              <w:top w:w="80" w:type="dxa"/>
              <w:left w:w="80" w:type="dxa"/>
              <w:bottom w:w="80" w:type="dxa"/>
              <w:right w:w="80" w:type="dxa"/>
            </w:tcMar>
            <w:vAlign w:val="center"/>
          </w:tcPr>
          <w:p w14:paraId="506C6A6E" w14:textId="4B06730F"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Măciuca - judeţul  Vâlcea</w:t>
            </w:r>
          </w:p>
        </w:tc>
        <w:tc>
          <w:tcPr>
            <w:tcW w:w="736" w:type="pct"/>
            <w:tcMar>
              <w:top w:w="80" w:type="dxa"/>
              <w:left w:w="80" w:type="dxa"/>
              <w:bottom w:w="80" w:type="dxa"/>
              <w:right w:w="80" w:type="dxa"/>
            </w:tcMar>
            <w:vAlign w:val="center"/>
          </w:tcPr>
          <w:p w14:paraId="16C3EEC6"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75ABE4EA"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48</w:t>
            </w:r>
          </w:p>
        </w:tc>
        <w:tc>
          <w:tcPr>
            <w:tcW w:w="939" w:type="pct"/>
            <w:tcMar>
              <w:top w:w="80" w:type="dxa"/>
              <w:left w:w="80" w:type="dxa"/>
              <w:bottom w:w="80" w:type="dxa"/>
              <w:right w:w="80" w:type="dxa"/>
            </w:tcMar>
          </w:tcPr>
          <w:p w14:paraId="3D0519CF" w14:textId="77777777" w:rsidR="00FA37D9"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Desi s-au trimis invitaţii,</w:t>
            </w:r>
          </w:p>
          <w:p w14:paraId="01D482FA" w14:textId="55F3B89C" w:rsidR="00C96EB5" w:rsidRPr="00B3596A" w:rsidRDefault="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 xml:space="preserve">ONG-urile nu au fost prezente </w:t>
            </w:r>
          </w:p>
        </w:tc>
        <w:tc>
          <w:tcPr>
            <w:tcW w:w="1513" w:type="pct"/>
            <w:tcMar>
              <w:top w:w="80" w:type="dxa"/>
              <w:left w:w="80" w:type="dxa"/>
              <w:bottom w:w="80" w:type="dxa"/>
              <w:right w:w="80" w:type="dxa"/>
            </w:tcMar>
          </w:tcPr>
          <w:p w14:paraId="50B16079"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Prefectura Vâlcea</w:t>
            </w:r>
          </w:p>
          <w:p w14:paraId="3FCEEFE1"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Viceprimarul Măciuca</w:t>
            </w:r>
          </w:p>
          <w:p w14:paraId="00D56721" w14:textId="01FE2912"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 păduri</w:t>
            </w:r>
          </w:p>
          <w:p w14:paraId="15E20F0B"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1C67D95D" w14:textId="01834DD3"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Asociaţii de proprietari, producători</w:t>
            </w:r>
          </w:p>
          <w:p w14:paraId="570A84E3" w14:textId="254D5432"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Arendaşi</w:t>
            </w:r>
          </w:p>
        </w:tc>
      </w:tr>
      <w:tr w:rsidR="00C96EB5" w:rsidRPr="00C96EB5" w14:paraId="1C71743E" w14:textId="77777777" w:rsidTr="001A01E5">
        <w:trPr>
          <w:trHeight w:val="796"/>
          <w:tblCellSpacing w:w="20" w:type="dxa"/>
          <w:jc w:val="center"/>
        </w:trPr>
        <w:tc>
          <w:tcPr>
            <w:tcW w:w="303" w:type="pct"/>
            <w:tcMar>
              <w:top w:w="80" w:type="dxa"/>
              <w:left w:w="80" w:type="dxa"/>
              <w:bottom w:w="80" w:type="dxa"/>
              <w:right w:w="80" w:type="dxa"/>
            </w:tcMar>
            <w:vAlign w:val="center"/>
          </w:tcPr>
          <w:p w14:paraId="062C2319"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lastRenderedPageBreak/>
              <w:t>7</w:t>
            </w:r>
          </w:p>
        </w:tc>
        <w:tc>
          <w:tcPr>
            <w:tcW w:w="602" w:type="pct"/>
            <w:tcMar>
              <w:top w:w="80" w:type="dxa"/>
              <w:left w:w="80" w:type="dxa"/>
              <w:bottom w:w="80" w:type="dxa"/>
              <w:right w:w="80" w:type="dxa"/>
            </w:tcMar>
            <w:vAlign w:val="center"/>
          </w:tcPr>
          <w:p w14:paraId="664B2702" w14:textId="22A3D304"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Bălăneşti - judeţul  Gorj</w:t>
            </w:r>
          </w:p>
        </w:tc>
        <w:tc>
          <w:tcPr>
            <w:tcW w:w="736" w:type="pct"/>
            <w:tcMar>
              <w:top w:w="80" w:type="dxa"/>
              <w:left w:w="80" w:type="dxa"/>
              <w:bottom w:w="80" w:type="dxa"/>
              <w:right w:w="80" w:type="dxa"/>
            </w:tcMar>
            <w:vAlign w:val="center"/>
          </w:tcPr>
          <w:p w14:paraId="4BDDB0DE"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12D71C94"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37</w:t>
            </w:r>
          </w:p>
        </w:tc>
        <w:tc>
          <w:tcPr>
            <w:tcW w:w="939" w:type="pct"/>
            <w:tcMar>
              <w:top w:w="80" w:type="dxa"/>
              <w:left w:w="80" w:type="dxa"/>
              <w:bottom w:w="80" w:type="dxa"/>
              <w:right w:w="80" w:type="dxa"/>
            </w:tcMar>
          </w:tcPr>
          <w:p w14:paraId="31AAD9A7" w14:textId="77777777" w:rsidR="00FA37D9"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Desi s-au trimis invitaţii,</w:t>
            </w:r>
          </w:p>
          <w:p w14:paraId="2259F977" w14:textId="7B873581" w:rsidR="00C96EB5" w:rsidRPr="00B3596A" w:rsidRDefault="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 xml:space="preserve">ONG-urile nu au fost prezente </w:t>
            </w:r>
          </w:p>
        </w:tc>
        <w:tc>
          <w:tcPr>
            <w:tcW w:w="1513" w:type="pct"/>
            <w:tcMar>
              <w:top w:w="80" w:type="dxa"/>
              <w:left w:w="80" w:type="dxa"/>
              <w:bottom w:w="80" w:type="dxa"/>
              <w:right w:w="80" w:type="dxa"/>
            </w:tcMar>
          </w:tcPr>
          <w:p w14:paraId="70C41229" w14:textId="0D1C8C7A"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Subprefectul judeţul Gorj</w:t>
            </w:r>
          </w:p>
          <w:p w14:paraId="2CF9971F" w14:textId="648DDB16"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B3596A">
              <w:rPr>
                <w:rFonts w:ascii="Arial Narrow" w:hAnsi="Arial Narrow"/>
                <w:sz w:val="20"/>
                <w:szCs w:val="20"/>
                <w:lang w:val="fr-FR"/>
              </w:rPr>
              <w:t>Arhitectul şef al Consiliului Judeţean Gorj</w:t>
            </w:r>
          </w:p>
          <w:p w14:paraId="7E274D36" w14:textId="311AC1DF"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 păduri</w:t>
            </w:r>
          </w:p>
          <w:p w14:paraId="44C9FF5C"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1456583F" w14:textId="2314C21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Asociaţii de proprietari, producători</w:t>
            </w:r>
          </w:p>
          <w:p w14:paraId="4F842AF9" w14:textId="6E66AF0A"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Arendaşi</w:t>
            </w:r>
          </w:p>
        </w:tc>
      </w:tr>
      <w:tr w:rsidR="00C96EB5" w:rsidRPr="00C96EB5" w14:paraId="11E8D3C9" w14:textId="77777777" w:rsidTr="001A01E5">
        <w:trPr>
          <w:trHeight w:val="1639"/>
          <w:tblCellSpacing w:w="20" w:type="dxa"/>
          <w:jc w:val="center"/>
        </w:trPr>
        <w:tc>
          <w:tcPr>
            <w:tcW w:w="303" w:type="pct"/>
            <w:tcMar>
              <w:top w:w="80" w:type="dxa"/>
              <w:left w:w="80" w:type="dxa"/>
              <w:bottom w:w="80" w:type="dxa"/>
              <w:right w:w="80" w:type="dxa"/>
            </w:tcMar>
            <w:vAlign w:val="center"/>
          </w:tcPr>
          <w:p w14:paraId="47852393"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8</w:t>
            </w:r>
          </w:p>
        </w:tc>
        <w:tc>
          <w:tcPr>
            <w:tcW w:w="602" w:type="pct"/>
            <w:tcMar>
              <w:top w:w="80" w:type="dxa"/>
              <w:left w:w="80" w:type="dxa"/>
              <w:bottom w:w="80" w:type="dxa"/>
              <w:right w:w="80" w:type="dxa"/>
            </w:tcMar>
            <w:vAlign w:val="center"/>
          </w:tcPr>
          <w:p w14:paraId="59B288F4" w14:textId="745605CB"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Turcineşti - judeţul  Gorj</w:t>
            </w:r>
          </w:p>
        </w:tc>
        <w:tc>
          <w:tcPr>
            <w:tcW w:w="736" w:type="pct"/>
            <w:tcMar>
              <w:top w:w="80" w:type="dxa"/>
              <w:left w:w="80" w:type="dxa"/>
              <w:bottom w:w="80" w:type="dxa"/>
              <w:right w:w="80" w:type="dxa"/>
            </w:tcMar>
            <w:vAlign w:val="center"/>
          </w:tcPr>
          <w:p w14:paraId="099979DD"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1</w:t>
            </w:r>
          </w:p>
        </w:tc>
        <w:tc>
          <w:tcPr>
            <w:tcW w:w="736" w:type="pct"/>
            <w:tcMar>
              <w:top w:w="80" w:type="dxa"/>
              <w:left w:w="80" w:type="dxa"/>
              <w:bottom w:w="80" w:type="dxa"/>
              <w:right w:w="80" w:type="dxa"/>
            </w:tcMar>
            <w:vAlign w:val="center"/>
          </w:tcPr>
          <w:p w14:paraId="5FE4BB72"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34</w:t>
            </w:r>
          </w:p>
        </w:tc>
        <w:tc>
          <w:tcPr>
            <w:tcW w:w="939" w:type="pct"/>
            <w:tcMar>
              <w:top w:w="80" w:type="dxa"/>
              <w:left w:w="80" w:type="dxa"/>
              <w:bottom w:w="80" w:type="dxa"/>
              <w:right w:w="80" w:type="dxa"/>
            </w:tcMar>
          </w:tcPr>
          <w:p w14:paraId="64F7EC0A"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 xml:space="preserve">ONG  prezent </w:t>
            </w:r>
          </w:p>
          <w:p w14:paraId="16271D7E"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(Bankwatch Network Bucureşti)</w:t>
            </w:r>
          </w:p>
        </w:tc>
        <w:tc>
          <w:tcPr>
            <w:tcW w:w="1513" w:type="pct"/>
            <w:tcMar>
              <w:top w:w="80" w:type="dxa"/>
              <w:left w:w="80" w:type="dxa"/>
              <w:bottom w:w="80" w:type="dxa"/>
              <w:right w:w="80" w:type="dxa"/>
            </w:tcMar>
          </w:tcPr>
          <w:p w14:paraId="75A326CA"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Primarul Turcineşti</w:t>
            </w:r>
          </w:p>
          <w:p w14:paraId="0F14002F" w14:textId="01223BDF"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Subprefectul judeţul Gorj</w:t>
            </w:r>
          </w:p>
          <w:p w14:paraId="0D57B4AA" w14:textId="022E214D"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Arhitectul şef al Consiliului Judeţean Gorj</w:t>
            </w:r>
          </w:p>
          <w:p w14:paraId="78BA89F6" w14:textId="3EC0467A"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 păduri</w:t>
            </w:r>
          </w:p>
          <w:p w14:paraId="274BA904"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 xml:space="preserve">Utilizatori de terenuri </w:t>
            </w:r>
          </w:p>
          <w:p w14:paraId="1C9FC1AB" w14:textId="232A88C1"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Asociaţii de proprietari, producători</w:t>
            </w:r>
          </w:p>
          <w:p w14:paraId="37D56DFA" w14:textId="31CD19CC"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Arendaşi</w:t>
            </w:r>
          </w:p>
        </w:tc>
      </w:tr>
      <w:tr w:rsidR="00C96EB5" w:rsidRPr="00C96EB5" w14:paraId="31D3E3ED" w14:textId="77777777" w:rsidTr="001A01E5">
        <w:trPr>
          <w:trHeight w:val="530"/>
          <w:tblCellSpacing w:w="20" w:type="dxa"/>
          <w:jc w:val="center"/>
        </w:trPr>
        <w:tc>
          <w:tcPr>
            <w:tcW w:w="303" w:type="pct"/>
            <w:tcMar>
              <w:top w:w="80" w:type="dxa"/>
              <w:left w:w="80" w:type="dxa"/>
              <w:bottom w:w="80" w:type="dxa"/>
              <w:right w:w="80" w:type="dxa"/>
            </w:tcMar>
            <w:vAlign w:val="center"/>
          </w:tcPr>
          <w:p w14:paraId="2C116FD5"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9</w:t>
            </w:r>
          </w:p>
        </w:tc>
        <w:tc>
          <w:tcPr>
            <w:tcW w:w="602" w:type="pct"/>
            <w:tcMar>
              <w:top w:w="80" w:type="dxa"/>
              <w:left w:w="80" w:type="dxa"/>
              <w:bottom w:w="80" w:type="dxa"/>
              <w:right w:w="80" w:type="dxa"/>
            </w:tcMar>
            <w:vAlign w:val="center"/>
          </w:tcPr>
          <w:p w14:paraId="33FBFF7E" w14:textId="24637E1A"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Toteşti - judeţul  Hunedoara</w:t>
            </w:r>
          </w:p>
        </w:tc>
        <w:tc>
          <w:tcPr>
            <w:tcW w:w="736" w:type="pct"/>
            <w:tcMar>
              <w:top w:w="80" w:type="dxa"/>
              <w:left w:w="80" w:type="dxa"/>
              <w:bottom w:w="80" w:type="dxa"/>
              <w:right w:w="80" w:type="dxa"/>
            </w:tcMar>
            <w:vAlign w:val="center"/>
          </w:tcPr>
          <w:p w14:paraId="47A868EC"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22CE11C8"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44</w:t>
            </w:r>
          </w:p>
        </w:tc>
        <w:tc>
          <w:tcPr>
            <w:tcW w:w="939" w:type="pct"/>
            <w:tcMar>
              <w:top w:w="80" w:type="dxa"/>
              <w:left w:w="80" w:type="dxa"/>
              <w:bottom w:w="80" w:type="dxa"/>
              <w:right w:w="80" w:type="dxa"/>
            </w:tcMar>
          </w:tcPr>
          <w:p w14:paraId="33E50312" w14:textId="77777777" w:rsidR="00FA37D9"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Desi s-au trimis invitaţii,</w:t>
            </w:r>
          </w:p>
          <w:p w14:paraId="568CFCA6" w14:textId="73B392D1" w:rsidR="00C96EB5" w:rsidRPr="00B3596A"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ONG-urile nu au fost prezente</w:t>
            </w:r>
          </w:p>
          <w:p w14:paraId="1F7732BF" w14:textId="74017AD2"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p>
        </w:tc>
        <w:tc>
          <w:tcPr>
            <w:tcW w:w="1513" w:type="pct"/>
            <w:tcMar>
              <w:top w:w="80" w:type="dxa"/>
              <w:left w:w="80" w:type="dxa"/>
              <w:bottom w:w="80" w:type="dxa"/>
              <w:right w:w="80" w:type="dxa"/>
            </w:tcMar>
          </w:tcPr>
          <w:p w14:paraId="3AE28973" w14:textId="42726236"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Prefectul judeţului Hunedoara</w:t>
            </w:r>
          </w:p>
          <w:p w14:paraId="1FBFE63C"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Viceprimar  Toteşti</w:t>
            </w:r>
          </w:p>
          <w:p w14:paraId="1FF03D07" w14:textId="392E9B5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 păduri</w:t>
            </w:r>
          </w:p>
          <w:p w14:paraId="5E61F5FB"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6F26801D" w14:textId="3FF01D8F"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Asociaţii de proprietari, producători</w:t>
            </w:r>
          </w:p>
          <w:p w14:paraId="330DC1E3"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Arendaşi</w:t>
            </w:r>
          </w:p>
        </w:tc>
      </w:tr>
      <w:tr w:rsidR="00C96EB5" w:rsidRPr="00C96EB5" w14:paraId="6CABF9F3" w14:textId="77777777" w:rsidTr="001A01E5">
        <w:trPr>
          <w:trHeight w:val="530"/>
          <w:tblCellSpacing w:w="20" w:type="dxa"/>
          <w:jc w:val="center"/>
        </w:trPr>
        <w:tc>
          <w:tcPr>
            <w:tcW w:w="303" w:type="pct"/>
            <w:tcMar>
              <w:top w:w="80" w:type="dxa"/>
              <w:left w:w="80" w:type="dxa"/>
              <w:bottom w:w="80" w:type="dxa"/>
              <w:right w:w="80" w:type="dxa"/>
            </w:tcMar>
            <w:vAlign w:val="center"/>
          </w:tcPr>
          <w:p w14:paraId="28DBD95C"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10</w:t>
            </w:r>
          </w:p>
        </w:tc>
        <w:tc>
          <w:tcPr>
            <w:tcW w:w="602" w:type="pct"/>
            <w:tcMar>
              <w:top w:w="80" w:type="dxa"/>
              <w:left w:w="80" w:type="dxa"/>
              <w:bottom w:w="80" w:type="dxa"/>
              <w:right w:w="80" w:type="dxa"/>
            </w:tcMar>
            <w:vAlign w:val="center"/>
          </w:tcPr>
          <w:p w14:paraId="152E653B" w14:textId="79AAC7DE"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Băuţar - judeţul  Caraş-Severin</w:t>
            </w:r>
          </w:p>
        </w:tc>
        <w:tc>
          <w:tcPr>
            <w:tcW w:w="736" w:type="pct"/>
            <w:tcMar>
              <w:top w:w="80" w:type="dxa"/>
              <w:left w:w="80" w:type="dxa"/>
              <w:bottom w:w="80" w:type="dxa"/>
              <w:right w:w="80" w:type="dxa"/>
            </w:tcMar>
            <w:vAlign w:val="center"/>
          </w:tcPr>
          <w:p w14:paraId="653A6040"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0B8B5969"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43</w:t>
            </w:r>
          </w:p>
        </w:tc>
        <w:tc>
          <w:tcPr>
            <w:tcW w:w="939" w:type="pct"/>
            <w:tcMar>
              <w:top w:w="80" w:type="dxa"/>
              <w:left w:w="80" w:type="dxa"/>
              <w:bottom w:w="80" w:type="dxa"/>
              <w:right w:w="80" w:type="dxa"/>
            </w:tcMar>
          </w:tcPr>
          <w:p w14:paraId="46C5353B" w14:textId="77777777" w:rsidR="00FA37D9"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Desi s-au trimis invitaţii,</w:t>
            </w:r>
          </w:p>
          <w:p w14:paraId="7BF1C2AB" w14:textId="1697FFB0" w:rsidR="00C96EB5" w:rsidRPr="00B3596A"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ONG-urile nu au fost prezente</w:t>
            </w:r>
          </w:p>
          <w:p w14:paraId="3F4B8F8F" w14:textId="2FA8B74A"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p>
        </w:tc>
        <w:tc>
          <w:tcPr>
            <w:tcW w:w="1513" w:type="pct"/>
            <w:tcMar>
              <w:top w:w="80" w:type="dxa"/>
              <w:left w:w="80" w:type="dxa"/>
              <w:bottom w:w="80" w:type="dxa"/>
              <w:right w:w="80" w:type="dxa"/>
            </w:tcMar>
          </w:tcPr>
          <w:p w14:paraId="50CF256F"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Viceprimar Băuţar</w:t>
            </w:r>
          </w:p>
          <w:p w14:paraId="35DBEDEA"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Primăria Reşita</w:t>
            </w:r>
          </w:p>
          <w:p w14:paraId="5142F4A3" w14:textId="768C56BD"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 păduri</w:t>
            </w:r>
          </w:p>
          <w:p w14:paraId="10AFE7C3"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475ACF73" w14:textId="749FE4E4"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Asociaţii de proprietari, producători</w:t>
            </w:r>
          </w:p>
          <w:p w14:paraId="01D53DAE"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Arendaşi</w:t>
            </w:r>
          </w:p>
        </w:tc>
      </w:tr>
      <w:tr w:rsidR="00C96EB5" w:rsidRPr="00C96EB5" w14:paraId="351EC29C" w14:textId="77777777" w:rsidTr="001A01E5">
        <w:trPr>
          <w:trHeight w:val="530"/>
          <w:tblCellSpacing w:w="20" w:type="dxa"/>
          <w:jc w:val="center"/>
        </w:trPr>
        <w:tc>
          <w:tcPr>
            <w:tcW w:w="303" w:type="pct"/>
            <w:tcMar>
              <w:top w:w="80" w:type="dxa"/>
              <w:left w:w="80" w:type="dxa"/>
              <w:bottom w:w="80" w:type="dxa"/>
              <w:right w:w="80" w:type="dxa"/>
            </w:tcMar>
            <w:vAlign w:val="center"/>
          </w:tcPr>
          <w:p w14:paraId="1CA0D2E6"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11</w:t>
            </w:r>
          </w:p>
        </w:tc>
        <w:tc>
          <w:tcPr>
            <w:tcW w:w="602" w:type="pct"/>
            <w:tcMar>
              <w:top w:w="80" w:type="dxa"/>
              <w:left w:w="80" w:type="dxa"/>
              <w:bottom w:w="80" w:type="dxa"/>
              <w:right w:w="80" w:type="dxa"/>
            </w:tcMar>
            <w:vAlign w:val="center"/>
          </w:tcPr>
          <w:p w14:paraId="60C77015" w14:textId="3090FFBC"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Obreja - judeţul  Caraş-Severin</w:t>
            </w:r>
          </w:p>
        </w:tc>
        <w:tc>
          <w:tcPr>
            <w:tcW w:w="736" w:type="pct"/>
            <w:tcMar>
              <w:top w:w="80" w:type="dxa"/>
              <w:left w:w="80" w:type="dxa"/>
              <w:bottom w:w="80" w:type="dxa"/>
              <w:right w:w="80" w:type="dxa"/>
            </w:tcMar>
            <w:vAlign w:val="center"/>
          </w:tcPr>
          <w:p w14:paraId="1EA70B60"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096C1761"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49</w:t>
            </w:r>
          </w:p>
        </w:tc>
        <w:tc>
          <w:tcPr>
            <w:tcW w:w="939" w:type="pct"/>
            <w:tcMar>
              <w:top w:w="80" w:type="dxa"/>
              <w:left w:w="80" w:type="dxa"/>
              <w:bottom w:w="80" w:type="dxa"/>
              <w:right w:w="80" w:type="dxa"/>
            </w:tcMar>
          </w:tcPr>
          <w:p w14:paraId="5311DAF8" w14:textId="77777777" w:rsidR="00FA37D9"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Desi s-au trimis invitaţii,</w:t>
            </w:r>
          </w:p>
          <w:p w14:paraId="12C98BE1" w14:textId="6F0A4FEE" w:rsidR="00C96EB5" w:rsidRPr="00B3596A"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ONG-urile nu au fost prezente</w:t>
            </w:r>
          </w:p>
          <w:p w14:paraId="20326BD6" w14:textId="59C2BD26"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p>
        </w:tc>
        <w:tc>
          <w:tcPr>
            <w:tcW w:w="1513" w:type="pct"/>
            <w:tcMar>
              <w:top w:w="80" w:type="dxa"/>
              <w:left w:w="80" w:type="dxa"/>
              <w:bottom w:w="80" w:type="dxa"/>
              <w:right w:w="80" w:type="dxa"/>
            </w:tcMar>
          </w:tcPr>
          <w:p w14:paraId="495FAA23"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Viceprimar Obreja</w:t>
            </w:r>
          </w:p>
          <w:p w14:paraId="760EDFCC" w14:textId="1EDF5384"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 păduri</w:t>
            </w:r>
          </w:p>
          <w:p w14:paraId="33AC8235"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7C0BF0B6" w14:textId="56601E60"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Asociaţii de proprietari, producători</w:t>
            </w:r>
          </w:p>
          <w:p w14:paraId="711E5E91"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rPr>
            </w:pPr>
            <w:r w:rsidRPr="00B3596A">
              <w:rPr>
                <w:rFonts w:ascii="Arial Narrow" w:hAnsi="Arial Narrow"/>
                <w:sz w:val="20"/>
                <w:szCs w:val="20"/>
              </w:rPr>
              <w:t>Arendaşi</w:t>
            </w:r>
          </w:p>
        </w:tc>
      </w:tr>
      <w:tr w:rsidR="00C96EB5" w:rsidRPr="00C96EB5" w14:paraId="4BA807CD" w14:textId="77777777" w:rsidTr="001A01E5">
        <w:trPr>
          <w:trHeight w:val="530"/>
          <w:tblCellSpacing w:w="20" w:type="dxa"/>
          <w:jc w:val="center"/>
        </w:trPr>
        <w:tc>
          <w:tcPr>
            <w:tcW w:w="303" w:type="pct"/>
            <w:tcMar>
              <w:top w:w="80" w:type="dxa"/>
              <w:left w:w="80" w:type="dxa"/>
              <w:bottom w:w="80" w:type="dxa"/>
              <w:right w:w="80" w:type="dxa"/>
            </w:tcMar>
            <w:vAlign w:val="center"/>
          </w:tcPr>
          <w:p w14:paraId="781C9DBB" w14:textId="77777777"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sz w:val="20"/>
                <w:szCs w:val="20"/>
              </w:rPr>
            </w:pPr>
            <w:r w:rsidRPr="00B3596A">
              <w:rPr>
                <w:rFonts w:ascii="Arial Narrow" w:hAnsi="Arial Narrow" w:cs="Arial Narrow"/>
                <w:sz w:val="20"/>
                <w:szCs w:val="20"/>
              </w:rPr>
              <w:t>12</w:t>
            </w:r>
          </w:p>
        </w:tc>
        <w:tc>
          <w:tcPr>
            <w:tcW w:w="602" w:type="pct"/>
            <w:tcMar>
              <w:top w:w="80" w:type="dxa"/>
              <w:left w:w="80" w:type="dxa"/>
              <w:bottom w:w="80" w:type="dxa"/>
              <w:right w:w="80" w:type="dxa"/>
            </w:tcMar>
            <w:vAlign w:val="center"/>
          </w:tcPr>
          <w:p w14:paraId="7CDBFE93" w14:textId="2CBA284E" w:rsidR="00C96EB5" w:rsidRPr="00B3596A" w:rsidRDefault="00C96EB5">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sz w:val="20"/>
                <w:szCs w:val="20"/>
              </w:rPr>
            </w:pPr>
            <w:r w:rsidRPr="00B3596A">
              <w:rPr>
                <w:rFonts w:ascii="Arial Narrow" w:hAnsi="Arial Narrow" w:cs="Arial Narrow"/>
                <w:sz w:val="20"/>
                <w:szCs w:val="20"/>
              </w:rPr>
              <w:t>Coşteiu - judeţul  Tmiş</w:t>
            </w:r>
          </w:p>
        </w:tc>
        <w:tc>
          <w:tcPr>
            <w:tcW w:w="736" w:type="pct"/>
            <w:tcMar>
              <w:top w:w="80" w:type="dxa"/>
              <w:left w:w="80" w:type="dxa"/>
              <w:bottom w:w="80" w:type="dxa"/>
              <w:right w:w="80" w:type="dxa"/>
            </w:tcMar>
            <w:vAlign w:val="center"/>
          </w:tcPr>
          <w:p w14:paraId="1D229C56"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0</w:t>
            </w:r>
          </w:p>
        </w:tc>
        <w:tc>
          <w:tcPr>
            <w:tcW w:w="736" w:type="pct"/>
            <w:tcMar>
              <w:top w:w="80" w:type="dxa"/>
              <w:left w:w="80" w:type="dxa"/>
              <w:bottom w:w="80" w:type="dxa"/>
              <w:right w:w="80" w:type="dxa"/>
            </w:tcMar>
            <w:vAlign w:val="center"/>
          </w:tcPr>
          <w:p w14:paraId="53D45620"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sz w:val="20"/>
                <w:szCs w:val="20"/>
              </w:rPr>
            </w:pPr>
            <w:r w:rsidRPr="00B3596A">
              <w:rPr>
                <w:rFonts w:ascii="Arial Narrow" w:hAnsi="Arial Narrow"/>
                <w:sz w:val="20"/>
                <w:szCs w:val="20"/>
              </w:rPr>
              <w:t>29</w:t>
            </w:r>
          </w:p>
        </w:tc>
        <w:tc>
          <w:tcPr>
            <w:tcW w:w="939" w:type="pct"/>
            <w:tcMar>
              <w:top w:w="80" w:type="dxa"/>
              <w:left w:w="80" w:type="dxa"/>
              <w:bottom w:w="80" w:type="dxa"/>
              <w:right w:w="80" w:type="dxa"/>
            </w:tcMar>
          </w:tcPr>
          <w:p w14:paraId="6B0AB6B2" w14:textId="77777777" w:rsidR="00FA37D9"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Desi s-au trimis invitaţii,</w:t>
            </w:r>
          </w:p>
          <w:p w14:paraId="13F8DD06" w14:textId="150FB1C5" w:rsidR="00C96EB5" w:rsidRPr="00B3596A" w:rsidRDefault="00FA37D9" w:rsidP="00FA37D9">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r w:rsidRPr="00340829">
              <w:rPr>
                <w:rFonts w:ascii="Arial Narrow" w:hAnsi="Arial Narrow"/>
                <w:sz w:val="20"/>
                <w:szCs w:val="20"/>
                <w:lang w:val="fr-FR"/>
              </w:rPr>
              <w:t>ONG-urile nu au fost prezente</w:t>
            </w:r>
          </w:p>
          <w:p w14:paraId="414F6DB6" w14:textId="56D98DC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fr-FR"/>
              </w:rPr>
            </w:pPr>
          </w:p>
        </w:tc>
        <w:tc>
          <w:tcPr>
            <w:tcW w:w="1513" w:type="pct"/>
            <w:tcMar>
              <w:top w:w="80" w:type="dxa"/>
              <w:left w:w="80" w:type="dxa"/>
              <w:bottom w:w="80" w:type="dxa"/>
              <w:right w:w="80" w:type="dxa"/>
            </w:tcMar>
          </w:tcPr>
          <w:p w14:paraId="1F30B37D"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Primar Coşteiu</w:t>
            </w:r>
          </w:p>
          <w:p w14:paraId="2A628A1E" w14:textId="7320EF9F"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Proprietari de terenuri, păduri</w:t>
            </w:r>
          </w:p>
          <w:p w14:paraId="21597439"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Utilizatori de terenuri</w:t>
            </w:r>
          </w:p>
          <w:p w14:paraId="7FCC6194" w14:textId="70B27769"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Asociaţii de proprietari, producători</w:t>
            </w:r>
          </w:p>
          <w:p w14:paraId="5EC877C7"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sz w:val="20"/>
                <w:szCs w:val="20"/>
                <w:lang w:val="it-IT"/>
              </w:rPr>
            </w:pPr>
            <w:r w:rsidRPr="00B3596A">
              <w:rPr>
                <w:rFonts w:ascii="Arial Narrow" w:hAnsi="Arial Narrow"/>
                <w:sz w:val="20"/>
                <w:szCs w:val="20"/>
                <w:lang w:val="it-IT"/>
              </w:rPr>
              <w:t>Arendaşi</w:t>
            </w:r>
          </w:p>
        </w:tc>
      </w:tr>
      <w:tr w:rsidR="00C96EB5" w:rsidRPr="00C96EB5" w14:paraId="24B130AA" w14:textId="77777777" w:rsidTr="001A01E5">
        <w:trPr>
          <w:trHeight w:val="157"/>
          <w:tblCellSpacing w:w="20" w:type="dxa"/>
          <w:jc w:val="center"/>
        </w:trPr>
        <w:tc>
          <w:tcPr>
            <w:tcW w:w="303" w:type="pct"/>
            <w:shd w:val="clear" w:color="auto" w:fill="2F5496"/>
            <w:tcMar>
              <w:top w:w="80" w:type="dxa"/>
              <w:left w:w="80" w:type="dxa"/>
              <w:bottom w:w="80" w:type="dxa"/>
              <w:right w:w="80" w:type="dxa"/>
            </w:tcMar>
          </w:tcPr>
          <w:p w14:paraId="08401CA4"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b/>
                <w:color w:val="FFFFFF"/>
                <w:sz w:val="20"/>
                <w:szCs w:val="20"/>
                <w:lang w:val="it-IT"/>
              </w:rPr>
            </w:pPr>
          </w:p>
        </w:tc>
        <w:tc>
          <w:tcPr>
            <w:tcW w:w="602" w:type="pct"/>
            <w:shd w:val="clear" w:color="auto" w:fill="2F5496"/>
            <w:tcMar>
              <w:top w:w="80" w:type="dxa"/>
              <w:left w:w="80" w:type="dxa"/>
              <w:bottom w:w="80" w:type="dxa"/>
              <w:right w:w="80" w:type="dxa"/>
            </w:tcMar>
          </w:tcPr>
          <w:p w14:paraId="1E9778E7"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b/>
                <w:color w:val="FFFFFF"/>
                <w:sz w:val="20"/>
                <w:szCs w:val="20"/>
              </w:rPr>
            </w:pPr>
            <w:r w:rsidRPr="00B3596A">
              <w:rPr>
                <w:rFonts w:ascii="Arial Narrow" w:hAnsi="Arial Narrow"/>
                <w:b/>
                <w:color w:val="FFFFFF"/>
                <w:sz w:val="20"/>
                <w:szCs w:val="20"/>
              </w:rPr>
              <w:t>TOTAL</w:t>
            </w:r>
          </w:p>
        </w:tc>
        <w:tc>
          <w:tcPr>
            <w:tcW w:w="736" w:type="pct"/>
            <w:shd w:val="clear" w:color="auto" w:fill="2F5496"/>
            <w:tcMar>
              <w:top w:w="80" w:type="dxa"/>
              <w:left w:w="80" w:type="dxa"/>
              <w:bottom w:w="80" w:type="dxa"/>
              <w:right w:w="80" w:type="dxa"/>
            </w:tcMar>
          </w:tcPr>
          <w:p w14:paraId="61957C56"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b/>
                <w:color w:val="FFFFFF"/>
                <w:sz w:val="20"/>
                <w:szCs w:val="20"/>
              </w:rPr>
            </w:pPr>
            <w:r w:rsidRPr="00B3596A">
              <w:rPr>
                <w:rFonts w:ascii="Arial Narrow" w:hAnsi="Arial Narrow"/>
                <w:b/>
                <w:color w:val="FFFFFF"/>
                <w:sz w:val="20"/>
                <w:szCs w:val="20"/>
              </w:rPr>
              <w:t>2</w:t>
            </w:r>
          </w:p>
        </w:tc>
        <w:tc>
          <w:tcPr>
            <w:tcW w:w="736" w:type="pct"/>
            <w:shd w:val="clear" w:color="auto" w:fill="2F5496"/>
            <w:tcMar>
              <w:top w:w="80" w:type="dxa"/>
              <w:left w:w="80" w:type="dxa"/>
              <w:bottom w:w="80" w:type="dxa"/>
              <w:right w:w="80" w:type="dxa"/>
            </w:tcMar>
          </w:tcPr>
          <w:p w14:paraId="3ECFDAB1" w14:textId="77777777" w:rsidR="00C96EB5" w:rsidRPr="00B3596A" w:rsidRDefault="00C96EB5">
            <w:pPr>
              <w:pBdr>
                <w:top w:val="none" w:sz="0" w:space="0" w:color="auto"/>
                <w:left w:val="none" w:sz="0" w:space="0" w:color="auto"/>
                <w:bottom w:val="none" w:sz="0" w:space="0" w:color="auto"/>
                <w:right w:val="none" w:sz="0" w:space="0" w:color="auto"/>
                <w:bar w:val="none" w:sz="0" w:color="auto"/>
              </w:pBdr>
              <w:jc w:val="right"/>
              <w:rPr>
                <w:rFonts w:ascii="Arial Narrow" w:hAnsi="Arial Narrow"/>
                <w:b/>
                <w:color w:val="FFFFFF"/>
                <w:sz w:val="20"/>
                <w:szCs w:val="20"/>
              </w:rPr>
            </w:pPr>
            <w:r w:rsidRPr="00B3596A">
              <w:rPr>
                <w:rFonts w:ascii="Arial Narrow" w:hAnsi="Arial Narrow"/>
                <w:b/>
                <w:color w:val="FFFFFF"/>
                <w:sz w:val="20"/>
                <w:szCs w:val="20"/>
              </w:rPr>
              <w:t>507</w:t>
            </w:r>
          </w:p>
        </w:tc>
        <w:tc>
          <w:tcPr>
            <w:tcW w:w="939" w:type="pct"/>
            <w:shd w:val="clear" w:color="auto" w:fill="2F5496"/>
            <w:tcMar>
              <w:top w:w="80" w:type="dxa"/>
              <w:left w:w="80" w:type="dxa"/>
              <w:bottom w:w="80" w:type="dxa"/>
              <w:right w:w="80" w:type="dxa"/>
            </w:tcMar>
          </w:tcPr>
          <w:p w14:paraId="47057DE9"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b/>
                <w:color w:val="FFFFFF"/>
                <w:sz w:val="20"/>
                <w:szCs w:val="20"/>
              </w:rPr>
            </w:pPr>
          </w:p>
        </w:tc>
        <w:tc>
          <w:tcPr>
            <w:tcW w:w="1513" w:type="pct"/>
            <w:shd w:val="clear" w:color="auto" w:fill="2F5496"/>
            <w:tcMar>
              <w:top w:w="80" w:type="dxa"/>
              <w:left w:w="80" w:type="dxa"/>
              <w:bottom w:w="80" w:type="dxa"/>
              <w:right w:w="80" w:type="dxa"/>
            </w:tcMar>
          </w:tcPr>
          <w:p w14:paraId="38BC23AB" w14:textId="77777777" w:rsidR="00C96EB5" w:rsidRPr="00B3596A" w:rsidRDefault="00C96EB5">
            <w:pPr>
              <w:pBdr>
                <w:top w:val="none" w:sz="0" w:space="0" w:color="auto"/>
                <w:left w:val="none" w:sz="0" w:space="0" w:color="auto"/>
                <w:bottom w:val="none" w:sz="0" w:space="0" w:color="auto"/>
                <w:right w:val="none" w:sz="0" w:space="0" w:color="auto"/>
                <w:bar w:val="none" w:sz="0" w:color="auto"/>
              </w:pBdr>
              <w:rPr>
                <w:rFonts w:ascii="Arial Narrow" w:hAnsi="Arial Narrow"/>
                <w:b/>
                <w:color w:val="FFFFFF"/>
                <w:sz w:val="20"/>
                <w:szCs w:val="20"/>
              </w:rPr>
            </w:pPr>
          </w:p>
        </w:tc>
      </w:tr>
      <w:tr w:rsidR="00857430" w:rsidRPr="00C96EB5" w14:paraId="45C80461" w14:textId="77777777" w:rsidTr="00857430">
        <w:trPr>
          <w:trHeight w:val="157"/>
          <w:tblCellSpacing w:w="20" w:type="dxa"/>
          <w:jc w:val="center"/>
        </w:trPr>
        <w:tc>
          <w:tcPr>
            <w:tcW w:w="303" w:type="pct"/>
            <w:shd w:val="clear" w:color="auto" w:fill="2F5496"/>
            <w:tcMar>
              <w:top w:w="80" w:type="dxa"/>
              <w:left w:w="80" w:type="dxa"/>
              <w:bottom w:w="80" w:type="dxa"/>
              <w:right w:w="80" w:type="dxa"/>
            </w:tcMar>
          </w:tcPr>
          <w:p w14:paraId="6B0EDE53" w14:textId="77777777" w:rsidR="00857430" w:rsidRPr="00B3596A" w:rsidRDefault="00857430">
            <w:pPr>
              <w:pBdr>
                <w:top w:val="none" w:sz="0" w:space="0" w:color="auto"/>
                <w:left w:val="none" w:sz="0" w:space="0" w:color="auto"/>
                <w:bottom w:val="none" w:sz="0" w:space="0" w:color="auto"/>
                <w:right w:val="none" w:sz="0" w:space="0" w:color="auto"/>
                <w:bar w:val="none" w:sz="0" w:color="auto"/>
              </w:pBdr>
              <w:rPr>
                <w:b/>
                <w:color w:val="FFFFFF"/>
                <w:sz w:val="20"/>
                <w:szCs w:val="20"/>
                <w:lang w:val="it-IT"/>
              </w:rPr>
            </w:pPr>
          </w:p>
        </w:tc>
        <w:tc>
          <w:tcPr>
            <w:tcW w:w="602" w:type="pct"/>
            <w:shd w:val="clear" w:color="auto" w:fill="2F5496"/>
            <w:tcMar>
              <w:top w:w="80" w:type="dxa"/>
              <w:left w:w="80" w:type="dxa"/>
              <w:bottom w:w="80" w:type="dxa"/>
              <w:right w:w="80" w:type="dxa"/>
            </w:tcMar>
          </w:tcPr>
          <w:p w14:paraId="34740B0B" w14:textId="77777777" w:rsidR="00857430" w:rsidRPr="00B3596A" w:rsidRDefault="00857430">
            <w:pPr>
              <w:pBdr>
                <w:top w:val="none" w:sz="0" w:space="0" w:color="auto"/>
                <w:left w:val="none" w:sz="0" w:space="0" w:color="auto"/>
                <w:bottom w:val="none" w:sz="0" w:space="0" w:color="auto"/>
                <w:right w:val="none" w:sz="0" w:space="0" w:color="auto"/>
                <w:bar w:val="none" w:sz="0" w:color="auto"/>
              </w:pBdr>
              <w:rPr>
                <w:rFonts w:ascii="Arial Narrow" w:hAnsi="Arial Narrow"/>
                <w:b/>
                <w:color w:val="FFFFFF"/>
                <w:sz w:val="20"/>
                <w:szCs w:val="20"/>
              </w:rPr>
            </w:pPr>
          </w:p>
        </w:tc>
        <w:tc>
          <w:tcPr>
            <w:tcW w:w="1496" w:type="pct"/>
            <w:gridSpan w:val="2"/>
            <w:shd w:val="clear" w:color="auto" w:fill="2F5496"/>
            <w:tcMar>
              <w:top w:w="80" w:type="dxa"/>
              <w:left w:w="80" w:type="dxa"/>
              <w:bottom w:w="80" w:type="dxa"/>
              <w:right w:w="80" w:type="dxa"/>
            </w:tcMar>
          </w:tcPr>
          <w:p w14:paraId="22D7D3D6" w14:textId="24C78DF5" w:rsidR="00857430" w:rsidRPr="00B3596A" w:rsidRDefault="00857430">
            <w:pPr>
              <w:pBdr>
                <w:top w:val="none" w:sz="0" w:space="0" w:color="auto"/>
                <w:left w:val="none" w:sz="0" w:space="0" w:color="auto"/>
                <w:bottom w:val="none" w:sz="0" w:space="0" w:color="auto"/>
                <w:right w:val="none" w:sz="0" w:space="0" w:color="auto"/>
                <w:bar w:val="none" w:sz="0" w:color="auto"/>
              </w:pBdr>
              <w:jc w:val="right"/>
              <w:rPr>
                <w:rFonts w:ascii="Arial Narrow" w:hAnsi="Arial Narrow"/>
                <w:b/>
                <w:color w:val="FFFFFF"/>
                <w:sz w:val="20"/>
                <w:szCs w:val="20"/>
              </w:rPr>
            </w:pPr>
            <w:r>
              <w:rPr>
                <w:rFonts w:ascii="Arial Narrow" w:hAnsi="Arial Narrow"/>
                <w:b/>
                <w:color w:val="FFFFFF"/>
                <w:sz w:val="20"/>
                <w:szCs w:val="20"/>
              </w:rPr>
              <w:t>509 participanți</w:t>
            </w:r>
          </w:p>
        </w:tc>
        <w:tc>
          <w:tcPr>
            <w:tcW w:w="939" w:type="pct"/>
            <w:shd w:val="clear" w:color="auto" w:fill="2F5496"/>
            <w:tcMar>
              <w:top w:w="80" w:type="dxa"/>
              <w:left w:w="80" w:type="dxa"/>
              <w:bottom w:w="80" w:type="dxa"/>
              <w:right w:w="80" w:type="dxa"/>
            </w:tcMar>
          </w:tcPr>
          <w:p w14:paraId="4CE674C2" w14:textId="77777777" w:rsidR="00857430" w:rsidRPr="00B3596A" w:rsidRDefault="00857430">
            <w:pPr>
              <w:pBdr>
                <w:top w:val="none" w:sz="0" w:space="0" w:color="auto"/>
                <w:left w:val="none" w:sz="0" w:space="0" w:color="auto"/>
                <w:bottom w:val="none" w:sz="0" w:space="0" w:color="auto"/>
                <w:right w:val="none" w:sz="0" w:space="0" w:color="auto"/>
                <w:bar w:val="none" w:sz="0" w:color="auto"/>
              </w:pBdr>
              <w:rPr>
                <w:rFonts w:ascii="Arial Narrow" w:hAnsi="Arial Narrow"/>
                <w:b/>
                <w:color w:val="FFFFFF"/>
                <w:sz w:val="20"/>
                <w:szCs w:val="20"/>
              </w:rPr>
            </w:pPr>
          </w:p>
        </w:tc>
        <w:tc>
          <w:tcPr>
            <w:tcW w:w="1513" w:type="pct"/>
            <w:shd w:val="clear" w:color="auto" w:fill="2F5496"/>
            <w:tcMar>
              <w:top w:w="80" w:type="dxa"/>
              <w:left w:w="80" w:type="dxa"/>
              <w:bottom w:w="80" w:type="dxa"/>
              <w:right w:w="80" w:type="dxa"/>
            </w:tcMar>
          </w:tcPr>
          <w:p w14:paraId="401A2346" w14:textId="77777777" w:rsidR="00857430" w:rsidRPr="00B3596A" w:rsidRDefault="00857430">
            <w:pPr>
              <w:pBdr>
                <w:top w:val="none" w:sz="0" w:space="0" w:color="auto"/>
                <w:left w:val="none" w:sz="0" w:space="0" w:color="auto"/>
                <w:bottom w:val="none" w:sz="0" w:space="0" w:color="auto"/>
                <w:right w:val="none" w:sz="0" w:space="0" w:color="auto"/>
                <w:bar w:val="none" w:sz="0" w:color="auto"/>
              </w:pBdr>
              <w:rPr>
                <w:rFonts w:ascii="Arial Narrow" w:hAnsi="Arial Narrow"/>
                <w:b/>
                <w:color w:val="FFFFFF"/>
                <w:sz w:val="20"/>
                <w:szCs w:val="20"/>
              </w:rPr>
            </w:pPr>
          </w:p>
        </w:tc>
      </w:tr>
    </w:tbl>
    <w:p w14:paraId="443CB196" w14:textId="099BE166" w:rsidR="00896C08" w:rsidRPr="00B3596A" w:rsidRDefault="00896C08" w:rsidP="001B679B">
      <w:pPr>
        <w:pStyle w:val="Corp"/>
        <w:pBdr>
          <w:top w:val="none" w:sz="0" w:space="0" w:color="auto"/>
          <w:left w:val="none" w:sz="0" w:space="0" w:color="auto"/>
          <w:bottom w:val="none" w:sz="0" w:space="0" w:color="auto"/>
          <w:right w:val="none" w:sz="0" w:space="0" w:color="auto"/>
          <w:between w:val="skyrocket" w:sz="96" w:space="0" w:color="auto"/>
          <w:bar w:val="none" w:sz="0" w:color="auto"/>
        </w:pBdr>
        <w:shd w:val="clear" w:color="auto" w:fill="2F5496"/>
        <w:spacing w:after="0" w:line="240" w:lineRule="auto"/>
        <w:jc w:val="both"/>
        <w:rPr>
          <w:rFonts w:ascii="Arial Narrow" w:hAnsi="Arial Narrow" w:cs="Arial Narrow"/>
          <w:sz w:val="24"/>
          <w:szCs w:val="24"/>
          <w:lang w:val="pt-BR"/>
        </w:rPr>
      </w:pPr>
      <w:r w:rsidRPr="00B3596A">
        <w:rPr>
          <w:rFonts w:ascii="Arial Narrow" w:hAnsi="Arial Narrow" w:cs="Arial Narrow"/>
          <w:b/>
          <w:bCs/>
          <w:color w:val="FFFFFF"/>
          <w:sz w:val="24"/>
          <w:szCs w:val="24"/>
          <w:shd w:val="clear" w:color="auto" w:fill="2F5496"/>
          <w:lang w:val="pt-BR"/>
        </w:rPr>
        <w:t>B. Informaţii privind modul de desfăşurare a consultării publice</w:t>
      </w:r>
      <w:r w:rsidRPr="00B3596A">
        <w:rPr>
          <w:rFonts w:ascii="Arial Narrow" w:hAnsi="Arial Narrow" w:cs="Arial Narrow"/>
          <w:sz w:val="24"/>
          <w:szCs w:val="24"/>
          <w:lang w:val="pt-BR"/>
        </w:rPr>
        <w:t>:</w:t>
      </w:r>
    </w:p>
    <w:p w14:paraId="6775B15D" w14:textId="77777777"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pt-BR"/>
        </w:rPr>
      </w:pPr>
    </w:p>
    <w:p w14:paraId="29222FE0" w14:textId="77777777"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sz w:val="24"/>
          <w:szCs w:val="24"/>
          <w:lang w:val="pt-BR"/>
        </w:rPr>
      </w:pPr>
      <w:r w:rsidRPr="00B3596A">
        <w:rPr>
          <w:rFonts w:ascii="Arial Narrow" w:hAnsi="Arial Narrow" w:cs="Arial Narrow"/>
          <w:sz w:val="24"/>
          <w:szCs w:val="24"/>
          <w:lang w:val="pt-BR"/>
        </w:rPr>
        <w:t xml:space="preserve">În tabelul de mai jos se prezintă într-o manieră sintetică modul de desfăşurare a consultărilor publice din punct de vedere al îndeplinirii prevederilor </w:t>
      </w:r>
      <w:r w:rsidRPr="00B3596A">
        <w:rPr>
          <w:rFonts w:ascii="Arial Narrow" w:hAnsi="Arial Narrow"/>
          <w:sz w:val="24"/>
          <w:szCs w:val="24"/>
          <w:lang w:val="pt-BR"/>
        </w:rPr>
        <w:t xml:space="preserve">Regulamentului (UE) </w:t>
      </w:r>
      <w:r w:rsidRPr="00B3596A">
        <w:rPr>
          <w:rFonts w:ascii="Arial Narrow" w:hAnsi="Arial Narrow"/>
          <w:sz w:val="24"/>
          <w:szCs w:val="24"/>
          <w:lang w:val="ro-RO"/>
        </w:rPr>
        <w:t>nr.</w:t>
      </w:r>
      <w:r w:rsidRPr="00B3596A">
        <w:rPr>
          <w:rFonts w:ascii="Arial Narrow" w:hAnsi="Arial Narrow"/>
          <w:sz w:val="24"/>
          <w:szCs w:val="24"/>
          <w:lang w:val="pt-BR"/>
        </w:rPr>
        <w:t xml:space="preserve"> 347/2013:</w:t>
      </w:r>
    </w:p>
    <w:p w14:paraId="1F937E37" w14:textId="77777777"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pt-BR"/>
        </w:rPr>
      </w:pPr>
    </w:p>
    <w:tbl>
      <w:tblPr>
        <w:tblpPr w:leftFromText="180" w:rightFromText="180" w:vertAnchor="text" w:tblpXSpec="center" w:tblpY="1"/>
        <w:tblOverlap w:val="never"/>
        <w:tblW w:w="5143"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3820"/>
        <w:gridCol w:w="5452"/>
      </w:tblGrid>
      <w:tr w:rsidR="00896C08" w:rsidRPr="009A1ED3" w14:paraId="49FEAAC0" w14:textId="77777777" w:rsidTr="00FA5171">
        <w:trPr>
          <w:tblCellSpacing w:w="20" w:type="dxa"/>
        </w:trPr>
        <w:tc>
          <w:tcPr>
            <w:tcW w:w="2028" w:type="pct"/>
            <w:shd w:val="clear" w:color="auto" w:fill="D9D9D9"/>
          </w:tcPr>
          <w:p w14:paraId="785DD5A6" w14:textId="77777777" w:rsidR="00896C08" w:rsidRPr="00B3596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c>
          <w:tcPr>
            <w:tcW w:w="2908" w:type="pct"/>
            <w:shd w:val="clear" w:color="auto" w:fill="D9D9D9"/>
          </w:tcPr>
          <w:p w14:paraId="42DA410F" w14:textId="77777777" w:rsidR="00896C08" w:rsidRPr="00B3596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r>
      <w:tr w:rsidR="00896C08" w:rsidRPr="000D2F52" w14:paraId="01A65BD3" w14:textId="77777777" w:rsidTr="00FA5171">
        <w:trPr>
          <w:trHeight w:val="376"/>
          <w:tblCellSpacing w:w="20" w:type="dxa"/>
        </w:trPr>
        <w:tc>
          <w:tcPr>
            <w:tcW w:w="2028" w:type="pct"/>
          </w:tcPr>
          <w:p w14:paraId="49E95A78" w14:textId="0006A0B7" w:rsidR="00896C08" w:rsidRPr="007A4F7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7A4F7A">
              <w:rPr>
                <w:rFonts w:ascii="Arial Narrow" w:hAnsi="Arial Narrow" w:cs="Calibri"/>
                <w:sz w:val="24"/>
                <w:szCs w:val="24"/>
                <w:lang w:val="en-US" w:eastAsia="en-US"/>
              </w:rPr>
              <w:lastRenderedPageBreak/>
              <w:t xml:space="preserve">Consultarea publicã a îndeplinit cerinţele de informare şi transparenţã </w:t>
            </w:r>
          </w:p>
        </w:tc>
        <w:tc>
          <w:tcPr>
            <w:tcW w:w="2908" w:type="pct"/>
          </w:tcPr>
          <w:p w14:paraId="18409BD1" w14:textId="74301685" w:rsidR="00896C08" w:rsidRPr="0041253A" w:rsidRDefault="00896C08" w:rsidP="00FA5171">
            <w:pPr>
              <w:pBdr>
                <w:top w:val="none" w:sz="0" w:space="0" w:color="auto"/>
                <w:left w:val="none" w:sz="0" w:space="0" w:color="auto"/>
                <w:bottom w:val="none" w:sz="0" w:space="0" w:color="auto"/>
                <w:right w:val="none" w:sz="0" w:space="0" w:color="auto"/>
                <w:bar w:val="none" w:sz="0" w:color="auto"/>
              </w:pBdr>
              <w:jc w:val="both"/>
              <w:rPr>
                <w:rFonts w:ascii="Arial Narrow" w:eastAsia="SimSun" w:hAnsi="Arial Narrow"/>
              </w:rPr>
            </w:pPr>
            <w:r w:rsidRPr="00B0188E">
              <w:rPr>
                <w:rFonts w:ascii="Arial Narrow" w:hAnsi="Arial Narrow" w:cs="Calibri"/>
                <w:color w:val="000000"/>
                <w:u w:color="000000"/>
              </w:rPr>
              <w:t xml:space="preserve">Consultarea publică </w:t>
            </w:r>
            <w:r w:rsidRPr="00B3596A">
              <w:rPr>
                <w:rFonts w:ascii="Arial Narrow" w:hAnsi="Arial Narrow" w:cs="Calibri"/>
                <w:color w:val="000000"/>
                <w:u w:color="000000"/>
              </w:rPr>
              <w:t>a fost realizată cu respectarea prevederilor şi liniilor directoare stabilite în Anexa VI la Regulamentul (UE) nr. 347/2013. Conceptul privind participarea publicului aprobat (Conceptul) pentru Proiectul BRUA Faza 1 s-a derulat cu respectarea cerin</w:t>
            </w:r>
            <w:r w:rsidRPr="00B0188E">
              <w:rPr>
                <w:rFonts w:ascii="Arial Narrow" w:hAnsi="Arial Narrow" w:cs="Calibri"/>
                <w:color w:val="000000"/>
                <w:u w:color="000000"/>
              </w:rPr>
              <w:t>ț</w:t>
            </w:r>
            <w:r w:rsidRPr="00B3596A">
              <w:rPr>
                <w:rFonts w:ascii="Arial Narrow" w:hAnsi="Arial Narrow" w:cs="Calibri"/>
                <w:color w:val="000000"/>
                <w:u w:color="000000"/>
              </w:rPr>
              <w:t>elor de deplină transparen</w:t>
            </w:r>
            <w:r w:rsidRPr="00B0188E">
              <w:rPr>
                <w:rFonts w:ascii="Arial Narrow" w:hAnsi="Arial Narrow" w:cs="Calibri"/>
                <w:color w:val="000000"/>
                <w:u w:color="000000"/>
              </w:rPr>
              <w:t>ț</w:t>
            </w:r>
            <w:r w:rsidRPr="00B3596A">
              <w:rPr>
                <w:rFonts w:ascii="Arial Narrow" w:hAnsi="Arial Narrow" w:cs="Calibri"/>
                <w:color w:val="000000"/>
                <w:u w:color="000000"/>
              </w:rPr>
              <w:t xml:space="preserve">ă, asigurând informaţiile relevante referitoare la proiect şi la implementarea acestuia prin intermediul mijloacelor adecvate de informare la care are acces publicul implicat </w:t>
            </w:r>
            <w:r w:rsidRPr="00B0188E">
              <w:rPr>
                <w:rFonts w:ascii="Arial Narrow" w:hAnsi="Arial Narrow" w:cs="Calibri"/>
                <w:color w:val="000000"/>
                <w:u w:color="000000"/>
              </w:rPr>
              <w:t>ș</w:t>
            </w:r>
            <w:r w:rsidRPr="00B3596A">
              <w:rPr>
                <w:rFonts w:ascii="Arial Narrow" w:hAnsi="Arial Narrow" w:cs="Calibri"/>
                <w:color w:val="000000"/>
                <w:u w:color="000000"/>
              </w:rPr>
              <w:t>i utilizând canalele de informare publică specifice aflate la îndemâna companiei</w:t>
            </w:r>
            <w:r w:rsidRPr="0041253A">
              <w:rPr>
                <w:rFonts w:ascii="Arial Narrow" w:hAnsi="Arial Narrow"/>
              </w:rPr>
              <w:t xml:space="preserve">. Consultarea publică a fost un proces transparent </w:t>
            </w:r>
            <w:r>
              <w:rPr>
                <w:rFonts w:ascii="Arial Narrow" w:hAnsi="Arial Narrow"/>
              </w:rPr>
              <w:t xml:space="preserve">asigurat </w:t>
            </w:r>
            <w:r w:rsidRPr="0041253A">
              <w:rPr>
                <w:rFonts w:ascii="Arial Narrow" w:hAnsi="Arial Narrow"/>
              </w:rPr>
              <w:t>și prin intermediul site-ului S</w:t>
            </w:r>
            <w:r>
              <w:rPr>
                <w:rFonts w:ascii="Arial Narrow" w:hAnsi="Arial Narrow"/>
              </w:rPr>
              <w:t>.</w:t>
            </w:r>
            <w:r w:rsidRPr="0041253A">
              <w:rPr>
                <w:rFonts w:ascii="Arial Narrow" w:hAnsi="Arial Narrow"/>
              </w:rPr>
              <w:t>N</w:t>
            </w:r>
            <w:r>
              <w:rPr>
                <w:rFonts w:ascii="Arial Narrow" w:hAnsi="Arial Narrow"/>
              </w:rPr>
              <w:t>.</w:t>
            </w:r>
            <w:r w:rsidRPr="0041253A">
              <w:rPr>
                <w:rFonts w:ascii="Arial Narrow" w:hAnsi="Arial Narrow"/>
              </w:rPr>
              <w:t>T</w:t>
            </w:r>
            <w:r>
              <w:rPr>
                <w:rFonts w:ascii="Arial Narrow" w:hAnsi="Arial Narrow"/>
              </w:rPr>
              <w:t>.</w:t>
            </w:r>
            <w:r w:rsidRPr="0041253A">
              <w:rPr>
                <w:rFonts w:ascii="Arial Narrow" w:hAnsi="Arial Narrow"/>
              </w:rPr>
              <w:t>G</w:t>
            </w:r>
            <w:r>
              <w:rPr>
                <w:rFonts w:ascii="Arial Narrow" w:hAnsi="Arial Narrow"/>
              </w:rPr>
              <w:t>.</w:t>
            </w:r>
            <w:r w:rsidRPr="0041253A">
              <w:rPr>
                <w:rFonts w:ascii="Arial Narrow" w:hAnsi="Arial Narrow"/>
              </w:rPr>
              <w:t>N</w:t>
            </w:r>
            <w:r>
              <w:rPr>
                <w:rFonts w:ascii="Arial Narrow" w:hAnsi="Arial Narrow"/>
              </w:rPr>
              <w:t>.</w:t>
            </w:r>
            <w:r w:rsidRPr="0041253A">
              <w:rPr>
                <w:rFonts w:ascii="Arial Narrow" w:hAnsi="Arial Narrow"/>
              </w:rPr>
              <w:t xml:space="preserve"> Transgaz S</w:t>
            </w:r>
            <w:r>
              <w:rPr>
                <w:rFonts w:ascii="Arial Narrow" w:hAnsi="Arial Narrow"/>
              </w:rPr>
              <w:t>.</w:t>
            </w:r>
            <w:r w:rsidRPr="0041253A">
              <w:rPr>
                <w:rFonts w:ascii="Arial Narrow" w:hAnsi="Arial Narrow"/>
              </w:rPr>
              <w:t>A</w:t>
            </w:r>
            <w:r>
              <w:rPr>
                <w:rFonts w:ascii="Arial Narrow" w:hAnsi="Arial Narrow"/>
              </w:rPr>
              <w:t>.</w:t>
            </w:r>
            <w:r w:rsidRPr="0041253A">
              <w:rPr>
                <w:rFonts w:ascii="Arial Narrow" w:hAnsi="Arial Narrow"/>
              </w:rPr>
              <w:t xml:space="preserve"> (Transgaz).</w:t>
            </w:r>
            <w:r>
              <w:rPr>
                <w:rFonts w:ascii="Arial Narrow" w:hAnsi="Arial Narrow"/>
              </w:rPr>
              <w:t xml:space="preserve"> </w:t>
            </w:r>
            <w:r w:rsidRPr="0041253A">
              <w:rPr>
                <w:rFonts w:ascii="Arial Narrow" w:hAnsi="Arial Narrow"/>
              </w:rPr>
              <w:t>Conform Conceptului</w:t>
            </w:r>
            <w:r>
              <w:rPr>
                <w:rFonts w:ascii="Arial Narrow" w:hAnsi="Arial Narrow"/>
              </w:rPr>
              <w:t xml:space="preserve"> aprobat</w:t>
            </w:r>
            <w:r w:rsidRPr="0041253A">
              <w:rPr>
                <w:rFonts w:ascii="Arial Narrow" w:hAnsi="Arial Narrow"/>
              </w:rPr>
              <w:t xml:space="preserve">, la consultarea publicului au fost invitate să participe, </w:t>
            </w:r>
            <w:r>
              <w:rPr>
                <w:rFonts w:ascii="Arial Narrow" w:hAnsi="Arial Narrow"/>
              </w:rPr>
              <w:t>folosind</w:t>
            </w:r>
            <w:r w:rsidRPr="0041253A">
              <w:rPr>
                <w:rFonts w:ascii="Arial Narrow" w:hAnsi="Arial Narrow"/>
              </w:rPr>
              <w:t xml:space="preserve"> diverse mijloace de comunicare şi informare, </w:t>
            </w:r>
            <w:r>
              <w:rPr>
                <w:rFonts w:ascii="Arial Narrow" w:hAnsi="Arial Narrow"/>
              </w:rPr>
              <w:t>atât</w:t>
            </w:r>
            <w:r w:rsidRPr="0041253A">
              <w:rPr>
                <w:rFonts w:ascii="Arial Narrow" w:hAnsi="Arial Narrow"/>
              </w:rPr>
              <w:t xml:space="preserve"> părțile relevante afectate cât și părțile interesate afectate, alături de reprezentanții autorităților publice locale, centrale și ai Transgaz.</w:t>
            </w:r>
          </w:p>
        </w:tc>
      </w:tr>
      <w:tr w:rsidR="00896C08" w:rsidRPr="000D2F52" w14:paraId="7BC56925" w14:textId="77777777" w:rsidTr="00FA5171">
        <w:trPr>
          <w:trHeight w:val="218"/>
          <w:tblCellSpacing w:w="20" w:type="dxa"/>
        </w:trPr>
        <w:tc>
          <w:tcPr>
            <w:tcW w:w="2028" w:type="pct"/>
            <w:shd w:val="clear" w:color="auto" w:fill="D9D9D9"/>
          </w:tcPr>
          <w:p w14:paraId="661D5849" w14:textId="77777777" w:rsidR="00896C08" w:rsidRPr="007A4F7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c>
          <w:tcPr>
            <w:tcW w:w="2908" w:type="pct"/>
            <w:shd w:val="clear" w:color="auto" w:fill="D9D9D9"/>
          </w:tcPr>
          <w:p w14:paraId="0ED0CFED" w14:textId="77777777" w:rsidR="00896C08" w:rsidRPr="007A4F7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r>
      <w:tr w:rsidR="00896C08" w:rsidRPr="009A1ED3" w14:paraId="6BB728C3" w14:textId="77777777" w:rsidTr="00FA5171">
        <w:trPr>
          <w:trHeight w:val="394"/>
          <w:tblCellSpacing w:w="20" w:type="dxa"/>
        </w:trPr>
        <w:tc>
          <w:tcPr>
            <w:tcW w:w="2028" w:type="pct"/>
          </w:tcPr>
          <w:p w14:paraId="5F5FBD88" w14:textId="73DCECD1"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895425">
              <w:rPr>
                <w:rFonts w:ascii="Arial Narrow" w:hAnsi="Arial Narrow" w:cs="Calibri"/>
                <w:sz w:val="24"/>
                <w:szCs w:val="24"/>
                <w:lang w:val="en-US" w:eastAsia="en-US"/>
              </w:rPr>
              <w:t>Au fost respectate datele comunicate prin Anunţul pentru consultarea publicã</w:t>
            </w:r>
          </w:p>
        </w:tc>
        <w:tc>
          <w:tcPr>
            <w:tcW w:w="2908" w:type="pct"/>
          </w:tcPr>
          <w:p w14:paraId="76F6E571" w14:textId="5B5F4CD8"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895425">
              <w:rPr>
                <w:rFonts w:ascii="Arial Narrow" w:hAnsi="Arial Narrow" w:cs="Arial Narrow"/>
                <w:sz w:val="24"/>
                <w:szCs w:val="24"/>
                <w:lang w:val="en-US" w:eastAsia="en-US"/>
              </w:rPr>
              <w:t xml:space="preserve">Aşa cum am precizat mai sus perioada de desfăşurare a consultărilor publice din </w:t>
            </w:r>
            <w:r w:rsidRPr="00895425">
              <w:rPr>
                <w:rFonts w:ascii="Arial Narrow" w:hAnsi="Arial Narrow" w:cs="Arial Narrow"/>
                <w:b/>
                <w:sz w:val="24"/>
                <w:szCs w:val="24"/>
                <w:lang w:val="en-US" w:eastAsia="en-US"/>
              </w:rPr>
              <w:t>P</w:t>
            </w:r>
            <w:r w:rsidRPr="00895425">
              <w:rPr>
                <w:rFonts w:ascii="Arial Narrow" w:hAnsi="Arial Narrow"/>
                <w:b/>
                <w:sz w:val="24"/>
                <w:szCs w:val="24"/>
                <w:lang w:val="en-US" w:eastAsia="en-US"/>
              </w:rPr>
              <w:t xml:space="preserve">lanul de consultare al părţilor abordate </w:t>
            </w:r>
            <w:r w:rsidRPr="00895425">
              <w:rPr>
                <w:rFonts w:ascii="Arial Narrow" w:hAnsi="Arial Narrow" w:cs="Arial Narrow"/>
                <w:sz w:val="24"/>
                <w:szCs w:val="24"/>
                <w:lang w:val="en-US" w:eastAsia="en-US"/>
              </w:rPr>
              <w:t>din Conceptul aprobat a fost modificată din cauza</w:t>
            </w:r>
            <w:r w:rsidR="00C96EB5" w:rsidRPr="00895425">
              <w:rPr>
                <w:rFonts w:ascii="Arial Narrow" w:hAnsi="Arial Narrow" w:cs="Arial Narrow"/>
                <w:sz w:val="24"/>
                <w:szCs w:val="24"/>
                <w:lang w:val="en-US" w:eastAsia="en-US"/>
              </w:rPr>
              <w:t xml:space="preserve"> faptului că s-au aşteptat confirmările de participare din partea părţilor interesate şi relevante afectate.</w:t>
            </w:r>
            <w:r w:rsidRPr="00895425">
              <w:rPr>
                <w:rFonts w:ascii="Arial Narrow" w:hAnsi="Arial Narrow" w:cs="Arial Narrow"/>
                <w:sz w:val="24"/>
                <w:szCs w:val="24"/>
                <w:lang w:val="en-US" w:eastAsia="en-US"/>
              </w:rPr>
              <w:t xml:space="preserve">  </w:t>
            </w:r>
          </w:p>
          <w:p w14:paraId="78CD147C" w14:textId="77777777"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895425">
              <w:rPr>
                <w:rFonts w:ascii="Arial Narrow" w:hAnsi="Arial Narrow" w:cs="Arial Narrow"/>
                <w:sz w:val="24"/>
                <w:szCs w:val="24"/>
                <w:lang w:val="en-US" w:eastAsia="en-US"/>
              </w:rPr>
              <w:t xml:space="preserve">Noile date asumate de Transgaz pentru desfăşurarea consultării publice, precum şi </w:t>
            </w:r>
            <w:r w:rsidRPr="00895425">
              <w:rPr>
                <w:rFonts w:ascii="Arial Narrow" w:hAnsi="Arial Narrow"/>
                <w:b/>
                <w:i/>
                <w:sz w:val="24"/>
                <w:szCs w:val="24"/>
                <w:lang w:val="en-US" w:eastAsia="en-US"/>
              </w:rPr>
              <w:t>Programul, orele de desfăşurare</w:t>
            </w:r>
            <w:r w:rsidRPr="00895425">
              <w:rPr>
                <w:rFonts w:ascii="Arial Narrow" w:hAnsi="Arial Narrow" w:cs="Arial Narrow"/>
                <w:sz w:val="24"/>
                <w:szCs w:val="24"/>
                <w:lang w:val="en-US" w:eastAsia="en-US"/>
              </w:rPr>
              <w:t xml:space="preserve"> au fost comunicate </w:t>
            </w:r>
            <w:r w:rsidRPr="00895425">
              <w:rPr>
                <w:rFonts w:ascii="Arial Narrow" w:hAnsi="Arial Narrow"/>
                <w:sz w:val="24"/>
                <w:szCs w:val="24"/>
                <w:lang w:val="en-US" w:eastAsia="en-US"/>
              </w:rPr>
              <w:t>publicului interesat cu cel puţin 20 de zile înainte de data desfăşurării</w:t>
            </w:r>
            <w:r w:rsidRPr="00895425">
              <w:rPr>
                <w:rFonts w:ascii="Arial Narrow" w:hAnsi="Arial Narrow" w:cs="Arial Narrow"/>
                <w:sz w:val="24"/>
                <w:szCs w:val="24"/>
                <w:lang w:val="en-US" w:eastAsia="en-US"/>
              </w:rPr>
              <w:t xml:space="preserve"> acestora aşa cum era prevăzut în Conceptul aprobat, prin Anunţul pentru consultarea publică şi acestea au fost respectate cu stricteţe. </w:t>
            </w:r>
          </w:p>
          <w:p w14:paraId="6E97E3BD" w14:textId="34D70670"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eastAsia="en-US"/>
              </w:rPr>
            </w:pPr>
            <w:r w:rsidRPr="00895425">
              <w:rPr>
                <w:rFonts w:ascii="Arial Narrow" w:hAnsi="Arial Narrow" w:cs="Arial Narrow"/>
                <w:sz w:val="24"/>
                <w:szCs w:val="24"/>
                <w:lang w:val="en-US" w:eastAsia="en-US"/>
              </w:rPr>
              <w:t xml:space="preserve">Aşa cum era prevăzut în Conceptul aprobat, au fost transmise Invitaţii la consultarea publică, </w:t>
            </w:r>
            <w:proofErr w:type="gramStart"/>
            <w:r w:rsidRPr="00895425">
              <w:rPr>
                <w:rFonts w:ascii="Arial Narrow" w:hAnsi="Arial Narrow" w:cs="Arial Narrow"/>
                <w:sz w:val="24"/>
                <w:szCs w:val="24"/>
                <w:lang w:val="en-US" w:eastAsia="en-US"/>
              </w:rPr>
              <w:t>în</w:t>
            </w:r>
            <w:proofErr w:type="gramEnd"/>
            <w:r w:rsidRPr="00895425">
              <w:rPr>
                <w:rFonts w:ascii="Arial Narrow" w:hAnsi="Arial Narrow" w:cs="Arial Narrow"/>
                <w:sz w:val="24"/>
                <w:szCs w:val="24"/>
                <w:lang w:val="en-US" w:eastAsia="en-US"/>
              </w:rPr>
              <w:t xml:space="preserve"> formatul aprobat şi au fost afişate anunţuri </w:t>
            </w:r>
            <w:r w:rsidR="006F4C21" w:rsidRPr="00895425">
              <w:rPr>
                <w:rFonts w:ascii="Arial Narrow" w:hAnsi="Arial Narrow"/>
                <w:sz w:val="24"/>
                <w:szCs w:val="24"/>
                <w:lang w:eastAsia="en-US"/>
              </w:rPr>
              <w:t>cu privire la</w:t>
            </w:r>
            <w:r w:rsidR="009047EE">
              <w:rPr>
                <w:rFonts w:ascii="Arial Narrow" w:hAnsi="Arial Narrow"/>
                <w:sz w:val="24"/>
                <w:szCs w:val="24"/>
                <w:lang w:eastAsia="en-US"/>
              </w:rPr>
              <w:t xml:space="preserve"> desfășurarea de consultări </w:t>
            </w:r>
            <w:r w:rsidRPr="00895425">
              <w:rPr>
                <w:rFonts w:ascii="Arial Narrow" w:hAnsi="Arial Narrow"/>
                <w:sz w:val="24"/>
                <w:szCs w:val="24"/>
                <w:lang w:eastAsia="en-US"/>
              </w:rPr>
              <w:t>publice</w:t>
            </w:r>
            <w:r w:rsidRPr="00895425">
              <w:rPr>
                <w:rFonts w:ascii="Arial Narrow" w:hAnsi="Arial Narrow" w:cs="Arial Narrow"/>
                <w:sz w:val="24"/>
                <w:szCs w:val="24"/>
                <w:lang w:val="en-US" w:eastAsia="en-US"/>
              </w:rPr>
              <w:t xml:space="preserve"> </w:t>
            </w:r>
            <w:r w:rsidRPr="00895425">
              <w:rPr>
                <w:rFonts w:ascii="Arial Narrow" w:hAnsi="Arial Narrow"/>
                <w:b/>
                <w:sz w:val="24"/>
                <w:szCs w:val="24"/>
                <w:lang w:eastAsia="en-US"/>
              </w:rPr>
              <w:t>în</w:t>
            </w:r>
            <w:r w:rsidRPr="00895425">
              <w:rPr>
                <w:rFonts w:ascii="Arial Narrow" w:hAnsi="Arial Narrow"/>
                <w:sz w:val="24"/>
                <w:szCs w:val="24"/>
                <w:lang w:eastAsia="en-US"/>
              </w:rPr>
              <w:t xml:space="preserve"> </w:t>
            </w:r>
            <w:r w:rsidRPr="00895425">
              <w:rPr>
                <w:rFonts w:ascii="Arial Narrow" w:hAnsi="Arial Narrow"/>
                <w:b/>
                <w:sz w:val="24"/>
                <w:szCs w:val="24"/>
                <w:lang w:eastAsia="en-US"/>
              </w:rPr>
              <w:t xml:space="preserve">puncte de interes </w:t>
            </w:r>
            <w:r w:rsidRPr="00895425">
              <w:rPr>
                <w:rFonts w:ascii="Arial Narrow" w:hAnsi="Arial Narrow"/>
                <w:sz w:val="24"/>
                <w:szCs w:val="24"/>
                <w:lang w:eastAsia="en-US"/>
              </w:rPr>
              <w:t>din UAT-urile selectate pentru desfasurarea consultarii publice (primărie, școală, cămin cultural, biserică, etc.) și din satele aparținătoare UAT-urilor</w:t>
            </w:r>
            <w:r w:rsidRPr="00895425">
              <w:rPr>
                <w:rFonts w:ascii="Arial Narrow" w:hAnsi="Arial Narrow" w:cs="Arial Narrow"/>
                <w:sz w:val="24"/>
                <w:szCs w:val="24"/>
                <w:lang w:eastAsia="en-US"/>
              </w:rPr>
              <w:t>.</w:t>
            </w:r>
          </w:p>
          <w:p w14:paraId="5408ABE4" w14:textId="71179496" w:rsidR="00896C08" w:rsidRPr="00895425" w:rsidRDefault="00896C08" w:rsidP="00D34759">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eastAsia="en-US"/>
              </w:rPr>
            </w:pPr>
            <w:r w:rsidRPr="00895425">
              <w:rPr>
                <w:rFonts w:ascii="Arial Narrow" w:hAnsi="Arial Narrow"/>
                <w:sz w:val="24"/>
                <w:szCs w:val="24"/>
                <w:lang w:eastAsia="en-US"/>
              </w:rPr>
              <w:t>De asemenea, au fost afişate anunţuri şi în alte UAT-uri aflate pe traseul proiectului, altele decât cele selectate pentru desfăşurarea consultării publice</w:t>
            </w:r>
            <w:r w:rsidR="009047EE">
              <w:rPr>
                <w:rFonts w:ascii="Arial Narrow" w:hAnsi="Arial Narrow"/>
                <w:sz w:val="24"/>
                <w:szCs w:val="24"/>
                <w:lang w:eastAsia="en-US"/>
              </w:rPr>
              <w:t xml:space="preserve"> (</w:t>
            </w:r>
            <w:r w:rsidR="00FA37D9" w:rsidRPr="00895425">
              <w:rPr>
                <w:rFonts w:ascii="Arial Narrow" w:hAnsi="Arial Narrow"/>
                <w:sz w:val="24"/>
                <w:szCs w:val="24"/>
                <w:lang w:eastAsia="en-US"/>
              </w:rPr>
              <w:t>UAT</w:t>
            </w:r>
            <w:r w:rsidR="009047EE">
              <w:rPr>
                <w:rFonts w:ascii="Arial Narrow" w:hAnsi="Arial Narrow"/>
                <w:sz w:val="24"/>
                <w:szCs w:val="24"/>
                <w:lang w:eastAsia="en-US"/>
              </w:rPr>
              <w:t>-</w:t>
            </w:r>
            <w:r w:rsidR="00FA37D9" w:rsidRPr="00895425">
              <w:rPr>
                <w:rFonts w:ascii="Arial Narrow" w:hAnsi="Arial Narrow"/>
                <w:sz w:val="24"/>
                <w:szCs w:val="24"/>
                <w:lang w:eastAsia="en-US"/>
              </w:rPr>
              <w:t>uri aflat</w:t>
            </w:r>
            <w:r w:rsidR="009047EE">
              <w:rPr>
                <w:rFonts w:ascii="Arial Narrow" w:hAnsi="Arial Narrow"/>
                <w:sz w:val="24"/>
                <w:szCs w:val="24"/>
                <w:lang w:eastAsia="en-US"/>
              </w:rPr>
              <w:t>e împrejurul UAT-ului selectat): Sarmizegetusa - județul Hunedoara; Scurtu Mare – județul Teleorman; Crevedia Mare – județul Giurgiu; Bucşani – județul Giurgiu; Şelaru – județul Dâmbovița; Roata de Jos – județul Giurgiu; Densu</w:t>
            </w:r>
            <w:r w:rsidR="00D34759">
              <w:rPr>
                <w:rFonts w:ascii="Arial Narrow" w:hAnsi="Arial Narrow"/>
                <w:sz w:val="24"/>
                <w:szCs w:val="24"/>
                <w:lang w:eastAsia="en-US"/>
              </w:rPr>
              <w:t>ş</w:t>
            </w:r>
            <w:r w:rsidR="009047EE">
              <w:rPr>
                <w:rFonts w:ascii="Arial Narrow" w:hAnsi="Arial Narrow"/>
                <w:sz w:val="24"/>
                <w:szCs w:val="24"/>
                <w:lang w:eastAsia="en-US"/>
              </w:rPr>
              <w:t xml:space="preserve"> – județul </w:t>
            </w:r>
            <w:r w:rsidR="00D34759">
              <w:rPr>
                <w:rFonts w:ascii="Arial Narrow" w:hAnsi="Arial Narrow"/>
                <w:sz w:val="24"/>
                <w:szCs w:val="24"/>
                <w:lang w:eastAsia="en-US"/>
              </w:rPr>
              <w:t>Hunedoara</w:t>
            </w:r>
            <w:r w:rsidR="009047EE">
              <w:rPr>
                <w:rFonts w:ascii="Arial Narrow" w:hAnsi="Arial Narrow"/>
                <w:sz w:val="24"/>
                <w:szCs w:val="24"/>
                <w:lang w:eastAsia="en-US"/>
              </w:rPr>
              <w:t>.</w:t>
            </w:r>
          </w:p>
        </w:tc>
      </w:tr>
      <w:tr w:rsidR="00896C08" w:rsidRPr="009A1ED3" w14:paraId="4EDA938B" w14:textId="77777777" w:rsidTr="00FA5171">
        <w:trPr>
          <w:trHeight w:val="272"/>
          <w:tblCellSpacing w:w="20" w:type="dxa"/>
        </w:trPr>
        <w:tc>
          <w:tcPr>
            <w:tcW w:w="2028" w:type="pct"/>
            <w:shd w:val="clear" w:color="auto" w:fill="D9D9D9"/>
          </w:tcPr>
          <w:p w14:paraId="6CA39FFF" w14:textId="77777777" w:rsidR="00896C08" w:rsidRPr="00B3596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eastAsia="en-US"/>
              </w:rPr>
            </w:pPr>
          </w:p>
        </w:tc>
        <w:tc>
          <w:tcPr>
            <w:tcW w:w="2908" w:type="pct"/>
            <w:shd w:val="clear" w:color="auto" w:fill="D9D9D9"/>
          </w:tcPr>
          <w:p w14:paraId="5C3DEDD9" w14:textId="77777777" w:rsidR="00896C08" w:rsidRPr="00B3596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eastAsia="en-US"/>
              </w:rPr>
            </w:pPr>
          </w:p>
        </w:tc>
      </w:tr>
      <w:tr w:rsidR="00896C08" w:rsidRPr="009A1ED3" w14:paraId="0B987D64" w14:textId="77777777" w:rsidTr="00FA5171">
        <w:trPr>
          <w:tblCellSpacing w:w="20" w:type="dxa"/>
        </w:trPr>
        <w:tc>
          <w:tcPr>
            <w:tcW w:w="2028" w:type="pct"/>
          </w:tcPr>
          <w:p w14:paraId="325B230C" w14:textId="09ABB3B7"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895425">
              <w:rPr>
                <w:rFonts w:ascii="Arial Narrow" w:hAnsi="Arial Narrow" w:cs="Calibri"/>
                <w:sz w:val="24"/>
                <w:szCs w:val="24"/>
                <w:lang w:val="pt-BR" w:eastAsia="en-US"/>
              </w:rPr>
              <w:t>Consultarea publicã s-a organizat şi desfãşurat conform prevederilor cuprinse în Conceptul aprobat de ACPIC</w:t>
            </w:r>
          </w:p>
        </w:tc>
        <w:tc>
          <w:tcPr>
            <w:tcW w:w="2908" w:type="pct"/>
          </w:tcPr>
          <w:p w14:paraId="6D5C5E3F" w14:textId="24DB3083" w:rsidR="00896C08" w:rsidRPr="00895425" w:rsidRDefault="00896C08" w:rsidP="00FA5171">
            <w:pPr>
              <w:pBdr>
                <w:top w:val="none" w:sz="0" w:space="0" w:color="auto"/>
                <w:left w:val="none" w:sz="0" w:space="0" w:color="auto"/>
                <w:bottom w:val="none" w:sz="0" w:space="0" w:color="auto"/>
                <w:right w:val="none" w:sz="0" w:space="0" w:color="auto"/>
                <w:bar w:val="none" w:sz="0" w:color="auto"/>
              </w:pBdr>
              <w:jc w:val="both"/>
              <w:rPr>
                <w:rFonts w:ascii="Arial Narrow" w:eastAsia="SimSun" w:hAnsi="Arial Narrow"/>
                <w:lang w:val="pt-BR"/>
              </w:rPr>
            </w:pPr>
            <w:r w:rsidRPr="00895425">
              <w:rPr>
                <w:rFonts w:ascii="Arial Narrow" w:hAnsi="Arial Narrow"/>
                <w:lang w:val="pt-BR"/>
              </w:rPr>
              <w:t xml:space="preserve">Au fost respectate locaţiile pentru defăşurarea consultărilor publice stipulate în </w:t>
            </w:r>
            <w:r w:rsidRPr="00895425">
              <w:rPr>
                <w:rFonts w:ascii="Arial Narrow" w:hAnsi="Arial Narrow" w:cs="Arial Narrow"/>
                <w:b/>
                <w:lang w:val="pt-BR"/>
              </w:rPr>
              <w:t>P</w:t>
            </w:r>
            <w:r w:rsidRPr="00895425">
              <w:rPr>
                <w:rFonts w:ascii="Arial Narrow" w:hAnsi="Arial Narrow"/>
                <w:b/>
                <w:lang w:val="pt-BR"/>
              </w:rPr>
              <w:t xml:space="preserve">lanul de consultare al părţilor </w:t>
            </w:r>
            <w:r w:rsidRPr="00895425">
              <w:rPr>
                <w:rFonts w:ascii="Arial Narrow" w:hAnsi="Arial Narrow"/>
                <w:b/>
                <w:lang w:val="pt-BR"/>
              </w:rPr>
              <w:lastRenderedPageBreak/>
              <w:t>abordate</w:t>
            </w:r>
            <w:r w:rsidRPr="00895425">
              <w:rPr>
                <w:rFonts w:ascii="Arial Narrow" w:hAnsi="Arial Narrow"/>
                <w:lang w:val="pt-BR"/>
              </w:rPr>
              <w:t xml:space="preserve">, precum şi etapele din </w:t>
            </w:r>
            <w:r w:rsidRPr="00895425">
              <w:rPr>
                <w:rFonts w:ascii="Arial Narrow" w:hAnsi="Arial Narrow"/>
                <w:lang w:val="ro-RO"/>
              </w:rPr>
              <w:t>Programul de desfăşurare al consultărilor publice din Conceptul aprobat.</w:t>
            </w:r>
          </w:p>
        </w:tc>
      </w:tr>
      <w:tr w:rsidR="00896C08" w:rsidRPr="009A1ED3" w14:paraId="76E7B1A6" w14:textId="77777777" w:rsidTr="00FA5171">
        <w:trPr>
          <w:tblCellSpacing w:w="20" w:type="dxa"/>
        </w:trPr>
        <w:tc>
          <w:tcPr>
            <w:tcW w:w="2028" w:type="pct"/>
            <w:shd w:val="clear" w:color="auto" w:fill="D9D9D9"/>
          </w:tcPr>
          <w:p w14:paraId="740F2B62" w14:textId="77777777" w:rsidR="00896C08" w:rsidRPr="00327BC1"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c>
          <w:tcPr>
            <w:tcW w:w="2908" w:type="pct"/>
            <w:shd w:val="clear" w:color="auto" w:fill="D9D9D9"/>
          </w:tcPr>
          <w:p w14:paraId="05004870" w14:textId="77777777" w:rsidR="00896C08" w:rsidRPr="000A5186" w:rsidRDefault="00896C08" w:rsidP="00FA5171">
            <w:pPr>
              <w:pBdr>
                <w:top w:val="none" w:sz="0" w:space="0" w:color="auto"/>
                <w:left w:val="none" w:sz="0" w:space="0" w:color="auto"/>
                <w:bottom w:val="none" w:sz="0" w:space="0" w:color="auto"/>
                <w:right w:val="none" w:sz="0" w:space="0" w:color="auto"/>
                <w:bar w:val="none" w:sz="0" w:color="auto"/>
              </w:pBdr>
              <w:jc w:val="both"/>
              <w:rPr>
                <w:rFonts w:ascii="Arial Narrow" w:hAnsi="Arial Narrow" w:cs="Arial Narrow"/>
                <w:color w:val="000000"/>
                <w:u w:color="000000"/>
                <w:lang w:val="pt-BR"/>
              </w:rPr>
            </w:pPr>
          </w:p>
        </w:tc>
      </w:tr>
      <w:tr w:rsidR="00896C08" w:rsidRPr="008F73AF" w14:paraId="685186C1" w14:textId="77777777" w:rsidTr="00FA5171">
        <w:trPr>
          <w:tblCellSpacing w:w="20" w:type="dxa"/>
        </w:trPr>
        <w:tc>
          <w:tcPr>
            <w:tcW w:w="2028" w:type="pct"/>
          </w:tcPr>
          <w:p w14:paraId="319719A7" w14:textId="77777777"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895425">
              <w:rPr>
                <w:rFonts w:ascii="Arial Narrow" w:hAnsi="Arial Narrow" w:cs="Calibri"/>
                <w:sz w:val="24"/>
                <w:szCs w:val="24"/>
                <w:lang w:val="en-US" w:eastAsia="en-US"/>
              </w:rPr>
              <w:t>Logistica organizãrii consultãrii publice a fost eficientã</w:t>
            </w:r>
          </w:p>
        </w:tc>
        <w:tc>
          <w:tcPr>
            <w:tcW w:w="2908" w:type="pct"/>
          </w:tcPr>
          <w:p w14:paraId="0CBFE853" w14:textId="1005EC98"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895425">
              <w:rPr>
                <w:rFonts w:ascii="Arial Narrow" w:hAnsi="Arial Narrow" w:cs="Arial Narrow"/>
                <w:sz w:val="24"/>
                <w:szCs w:val="24"/>
                <w:lang w:val="en-US" w:eastAsia="en-US"/>
              </w:rPr>
              <w:t>În realizarea tuturor consultărilor publice defăşurate în cele 12 locații prevãzute în Conceptul privind participarea publicului aprobat</w:t>
            </w:r>
            <w:r w:rsidRPr="00895425" w:rsidDel="00000BA7">
              <w:rPr>
                <w:rFonts w:ascii="Arial Narrow" w:hAnsi="Arial Narrow" w:cs="Arial Narrow"/>
                <w:sz w:val="24"/>
                <w:szCs w:val="24"/>
                <w:lang w:val="en-US" w:eastAsia="en-US"/>
              </w:rPr>
              <w:t xml:space="preserve"> </w:t>
            </w:r>
            <w:r w:rsidRPr="00895425">
              <w:rPr>
                <w:rFonts w:ascii="Arial Narrow" w:hAnsi="Arial Narrow" w:cs="Arial Narrow"/>
                <w:sz w:val="24"/>
                <w:szCs w:val="24"/>
                <w:lang w:val="en-US" w:eastAsia="en-US"/>
              </w:rPr>
              <w:t>s-a avut în vedere colaborarea îndeaproape cu reprezentanții comunitãților din aceste localităţi, astfel încât logistica sã fie la îndemâna fiecãrui participant la consultare. S-au utilizat resurse proprii companiei dar și resurse puse la dispoziție de primãriile localitãților care au gãzduit consultarea publicã</w:t>
            </w:r>
          </w:p>
          <w:p w14:paraId="394064A9" w14:textId="77777777"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895425">
              <w:rPr>
                <w:rFonts w:ascii="Arial Narrow" w:hAnsi="Arial Narrow" w:cs="Arial Narrow"/>
                <w:sz w:val="24"/>
                <w:szCs w:val="24"/>
                <w:lang w:val="en-US" w:eastAsia="en-US"/>
              </w:rPr>
              <w:t>Logistica utilizatã a fost in acord cu cea prezentatã în Concepul aprobat, reacția participativã a publicului fiind de asemenea un indiciu important cu privire la eficiența acesteia.</w:t>
            </w:r>
          </w:p>
          <w:p w14:paraId="76627D2F" w14:textId="1348A4F7"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895425">
              <w:rPr>
                <w:rFonts w:ascii="Arial Narrow" w:hAnsi="Arial Narrow" w:cs="Arial Narrow"/>
                <w:sz w:val="24"/>
                <w:szCs w:val="24"/>
                <w:lang w:val="en-US" w:eastAsia="en-US"/>
              </w:rPr>
              <w:t xml:space="preserve">Tehnicile și metodele de prezentare utilizate au facilitat </w:t>
            </w:r>
            <w:r w:rsidR="00FA37D9" w:rsidRPr="00895425">
              <w:rPr>
                <w:rFonts w:ascii="Arial Narrow" w:hAnsi="Arial Narrow" w:cs="Arial Narrow"/>
                <w:sz w:val="24"/>
                <w:szCs w:val="24"/>
                <w:lang w:val="en-US" w:eastAsia="en-US"/>
              </w:rPr>
              <w:t>vizualizarea</w:t>
            </w:r>
            <w:r w:rsidRPr="00895425">
              <w:rPr>
                <w:rFonts w:ascii="Arial Narrow" w:hAnsi="Arial Narrow" w:cs="Arial Narrow"/>
                <w:sz w:val="24"/>
                <w:szCs w:val="24"/>
                <w:lang w:val="en-US" w:eastAsia="en-US"/>
              </w:rPr>
              <w:t xml:space="preserve"> </w:t>
            </w:r>
            <w:r w:rsidR="00FA37D9" w:rsidRPr="00895425">
              <w:rPr>
                <w:rFonts w:ascii="Arial Narrow" w:hAnsi="Arial Narrow" w:cs="Arial Narrow"/>
                <w:sz w:val="24"/>
                <w:szCs w:val="24"/>
                <w:lang w:val="en-US" w:eastAsia="en-US"/>
              </w:rPr>
              <w:t>traseului</w:t>
            </w:r>
            <w:r w:rsidRPr="00895425">
              <w:rPr>
                <w:rFonts w:ascii="Arial Narrow" w:hAnsi="Arial Narrow" w:cs="Arial Narrow"/>
                <w:sz w:val="24"/>
                <w:szCs w:val="24"/>
                <w:lang w:val="en-US" w:eastAsia="en-US"/>
              </w:rPr>
              <w:t xml:space="preserve"> proiectului prin punctarea unor aspecte definitorii ale acestuia precum: promotorul, parametrii tehnici, surse de finanțare, integrarea în contextul dezvoltării altor proiecte, tehnologia de execuție, etc. </w:t>
            </w:r>
          </w:p>
          <w:p w14:paraId="3B697374" w14:textId="1B567A7A"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895425">
              <w:rPr>
                <w:rFonts w:ascii="Arial Narrow" w:hAnsi="Arial Narrow" w:cs="Arial Narrow"/>
                <w:sz w:val="24"/>
                <w:szCs w:val="24"/>
                <w:lang w:val="en-US" w:eastAsia="en-US"/>
              </w:rPr>
              <w:t>Ori de câte ori s-a constatat existența unui interes mai accentuat al publicului fațã de un subiect anume membrii echipei Transgaz au manifestat o atitudine proactivã, detaliind totodatã informațiile necesare și uzând în acest scop atât de limbaj cât și de tehnologi</w:t>
            </w:r>
            <w:r w:rsidR="00C96EB5" w:rsidRPr="00895425">
              <w:rPr>
                <w:rFonts w:ascii="Arial Narrow" w:hAnsi="Arial Narrow" w:cs="Arial Narrow"/>
                <w:sz w:val="24"/>
                <w:szCs w:val="24"/>
                <w:lang w:val="en-US" w:eastAsia="en-US"/>
              </w:rPr>
              <w:t>a avută la dispoziţie.</w:t>
            </w:r>
          </w:p>
          <w:p w14:paraId="3D6BB6D3" w14:textId="3143E0ED"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eastAsia="en-US"/>
              </w:rPr>
            </w:pPr>
            <w:r w:rsidRPr="00895425">
              <w:rPr>
                <w:rFonts w:ascii="Arial Narrow" w:hAnsi="Arial Narrow" w:cs="Arial Narrow"/>
                <w:sz w:val="24"/>
                <w:szCs w:val="24"/>
                <w:lang w:val="en-US" w:eastAsia="en-US"/>
              </w:rPr>
              <w:t xml:space="preserve">Expunerea punctualã a traseului proiectului la nivelul fiecãrui UAT (atât oral cât și vizual), inclusiv pe baza informațiilor dobândite de cãtre proiectant în timpul deplasãrilor în teren </w:t>
            </w:r>
            <w:proofErr w:type="gramStart"/>
            <w:r w:rsidRPr="00895425">
              <w:rPr>
                <w:rFonts w:ascii="Arial Narrow" w:hAnsi="Arial Narrow" w:cs="Arial Narrow"/>
                <w:sz w:val="24"/>
                <w:szCs w:val="24"/>
                <w:lang w:val="en-US" w:eastAsia="en-US"/>
              </w:rPr>
              <w:t>a</w:t>
            </w:r>
            <w:proofErr w:type="gramEnd"/>
            <w:r w:rsidRPr="00895425">
              <w:rPr>
                <w:rFonts w:ascii="Arial Narrow" w:hAnsi="Arial Narrow" w:cs="Arial Narrow"/>
                <w:sz w:val="24"/>
                <w:szCs w:val="24"/>
                <w:lang w:val="en-US" w:eastAsia="en-US"/>
              </w:rPr>
              <w:t xml:space="preserve"> avut de asemenea un rol bine definit pentru public facilitând perceperea traseului de cãtre acesta, inclusiv prin compara</w:t>
            </w:r>
            <w:r w:rsidRPr="00895425">
              <w:rPr>
                <w:rFonts w:ascii="Arial Narrow" w:hAnsi="Arial Narrow" w:cs="Arial Narrow"/>
                <w:sz w:val="24"/>
                <w:szCs w:val="24"/>
                <w:lang w:eastAsia="en-US"/>
              </w:rPr>
              <w:t>ție cu alte conducte Transgaz existente.</w:t>
            </w:r>
            <w:r w:rsidR="00363863" w:rsidRPr="00895425">
              <w:rPr>
                <w:rFonts w:ascii="Arial Narrow" w:hAnsi="Arial Narrow" w:cs="Arial Narrow"/>
                <w:sz w:val="24"/>
                <w:szCs w:val="24"/>
                <w:lang w:eastAsia="en-US"/>
              </w:rPr>
              <w:t xml:space="preserve"> </w:t>
            </w:r>
            <w:r w:rsidRPr="00895425">
              <w:rPr>
                <w:rFonts w:ascii="Arial Narrow" w:hAnsi="Arial Narrow" w:cs="Arial Narrow"/>
                <w:sz w:val="24"/>
                <w:szCs w:val="24"/>
                <w:lang w:eastAsia="en-US"/>
              </w:rPr>
              <w:t>Au fost puse la dispoziţie pentru publicul participant la consultările publice următoarele documente</w:t>
            </w:r>
            <w:r w:rsidR="00C96EB5" w:rsidRPr="00895425">
              <w:rPr>
                <w:rFonts w:ascii="Arial Narrow" w:hAnsi="Arial Narrow" w:cs="Arial Narrow"/>
                <w:sz w:val="24"/>
                <w:szCs w:val="24"/>
                <w:lang w:eastAsia="en-US"/>
              </w:rPr>
              <w:t xml:space="preserve">: broşuri de prezentare, pliante, fişa de întrebări, </w:t>
            </w:r>
            <w:r w:rsidRPr="00895425">
              <w:rPr>
                <w:rFonts w:ascii="Arial Narrow" w:hAnsi="Arial Narrow" w:cs="Arial Narrow"/>
                <w:sz w:val="24"/>
                <w:szCs w:val="24"/>
                <w:lang w:eastAsia="en-US"/>
              </w:rPr>
              <w:t>în conformitate cu prevederile Conceptului aprobat.</w:t>
            </w:r>
          </w:p>
        </w:tc>
      </w:tr>
      <w:tr w:rsidR="00896C08" w:rsidRPr="008F73AF" w14:paraId="5A97D17B" w14:textId="77777777" w:rsidTr="00FA5171">
        <w:trPr>
          <w:tblCellSpacing w:w="20" w:type="dxa"/>
        </w:trPr>
        <w:tc>
          <w:tcPr>
            <w:tcW w:w="2028" w:type="pct"/>
            <w:shd w:val="clear" w:color="auto" w:fill="D9D9D9"/>
          </w:tcPr>
          <w:p w14:paraId="1AAB8C9B" w14:textId="77777777" w:rsidR="00896C08" w:rsidRPr="00B3596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p>
        </w:tc>
        <w:tc>
          <w:tcPr>
            <w:tcW w:w="2908" w:type="pct"/>
            <w:shd w:val="clear" w:color="auto" w:fill="D9D9D9"/>
          </w:tcPr>
          <w:p w14:paraId="423DDEC4" w14:textId="77777777" w:rsidR="00896C08" w:rsidRPr="00B3596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fr-FR" w:eastAsia="en-US"/>
              </w:rPr>
            </w:pPr>
          </w:p>
        </w:tc>
      </w:tr>
      <w:tr w:rsidR="00896C08" w:rsidRPr="009A73E8" w14:paraId="08EBE471" w14:textId="77777777" w:rsidTr="00FA5171">
        <w:trPr>
          <w:tblCellSpacing w:w="20" w:type="dxa"/>
        </w:trPr>
        <w:tc>
          <w:tcPr>
            <w:tcW w:w="2028" w:type="pct"/>
          </w:tcPr>
          <w:p w14:paraId="0D4C3214" w14:textId="1418B8EB"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895425">
              <w:rPr>
                <w:rFonts w:ascii="Arial Narrow" w:hAnsi="Arial Narrow" w:cs="Calibri"/>
                <w:sz w:val="24"/>
                <w:szCs w:val="24"/>
                <w:lang w:val="en-US" w:eastAsia="en-US"/>
              </w:rPr>
              <w:t>Care au fost pãrţile abordate prezente la consultarea publicã</w:t>
            </w:r>
          </w:p>
        </w:tc>
        <w:tc>
          <w:tcPr>
            <w:tcW w:w="2908" w:type="pct"/>
          </w:tcPr>
          <w:p w14:paraId="3F29ED4D" w14:textId="77777777"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895425">
              <w:rPr>
                <w:rFonts w:ascii="Arial Narrow" w:hAnsi="Arial Narrow" w:cs="Arial Narrow"/>
                <w:sz w:val="24"/>
                <w:szCs w:val="24"/>
                <w:lang w:val="en-US" w:eastAsia="en-US"/>
              </w:rPr>
              <w:t xml:space="preserve">Întrucât în cadrul Conceptului privind participarea publicului aprobat au fost identificate </w:t>
            </w:r>
            <w:r w:rsidRPr="00895425">
              <w:rPr>
                <w:rFonts w:ascii="Arial Narrow" w:hAnsi="Arial Narrow"/>
                <w:b/>
                <w:sz w:val="24"/>
                <w:szCs w:val="24"/>
                <w:lang w:val="en-US" w:eastAsia="en-US"/>
              </w:rPr>
              <w:t xml:space="preserve">părțile interesate afectate de Proiect, </w:t>
            </w:r>
            <w:r w:rsidRPr="00895425">
              <w:rPr>
                <w:rFonts w:ascii="Arial Narrow" w:hAnsi="Arial Narrow"/>
                <w:sz w:val="24"/>
                <w:szCs w:val="24"/>
                <w:lang w:val="en-US" w:eastAsia="en-US"/>
              </w:rPr>
              <w:t>alături</w:t>
            </w:r>
            <w:r w:rsidRPr="00895425">
              <w:rPr>
                <w:rFonts w:ascii="Arial Narrow" w:hAnsi="Arial Narrow" w:cs="Arial Narrow"/>
                <w:sz w:val="24"/>
                <w:szCs w:val="24"/>
                <w:lang w:val="en-US" w:eastAsia="en-US"/>
              </w:rPr>
              <w:t xml:space="preserve"> de </w:t>
            </w:r>
            <w:r w:rsidRPr="00895425">
              <w:rPr>
                <w:rFonts w:ascii="Arial Narrow" w:hAnsi="Arial Narrow"/>
                <w:b/>
                <w:sz w:val="24"/>
                <w:szCs w:val="24"/>
                <w:lang w:val="en-US" w:eastAsia="en-US"/>
              </w:rPr>
              <w:t>părți relevante afectate</w:t>
            </w:r>
            <w:r w:rsidRPr="00895425">
              <w:rPr>
                <w:rFonts w:ascii="Arial Narrow" w:hAnsi="Arial Narrow"/>
                <w:sz w:val="24"/>
                <w:szCs w:val="24"/>
                <w:lang w:val="en-US" w:eastAsia="en-US"/>
              </w:rPr>
              <w:t xml:space="preserve"> t</w:t>
            </w:r>
            <w:r w:rsidRPr="00895425">
              <w:rPr>
                <w:rFonts w:ascii="Arial Narrow" w:hAnsi="Arial Narrow" w:cs="Arial Narrow"/>
                <w:sz w:val="24"/>
                <w:szCs w:val="24"/>
                <w:lang w:val="en-US" w:eastAsia="en-US"/>
              </w:rPr>
              <w:t xml:space="preserve">rebuie precizat că în cadrul consultărilor publice participarea a fost după cum urmează: </w:t>
            </w:r>
          </w:p>
          <w:p w14:paraId="46817A1D" w14:textId="76DA91FC"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895425">
              <w:rPr>
                <w:rFonts w:ascii="Arial Narrow" w:hAnsi="Arial Narrow" w:cs="Arial Narrow"/>
                <w:sz w:val="24"/>
                <w:szCs w:val="24"/>
                <w:lang w:val="en-US" w:eastAsia="en-US"/>
              </w:rPr>
              <w:t xml:space="preserve">- din partea pãrților interesate afectate au participat primari, viceprimari, membri ai consiliilor locale comunale, membri ai conducerii Consiliilor Județene, reprezentanți ai Prefecturilor județene (inclusiv prefecți sau subprefecți), reprezentanți ai asociațiilor de proprietari, reprezentanți ai asociațiilor de producãtori agricoli, reprezentanți ai societãții civile şi ai comunitãților locale din zona proiectului, lideri locali neoficiali, lideri de opinie. </w:t>
            </w:r>
          </w:p>
          <w:p w14:paraId="141540EB" w14:textId="2230255F" w:rsidR="00B14E9F"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895425">
              <w:rPr>
                <w:rFonts w:ascii="Arial Narrow" w:hAnsi="Arial Narrow" w:cs="Arial Narrow"/>
                <w:sz w:val="24"/>
                <w:szCs w:val="24"/>
                <w:lang w:val="en-US" w:eastAsia="en-US"/>
              </w:rPr>
              <w:lastRenderedPageBreak/>
              <w:t xml:space="preserve">- </w:t>
            </w:r>
            <w:proofErr w:type="gramStart"/>
            <w:r w:rsidRPr="00895425">
              <w:rPr>
                <w:rFonts w:ascii="Arial Narrow" w:hAnsi="Arial Narrow" w:cs="Arial Narrow"/>
                <w:sz w:val="24"/>
                <w:szCs w:val="24"/>
                <w:lang w:val="en-US" w:eastAsia="en-US"/>
              </w:rPr>
              <w:t>din</w:t>
            </w:r>
            <w:proofErr w:type="gramEnd"/>
            <w:r w:rsidRPr="00895425">
              <w:rPr>
                <w:rFonts w:ascii="Arial Narrow" w:hAnsi="Arial Narrow" w:cs="Arial Narrow"/>
                <w:sz w:val="24"/>
                <w:szCs w:val="24"/>
                <w:lang w:val="en-US" w:eastAsia="en-US"/>
              </w:rPr>
              <w:t xml:space="preserve"> partea pãrților relevante afectate au participat  reprezentanţi ai ACPIC şi ai ONG-urilor. </w:t>
            </w:r>
          </w:p>
          <w:p w14:paraId="77EE381F" w14:textId="22B5BEC4" w:rsidR="00896C08" w:rsidRPr="00895425"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895425">
              <w:rPr>
                <w:rFonts w:ascii="Arial Narrow" w:hAnsi="Arial Narrow" w:cs="Arial Narrow"/>
                <w:sz w:val="24"/>
                <w:szCs w:val="24"/>
                <w:lang w:val="en-US" w:eastAsia="en-US"/>
              </w:rPr>
              <w:t xml:space="preserve">Așa cum s-a stipulat în Conceptul aprobat Transgaz a constituit o echipã operativã în vederea desfãșurãrii în teren a consultărilor publice în cele 12 locații din </w:t>
            </w:r>
            <w:r w:rsidRPr="00895425">
              <w:rPr>
                <w:rFonts w:ascii="Arial Narrow" w:hAnsi="Arial Narrow" w:cs="Arial Narrow"/>
                <w:b/>
                <w:sz w:val="24"/>
                <w:szCs w:val="24"/>
                <w:lang w:val="en-US" w:eastAsia="en-US"/>
              </w:rPr>
              <w:t>P</w:t>
            </w:r>
            <w:r w:rsidRPr="00895425">
              <w:rPr>
                <w:rFonts w:ascii="Arial Narrow" w:hAnsi="Arial Narrow"/>
                <w:b/>
                <w:sz w:val="24"/>
                <w:szCs w:val="24"/>
                <w:lang w:val="en-US" w:eastAsia="en-US"/>
              </w:rPr>
              <w:t xml:space="preserve">lanul de consultare al părţilor abordate </w:t>
            </w:r>
            <w:r w:rsidRPr="00895425">
              <w:rPr>
                <w:rFonts w:ascii="Arial Narrow" w:hAnsi="Arial Narrow" w:cs="Arial Narrow"/>
                <w:sz w:val="24"/>
                <w:szCs w:val="24"/>
                <w:lang w:val="en-US" w:eastAsia="en-US"/>
              </w:rPr>
              <w:t xml:space="preserve">din Conceptul privind participarea publicului aprobat, formată din </w:t>
            </w:r>
            <w:r w:rsidR="00B14E9F" w:rsidRPr="00895425">
              <w:rPr>
                <w:rFonts w:ascii="Arial Narrow" w:hAnsi="Arial Narrow" w:cs="Arial Narrow"/>
                <w:sz w:val="24"/>
                <w:szCs w:val="24"/>
                <w:lang w:val="en-US" w:eastAsia="en-US"/>
              </w:rPr>
              <w:t>specialişti în domeniul juridic, proiectare, reglementări terenuri, mediu, comunicare, finanţare europeană, arheologie, astfel încât să poată acoperi o gamă cât mai largă de posibile întrebări ce vor veni din partea celor prezenţi la consultarea publică.</w:t>
            </w:r>
          </w:p>
        </w:tc>
      </w:tr>
      <w:tr w:rsidR="00896C08" w:rsidRPr="009A73E8" w14:paraId="7E98ED16" w14:textId="77777777" w:rsidTr="00FA5171">
        <w:trPr>
          <w:tblCellSpacing w:w="20" w:type="dxa"/>
        </w:trPr>
        <w:tc>
          <w:tcPr>
            <w:tcW w:w="2028" w:type="pct"/>
            <w:shd w:val="clear" w:color="auto" w:fill="D9D9D9"/>
          </w:tcPr>
          <w:p w14:paraId="5CA77B2C" w14:textId="77777777" w:rsidR="00896C08" w:rsidRPr="007A4F7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c>
          <w:tcPr>
            <w:tcW w:w="2908" w:type="pct"/>
            <w:shd w:val="clear" w:color="auto" w:fill="D9D9D9"/>
          </w:tcPr>
          <w:p w14:paraId="202D22B3" w14:textId="77777777" w:rsidR="00896C08" w:rsidRPr="007A4F7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en-US" w:eastAsia="en-US"/>
              </w:rPr>
            </w:pPr>
          </w:p>
        </w:tc>
      </w:tr>
      <w:tr w:rsidR="00896C08" w:rsidRPr="000D2F52" w14:paraId="7EFBC7EC" w14:textId="77777777" w:rsidTr="00FA5171">
        <w:trPr>
          <w:tblCellSpacing w:w="20" w:type="dxa"/>
        </w:trPr>
        <w:tc>
          <w:tcPr>
            <w:tcW w:w="2028" w:type="pct"/>
          </w:tcPr>
          <w:p w14:paraId="4BCC70CF" w14:textId="6D3261E8" w:rsidR="00896C08" w:rsidRPr="00585A4B"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Calibri"/>
                <w:sz w:val="24"/>
                <w:szCs w:val="24"/>
                <w:lang w:val="en-US" w:eastAsia="en-US"/>
              </w:rPr>
              <w:t>Care dintre pãrţile abordate au fost cel mai mult prezente la consultarea publicã pe parcursul celor 12 locaţii</w:t>
            </w:r>
          </w:p>
        </w:tc>
        <w:tc>
          <w:tcPr>
            <w:tcW w:w="2908" w:type="pct"/>
          </w:tcPr>
          <w:p w14:paraId="7D108CF0" w14:textId="47347050" w:rsidR="00896C08" w:rsidRPr="00585A4B"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Arial Narrow"/>
                <w:sz w:val="24"/>
                <w:szCs w:val="24"/>
                <w:lang w:val="en-US" w:eastAsia="en-US"/>
              </w:rPr>
              <w:t>La consultările publice defăşurate în cele 12 locații prevãzute în Conceptul privind participarea publicului aprobat  cel mai bine reprezentate au fost  pãrțile interesate afectate, respectiv reprezentanți ai asociațiilor de proprietari şi reprezentanți ai asociațiilor de producãtori agricoli. Mai puţin reprezentate au fost pãrţile relevante afectate acestea fiind prezente doar în unele locaţii.</w:t>
            </w:r>
          </w:p>
        </w:tc>
      </w:tr>
      <w:tr w:rsidR="00896C08" w:rsidRPr="000D2F52" w14:paraId="5D9E412E" w14:textId="77777777" w:rsidTr="00FA5171">
        <w:trPr>
          <w:tblCellSpacing w:w="20" w:type="dxa"/>
        </w:trPr>
        <w:tc>
          <w:tcPr>
            <w:tcW w:w="2028" w:type="pct"/>
            <w:tcBorders>
              <w:bottom w:val="outset" w:sz="2" w:space="0" w:color="auto"/>
            </w:tcBorders>
            <w:shd w:val="clear" w:color="auto" w:fill="D9D9D9"/>
          </w:tcPr>
          <w:p w14:paraId="1C31A8F0" w14:textId="77777777" w:rsidR="00896C08" w:rsidRPr="007A4F7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c>
          <w:tcPr>
            <w:tcW w:w="2908" w:type="pct"/>
            <w:tcBorders>
              <w:bottom w:val="outset" w:sz="2" w:space="0" w:color="auto"/>
            </w:tcBorders>
            <w:shd w:val="clear" w:color="auto" w:fill="D9D9D9"/>
          </w:tcPr>
          <w:p w14:paraId="382AD0EF" w14:textId="77777777" w:rsidR="00896C08" w:rsidRPr="007A4F7A" w:rsidRDefault="00896C08"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en-US" w:eastAsia="en-US"/>
              </w:rPr>
            </w:pPr>
          </w:p>
        </w:tc>
      </w:tr>
      <w:tr w:rsidR="00585A4B" w:rsidRPr="000D2F52" w14:paraId="61A8EEC5" w14:textId="77777777" w:rsidTr="00FA5171">
        <w:trPr>
          <w:tblCellSpacing w:w="20" w:type="dxa"/>
        </w:trPr>
        <w:tc>
          <w:tcPr>
            <w:tcW w:w="2028" w:type="pct"/>
            <w:tcBorders>
              <w:bottom w:val="outset" w:sz="2" w:space="0" w:color="auto"/>
            </w:tcBorders>
            <w:shd w:val="clear" w:color="auto" w:fill="auto"/>
          </w:tcPr>
          <w:p w14:paraId="547E101F" w14:textId="70698473" w:rsid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Calibri"/>
                <w:sz w:val="24"/>
                <w:szCs w:val="24"/>
                <w:lang w:val="pt-BR" w:eastAsia="en-US"/>
              </w:rPr>
              <w:t xml:space="preserve">Cum s-a desfãşurat prezentarea proiectului BRUA faza I </w:t>
            </w:r>
          </w:p>
          <w:p w14:paraId="56CC395E" w14:textId="77777777" w:rsidR="00FA5171" w:rsidRPr="00FA5171" w:rsidRDefault="00FA5171" w:rsidP="00FA5171"/>
          <w:p w14:paraId="66311799" w14:textId="77777777" w:rsidR="00FA5171" w:rsidRPr="00FA5171" w:rsidRDefault="00FA5171" w:rsidP="00FA5171"/>
          <w:p w14:paraId="6DE6AFF8" w14:textId="77777777" w:rsidR="00FA5171" w:rsidRPr="00FA5171" w:rsidRDefault="00FA5171" w:rsidP="00FA5171"/>
          <w:p w14:paraId="1B0B1382" w14:textId="04633B4D" w:rsidR="00585A4B" w:rsidRPr="00FA5171" w:rsidRDefault="00585A4B" w:rsidP="00FA5171"/>
        </w:tc>
        <w:tc>
          <w:tcPr>
            <w:tcW w:w="2908" w:type="pct"/>
            <w:tcBorders>
              <w:bottom w:val="outset" w:sz="2" w:space="0" w:color="auto"/>
            </w:tcBorders>
            <w:shd w:val="clear" w:color="auto" w:fill="auto"/>
          </w:tcPr>
          <w:p w14:paraId="4A6E3CEB"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t>Prezentarea proiectului BRUA faza 1 a fost realizată în conformitate cu cele stipulate în Programul de desfăşurare al consultărilor publice din Conceptul privind participarea publicului aprobat, de către un moderator, care a avut sarcina de a deschide fiecare dintre cele 12 întâlniri şi de a conduce consultarea publicului, alături de ceilalţi membrii ai echipei Transgaz fiecare cu sarcini clare şi s-a desfãșurat după cum urmează:</w:t>
            </w:r>
          </w:p>
          <w:p w14:paraId="0223E7A1"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t>- prezentarea considerentelor și scopului organizãrii consultării publice, subliniindu-se cã organizarea și desfãșurarea consultãrii publice este un demers dedicat publicului larg și comunitãților de pe traseul proiectului BRUA. În egalã mãsurã, s-a precizat faptul cã echipa Transgaz, în calitate de reprezentantã a promotorului de proiect este deschisã în preluarea întrebãrilor, nelãmuririlor și eventualelor neliniști ale publicului manifestând deplinã responsabilitate și angajament cu privire la transparențã și la respectarea prevederillor Regulamentului (UE) Nr.347/2013;</w:t>
            </w:r>
          </w:p>
          <w:p w14:paraId="3679C050"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t xml:space="preserve">- prezentarea succintã a contextului realizãrii proiectului BRUA, subliniindu-se importanța acestuia la nivel european, național și local apelându-se în acest sens la formule semantice și comparații, ușor de perceput care sã asigure o cât mai mare familiaritate a publicului cu proiectul.. </w:t>
            </w:r>
          </w:p>
          <w:p w14:paraId="77D39913"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t xml:space="preserve">- prezentarea echipei operative Transgaz deplasatã în scopul prezentãrii proiectului. </w:t>
            </w:r>
          </w:p>
          <w:p w14:paraId="0BA460D9"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t xml:space="preserve">- prezentarea proiectului BRUA în mod oral dar şi pe un ecran vizibil de cãtre toatã audiența. </w:t>
            </w:r>
          </w:p>
          <w:p w14:paraId="3C240A86"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lastRenderedPageBreak/>
              <w:t xml:space="preserve">Prezentarea a fost efectuatã de cãtre experții din echipa operativă Transgaz, fiecare pe domeniul sãu de expertizã, respectiv: realizarea proiectului, proiectarea în sine, partea juridicã și relațiile cu proprietarii. </w:t>
            </w:r>
          </w:p>
          <w:p w14:paraId="4DB4782B"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t>În plus, echipa a avut și un expert în domeniul protecției mediului, iar chestiunile legate de strategia companiei sau de relația acesteia cu autoritãțile locale relevante au fost explicate de cãtre directorul departamentului de strategie și comunicare.</w:t>
            </w:r>
          </w:p>
          <w:p w14:paraId="033D4C68" w14:textId="1F72DA05" w:rsidR="00585A4B" w:rsidRPr="007A4F7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en-US" w:eastAsia="en-US"/>
              </w:rPr>
            </w:pPr>
            <w:r w:rsidRPr="00585A4B">
              <w:rPr>
                <w:rFonts w:ascii="Arial Narrow" w:hAnsi="Arial Narrow" w:cs="Calibri"/>
                <w:sz w:val="24"/>
                <w:szCs w:val="24"/>
                <w:lang w:val="pt-BR" w:eastAsia="en-US"/>
              </w:rPr>
              <w:t xml:space="preserve">Trebuie precizat că, Moderatorul a solicitat audienței sã se precizeze apartenența la pãrțile relevante afectate sau la pãrțile interesate afectate, (astfel cum acestea au fost identificate prin Concept) dând cuvântul, acolo unde s-a dorit, reprezentanților comunitãții și ai autoritãților publice locale și/sau centrale prezente. S-a solicitat de asemenea ca în cazul în care doresc să primească răspunsuri scrise să completeze formularele FIȘĂ DE ÎNTREBĂRI CONSULTARE PUBLICĂ BRUA (FAZA 1).şi </w:t>
            </w:r>
            <w:r w:rsidRPr="00585A4B">
              <w:rPr>
                <w:rFonts w:ascii="Arial Narrow" w:hAnsi="Arial Narrow" w:cs="Calibri"/>
                <w:bCs/>
                <w:sz w:val="24"/>
                <w:szCs w:val="24"/>
                <w:u w:val="thick"/>
                <w:lang w:val="pt-BR" w:eastAsia="en-US"/>
              </w:rPr>
              <w:t>FORMULAR DE RECOMANDĂRI ŞI PROPUNERI sau sa trimită solicitări prin e-mail.</w:t>
            </w:r>
          </w:p>
        </w:tc>
      </w:tr>
      <w:tr w:rsidR="00585A4B" w:rsidRPr="009A1ED3" w14:paraId="7E91C3F2" w14:textId="77777777" w:rsidTr="00FA5171">
        <w:trPr>
          <w:trHeight w:val="137"/>
          <w:tblCellSpacing w:w="20" w:type="dxa"/>
        </w:trPr>
        <w:tc>
          <w:tcPr>
            <w:tcW w:w="2028" w:type="pct"/>
            <w:shd w:val="clear" w:color="auto" w:fill="D9D9D9"/>
          </w:tcPr>
          <w:p w14:paraId="21A1B7D7"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c>
          <w:tcPr>
            <w:tcW w:w="2908" w:type="pct"/>
            <w:shd w:val="clear" w:color="auto" w:fill="D9D9D9"/>
          </w:tcPr>
          <w:p w14:paraId="5416824E"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r>
      <w:tr w:rsidR="00585A4B" w:rsidRPr="008F73AF" w14:paraId="5D7A8D89" w14:textId="77777777" w:rsidTr="00FA5171">
        <w:trPr>
          <w:trHeight w:val="376"/>
          <w:tblCellSpacing w:w="20" w:type="dxa"/>
        </w:trPr>
        <w:tc>
          <w:tcPr>
            <w:tcW w:w="2028" w:type="pct"/>
          </w:tcPr>
          <w:p w14:paraId="39172469"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r w:rsidRPr="00585A4B">
              <w:rPr>
                <w:rFonts w:ascii="Arial Narrow" w:hAnsi="Arial Narrow" w:cs="Calibri"/>
                <w:sz w:val="24"/>
                <w:szCs w:val="24"/>
                <w:lang w:val="fr-FR" w:eastAsia="en-US"/>
              </w:rPr>
              <w:t>Subiectele abordate au fost cele cuprinse în Conceptul aprobat</w:t>
            </w:r>
          </w:p>
        </w:tc>
        <w:tc>
          <w:tcPr>
            <w:tcW w:w="2908" w:type="pct"/>
          </w:tcPr>
          <w:p w14:paraId="47DC8F9C"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fr-FR" w:eastAsia="en-US"/>
              </w:rPr>
            </w:pPr>
            <w:r w:rsidRPr="00585A4B">
              <w:rPr>
                <w:rFonts w:ascii="Arial Narrow" w:hAnsi="Arial Narrow" w:cs="Arial Narrow"/>
                <w:sz w:val="24"/>
                <w:szCs w:val="24"/>
                <w:lang w:val="fr-FR" w:eastAsia="en-US"/>
              </w:rPr>
              <w:t xml:space="preserve">În confomitate cu prevederile Conceptului privind participarea publicului aprobat subiectele </w:t>
            </w:r>
            <w:r w:rsidRPr="00585A4B">
              <w:rPr>
                <w:rFonts w:ascii="Arial Narrow" w:hAnsi="Arial Narrow"/>
                <w:sz w:val="24"/>
                <w:szCs w:val="24"/>
                <w:lang w:eastAsia="en-US"/>
              </w:rPr>
              <w:t>abordate în cadrul consultărilor publice</w:t>
            </w:r>
            <w:r w:rsidRPr="00585A4B" w:rsidDel="0057661E">
              <w:rPr>
                <w:rFonts w:ascii="Arial Narrow" w:hAnsi="Arial Narrow" w:cs="Arial Narrow"/>
                <w:sz w:val="24"/>
                <w:szCs w:val="24"/>
                <w:lang w:val="fr-FR" w:eastAsia="en-US"/>
              </w:rPr>
              <w:t xml:space="preserve"> </w:t>
            </w:r>
            <w:r w:rsidRPr="00585A4B">
              <w:rPr>
                <w:rFonts w:ascii="Arial Narrow" w:hAnsi="Arial Narrow" w:cs="Arial Narrow"/>
                <w:sz w:val="24"/>
                <w:szCs w:val="24"/>
                <w:lang w:val="fr-FR" w:eastAsia="en-US"/>
              </w:rPr>
              <w:t>realizate au fost următoarele :</w:t>
            </w:r>
          </w:p>
          <w:p w14:paraId="737E27BD" w14:textId="77777777" w:rsidR="00585A4B" w:rsidRPr="00585A4B" w:rsidRDefault="00585A4B" w:rsidP="00FA5171">
            <w:pPr>
              <w:pBdr>
                <w:top w:val="none" w:sz="0" w:space="0" w:color="auto"/>
                <w:left w:val="none" w:sz="0" w:space="0" w:color="auto"/>
                <w:bottom w:val="none" w:sz="0" w:space="0" w:color="auto"/>
                <w:right w:val="none" w:sz="0" w:space="0" w:color="auto"/>
                <w:bar w:val="none" w:sz="0" w:color="auto"/>
              </w:pBdr>
              <w:jc w:val="both"/>
              <w:rPr>
                <w:rFonts w:ascii="Arial Narrow" w:hAnsi="Arial Narrow"/>
                <w:lang w:val="fr-FR"/>
              </w:rPr>
            </w:pPr>
            <w:r w:rsidRPr="00585A4B">
              <w:rPr>
                <w:rFonts w:ascii="Arial Narrow" w:hAnsi="Arial Narrow"/>
                <w:lang w:val="fr-FR"/>
              </w:rPr>
              <w:t xml:space="preserve">- Prezentarea companiei SNTGN Transgaz SA; </w:t>
            </w:r>
          </w:p>
          <w:p w14:paraId="49C77638" w14:textId="77777777" w:rsidR="00585A4B" w:rsidRPr="00585A4B" w:rsidRDefault="00585A4B" w:rsidP="00FA5171">
            <w:pPr>
              <w:pBdr>
                <w:top w:val="none" w:sz="0" w:space="0" w:color="auto"/>
                <w:left w:val="none" w:sz="0" w:space="0" w:color="auto"/>
                <w:bottom w:val="none" w:sz="0" w:space="0" w:color="auto"/>
                <w:right w:val="none" w:sz="0" w:space="0" w:color="auto"/>
                <w:bar w:val="none" w:sz="0" w:color="auto"/>
              </w:pBdr>
              <w:jc w:val="both"/>
              <w:rPr>
                <w:rFonts w:ascii="Arial Narrow" w:hAnsi="Arial Narrow"/>
                <w:lang w:val="fr-FR"/>
              </w:rPr>
            </w:pPr>
            <w:r w:rsidRPr="00585A4B">
              <w:rPr>
                <w:rFonts w:ascii="Arial Narrow" w:hAnsi="Arial Narrow"/>
                <w:lang w:val="fr-FR"/>
              </w:rPr>
              <w:t xml:space="preserve">- Descrierea Proiectului; </w:t>
            </w:r>
          </w:p>
          <w:p w14:paraId="040F263A" w14:textId="77777777" w:rsidR="00585A4B" w:rsidRPr="00585A4B" w:rsidRDefault="00585A4B" w:rsidP="00FA5171">
            <w:pPr>
              <w:pBdr>
                <w:top w:val="none" w:sz="0" w:space="0" w:color="auto"/>
                <w:left w:val="none" w:sz="0" w:space="0" w:color="auto"/>
                <w:bottom w:val="none" w:sz="0" w:space="0" w:color="auto"/>
                <w:right w:val="none" w:sz="0" w:space="0" w:color="auto"/>
                <w:bar w:val="none" w:sz="0" w:color="auto"/>
              </w:pBdr>
              <w:jc w:val="both"/>
              <w:rPr>
                <w:rFonts w:ascii="Arial Narrow" w:hAnsi="Arial Narrow"/>
                <w:lang w:val="fr-FR"/>
              </w:rPr>
            </w:pPr>
            <w:r w:rsidRPr="00585A4B">
              <w:rPr>
                <w:rFonts w:ascii="Arial Narrow" w:hAnsi="Arial Narrow"/>
                <w:lang w:val="fr-FR"/>
              </w:rPr>
              <w:t xml:space="preserve">- Principii de construcție; </w:t>
            </w:r>
          </w:p>
          <w:p w14:paraId="543A376A" w14:textId="77777777" w:rsidR="00585A4B" w:rsidRPr="00585A4B" w:rsidRDefault="00585A4B" w:rsidP="00FA5171">
            <w:pPr>
              <w:pBdr>
                <w:top w:val="none" w:sz="0" w:space="0" w:color="auto"/>
                <w:left w:val="none" w:sz="0" w:space="0" w:color="auto"/>
                <w:bottom w:val="none" w:sz="0" w:space="0" w:color="auto"/>
                <w:right w:val="none" w:sz="0" w:space="0" w:color="auto"/>
                <w:bar w:val="none" w:sz="0" w:color="auto"/>
              </w:pBdr>
              <w:jc w:val="both"/>
              <w:rPr>
                <w:rFonts w:ascii="Arial Narrow" w:hAnsi="Arial Narrow"/>
                <w:lang w:val="fr-FR"/>
              </w:rPr>
            </w:pPr>
            <w:r w:rsidRPr="00585A4B">
              <w:rPr>
                <w:rFonts w:ascii="Arial Narrow" w:hAnsi="Arial Narrow"/>
                <w:lang w:val="fr-FR"/>
              </w:rPr>
              <w:t>- Durata activităților de Proiect;</w:t>
            </w:r>
          </w:p>
          <w:p w14:paraId="586CCE20" w14:textId="77777777" w:rsidR="00585A4B" w:rsidRPr="00585A4B" w:rsidRDefault="00585A4B" w:rsidP="00FA5171">
            <w:pPr>
              <w:pBdr>
                <w:top w:val="none" w:sz="0" w:space="0" w:color="auto"/>
                <w:left w:val="none" w:sz="0" w:space="0" w:color="auto"/>
                <w:bottom w:val="none" w:sz="0" w:space="0" w:color="auto"/>
                <w:right w:val="none" w:sz="0" w:space="0" w:color="auto"/>
                <w:bar w:val="none" w:sz="0" w:color="auto"/>
              </w:pBdr>
              <w:jc w:val="both"/>
              <w:rPr>
                <w:rFonts w:ascii="Arial Narrow" w:hAnsi="Arial Narrow"/>
                <w:lang w:val="fr-FR"/>
              </w:rPr>
            </w:pPr>
            <w:r w:rsidRPr="00585A4B">
              <w:rPr>
                <w:rFonts w:ascii="Arial Narrow" w:hAnsi="Arial Narrow"/>
                <w:lang w:val="fr-FR"/>
              </w:rPr>
              <w:t xml:space="preserve">- Provocări; </w:t>
            </w:r>
          </w:p>
          <w:p w14:paraId="612C7BB0" w14:textId="77777777" w:rsidR="00585A4B" w:rsidRPr="00585A4B" w:rsidRDefault="00585A4B" w:rsidP="00FA5171">
            <w:pPr>
              <w:pBdr>
                <w:top w:val="none" w:sz="0" w:space="0" w:color="auto"/>
                <w:left w:val="none" w:sz="0" w:space="0" w:color="auto"/>
                <w:bottom w:val="none" w:sz="0" w:space="0" w:color="auto"/>
                <w:right w:val="none" w:sz="0" w:space="0" w:color="auto"/>
                <w:bar w:val="none" w:sz="0" w:color="auto"/>
              </w:pBdr>
              <w:jc w:val="both"/>
              <w:rPr>
                <w:rFonts w:ascii="Arial Narrow" w:hAnsi="Arial Narrow"/>
                <w:lang w:val="fr-FR"/>
              </w:rPr>
            </w:pPr>
            <w:r w:rsidRPr="00585A4B">
              <w:rPr>
                <w:rFonts w:ascii="Arial Narrow" w:hAnsi="Arial Narrow"/>
                <w:lang w:val="fr-FR"/>
              </w:rPr>
              <w:t xml:space="preserve">- Sănătate și siguranța comunității; </w:t>
            </w:r>
          </w:p>
          <w:p w14:paraId="0291F585" w14:textId="719146FC"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olor w:val="auto"/>
                <w:sz w:val="24"/>
                <w:szCs w:val="24"/>
                <w:lang w:val="fr-FR" w:eastAsia="en-US"/>
              </w:rPr>
            </w:pPr>
            <w:r w:rsidRPr="00585A4B">
              <w:rPr>
                <w:sz w:val="24"/>
                <w:szCs w:val="24"/>
                <w:lang w:val="fr-FR" w:eastAsia="en-US"/>
              </w:rPr>
              <w:t xml:space="preserve">- </w:t>
            </w:r>
            <w:r w:rsidRPr="00585A4B">
              <w:rPr>
                <w:rFonts w:ascii="Arial Narrow" w:hAnsi="Arial Narrow"/>
                <w:color w:val="auto"/>
                <w:sz w:val="24"/>
                <w:szCs w:val="24"/>
                <w:lang w:val="fr-FR" w:eastAsia="en-US"/>
              </w:rPr>
              <w:t>Beneficii (beneficii din dezvoltare și oportunități pe plan local).</w:t>
            </w:r>
          </w:p>
          <w:p w14:paraId="348495FB"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r w:rsidRPr="00585A4B">
              <w:rPr>
                <w:rFonts w:ascii="Arial Narrow" w:hAnsi="Arial Narrow"/>
                <w:color w:val="auto"/>
                <w:sz w:val="24"/>
                <w:szCs w:val="24"/>
                <w:lang w:val="fr-FR" w:eastAsia="en-US"/>
              </w:rPr>
              <w:t>Subiectele au fost prezentate și în Invitațiile la consultările publice.</w:t>
            </w:r>
          </w:p>
        </w:tc>
      </w:tr>
      <w:tr w:rsidR="00585A4B" w:rsidRPr="008F73AF" w14:paraId="75FE03C3" w14:textId="77777777" w:rsidTr="00FA5171">
        <w:trPr>
          <w:trHeight w:val="272"/>
          <w:tblCellSpacing w:w="20" w:type="dxa"/>
        </w:trPr>
        <w:tc>
          <w:tcPr>
            <w:tcW w:w="2028" w:type="pct"/>
            <w:shd w:val="clear" w:color="auto" w:fill="D9D9D9"/>
          </w:tcPr>
          <w:p w14:paraId="419498F6"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p>
        </w:tc>
        <w:tc>
          <w:tcPr>
            <w:tcW w:w="2908" w:type="pct"/>
            <w:shd w:val="clear" w:color="auto" w:fill="D9D9D9"/>
          </w:tcPr>
          <w:p w14:paraId="7CBCE72F"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fr-FR" w:eastAsia="en-US"/>
              </w:rPr>
            </w:pPr>
          </w:p>
        </w:tc>
      </w:tr>
      <w:tr w:rsidR="00585A4B" w:rsidRPr="008F73AF" w14:paraId="1D013140" w14:textId="77777777" w:rsidTr="00FA5171">
        <w:trPr>
          <w:tblCellSpacing w:w="20" w:type="dxa"/>
        </w:trPr>
        <w:tc>
          <w:tcPr>
            <w:tcW w:w="2028" w:type="pct"/>
          </w:tcPr>
          <w:p w14:paraId="2CE33C43" w14:textId="4ECCADB5"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Calibri"/>
                <w:sz w:val="24"/>
                <w:szCs w:val="24"/>
                <w:lang w:val="en-US" w:eastAsia="en-US"/>
              </w:rPr>
              <w:t>Mesajele cheie transmise (scop proiect, avantaje şi beneficii în plan local şi naţional, impact pentru mediu, riscuri şi oportunitãţi)</w:t>
            </w:r>
          </w:p>
        </w:tc>
        <w:tc>
          <w:tcPr>
            <w:tcW w:w="2908" w:type="pct"/>
          </w:tcPr>
          <w:p w14:paraId="248BA9E3" w14:textId="7E9A0C6B"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r w:rsidRPr="00585A4B">
              <w:rPr>
                <w:rFonts w:ascii="Arial Narrow" w:hAnsi="Arial Narrow" w:cs="Arial Narrow"/>
                <w:sz w:val="24"/>
                <w:szCs w:val="24"/>
                <w:lang w:val="en-US" w:eastAsia="en-US"/>
              </w:rPr>
              <w:t xml:space="preserve">Aşa cum s-a precizat mai sus printre subiectele abordate au fost şi cele care permiteau transmiterea unor mesaje cheie - </w:t>
            </w:r>
            <w:r w:rsidRPr="00585A4B">
              <w:rPr>
                <w:rFonts w:ascii="Arial Narrow" w:hAnsi="Arial Narrow" w:cs="Calibri"/>
                <w:sz w:val="24"/>
                <w:szCs w:val="24"/>
                <w:lang w:val="en-US" w:eastAsia="en-US"/>
              </w:rPr>
              <w:t xml:space="preserve">scop proiect, avantaje şi beneficii în plan local şi naţional, impact pentru mediu, riscuri şi oportunitãţi. În acest sens, </w:t>
            </w:r>
            <w:r w:rsidRPr="00585A4B">
              <w:rPr>
                <w:rFonts w:ascii="Arial Narrow" w:hAnsi="Arial Narrow" w:cs="Arial Narrow"/>
                <w:sz w:val="24"/>
                <w:szCs w:val="24"/>
                <w:lang w:val="en-US" w:eastAsia="en-US"/>
              </w:rPr>
              <w:t xml:space="preserve">echipa operativã a transmis toate mesajele cheie corespunzãtoare necesitãților de comunicare transparentã și în conformitate cu prevederile Conceptului aprobat, cu sublinierea scopului realizãrii BRUA în plan european și național, cu prezentarea beneficiilor la nivelul pieței europene dar și la nivelul economiei naționale și, cu precădere, la nivelul fiecãrei comunitãți specifice în parte. </w:t>
            </w:r>
            <w:proofErr w:type="gramStart"/>
            <w:r w:rsidRPr="00585A4B">
              <w:rPr>
                <w:rFonts w:ascii="Arial Narrow" w:hAnsi="Arial Narrow" w:cs="Arial Narrow"/>
                <w:sz w:val="24"/>
                <w:szCs w:val="24"/>
                <w:lang w:val="fr-FR" w:eastAsia="en-US"/>
              </w:rPr>
              <w:t>S-au accentuat</w:t>
            </w:r>
            <w:proofErr w:type="gramEnd"/>
            <w:r w:rsidRPr="00585A4B">
              <w:rPr>
                <w:rFonts w:ascii="Arial Narrow" w:hAnsi="Arial Narrow" w:cs="Arial Narrow"/>
                <w:sz w:val="24"/>
                <w:szCs w:val="24"/>
                <w:lang w:val="fr-FR" w:eastAsia="en-US"/>
              </w:rPr>
              <w:t xml:space="preserve"> oportunitãțile generate de realizarea BRUA, prezentând totodatã și riscurile acolo unde a fost cazul.</w:t>
            </w:r>
          </w:p>
        </w:tc>
      </w:tr>
      <w:tr w:rsidR="00585A4B" w:rsidRPr="008F73AF" w14:paraId="6A3AFB41" w14:textId="77777777" w:rsidTr="00FA5171">
        <w:trPr>
          <w:trHeight w:val="218"/>
          <w:tblCellSpacing w:w="20" w:type="dxa"/>
        </w:trPr>
        <w:tc>
          <w:tcPr>
            <w:tcW w:w="2028" w:type="pct"/>
            <w:shd w:val="clear" w:color="auto" w:fill="D9D9D9"/>
          </w:tcPr>
          <w:p w14:paraId="51CB182D" w14:textId="77777777" w:rsidR="00585A4B" w:rsidRPr="00B3596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p>
        </w:tc>
        <w:tc>
          <w:tcPr>
            <w:tcW w:w="2908" w:type="pct"/>
            <w:shd w:val="clear" w:color="auto" w:fill="D9D9D9"/>
          </w:tcPr>
          <w:p w14:paraId="776B4B77" w14:textId="77777777" w:rsidR="00585A4B" w:rsidRPr="00B3596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fr-FR" w:eastAsia="en-US"/>
              </w:rPr>
            </w:pPr>
          </w:p>
        </w:tc>
      </w:tr>
      <w:tr w:rsidR="00585A4B" w:rsidRPr="009A1ED3" w14:paraId="6F8E7E64" w14:textId="77777777" w:rsidTr="00FA5171">
        <w:trPr>
          <w:tblCellSpacing w:w="20" w:type="dxa"/>
        </w:trPr>
        <w:tc>
          <w:tcPr>
            <w:tcW w:w="2028" w:type="pct"/>
          </w:tcPr>
          <w:p w14:paraId="73C5E386" w14:textId="5C3B1BD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it-IT" w:eastAsia="en-US"/>
              </w:rPr>
            </w:pPr>
            <w:r w:rsidRPr="00585A4B">
              <w:rPr>
                <w:rFonts w:ascii="Arial Narrow" w:hAnsi="Arial Narrow" w:cs="Calibri"/>
                <w:sz w:val="24"/>
                <w:szCs w:val="24"/>
                <w:lang w:val="it-IT" w:eastAsia="en-US"/>
              </w:rPr>
              <w:lastRenderedPageBreak/>
              <w:t>Tehnicile de prezentare şi comunicare utilizate au permis accesibilitatea pãrţilor abordate la informaţiile relevante</w:t>
            </w:r>
          </w:p>
        </w:tc>
        <w:tc>
          <w:tcPr>
            <w:tcW w:w="2908" w:type="pct"/>
          </w:tcPr>
          <w:p w14:paraId="09B66FA3" w14:textId="62A7E510"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fr-FR" w:eastAsia="en-US"/>
              </w:rPr>
            </w:pPr>
            <w:r w:rsidRPr="00585A4B">
              <w:rPr>
                <w:rFonts w:ascii="Arial Narrow" w:hAnsi="Arial Narrow" w:cs="Arial Narrow"/>
                <w:sz w:val="24"/>
                <w:szCs w:val="24"/>
                <w:lang w:val="fr-FR" w:eastAsia="en-US"/>
              </w:rPr>
              <w:t>Tehnicile de prezentare au fost următoarele: prezentare scrisă (pliante, broşuri, hărţi) ; prezentare orală, prezentarea proiectului în format ppt şi expunerea unui roll-up cu traseul şi date ale proiectului.</w:t>
            </w:r>
          </w:p>
          <w:p w14:paraId="36E57FAE" w14:textId="5E0B8E79"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pt-BR" w:eastAsia="en-US"/>
              </w:rPr>
            </w:pPr>
            <w:r w:rsidRPr="00585A4B">
              <w:rPr>
                <w:rFonts w:ascii="Arial Narrow" w:hAnsi="Arial Narrow" w:cs="Arial Narrow"/>
                <w:sz w:val="24"/>
                <w:szCs w:val="24"/>
                <w:lang w:val="pt-BR" w:eastAsia="en-US"/>
              </w:rPr>
              <w:t xml:space="preserve">Prezentarea vizualã a fost clarã, limpede, ușor de urmãrit de fiecare participant. </w:t>
            </w:r>
          </w:p>
          <w:p w14:paraId="1D600A48"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pt-BR" w:eastAsia="en-US"/>
              </w:rPr>
            </w:pPr>
            <w:r w:rsidRPr="00585A4B">
              <w:rPr>
                <w:rFonts w:ascii="Arial Narrow" w:hAnsi="Arial Narrow" w:cs="Arial Narrow"/>
                <w:sz w:val="24"/>
                <w:szCs w:val="24"/>
                <w:lang w:val="pt-BR" w:eastAsia="en-US"/>
              </w:rPr>
              <w:t xml:space="preserve">Prezentarea oralã s-a desfãșurat astfel încât sã se asigure buna înțelegere și recepționare a mesajelor de cãtre întreaga audiențã. </w:t>
            </w:r>
          </w:p>
          <w:p w14:paraId="08773E5B"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pt-BR" w:eastAsia="en-US"/>
              </w:rPr>
            </w:pPr>
            <w:r w:rsidRPr="00585A4B">
              <w:rPr>
                <w:rFonts w:ascii="Arial Narrow" w:hAnsi="Arial Narrow" w:cs="Arial Narrow"/>
                <w:sz w:val="24"/>
                <w:szCs w:val="24"/>
                <w:lang w:val="pt-BR" w:eastAsia="en-US"/>
              </w:rPr>
              <w:t>S-au pus la dispoziție materiale printate, broșuri și hãrți ale proiectului și s-au furnizat astfel de materiale comunitãților locale atât direct cât și prin intermediul primãriilor.</w:t>
            </w:r>
          </w:p>
          <w:p w14:paraId="4E5A943E" w14:textId="600CEB7A"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pt-BR" w:eastAsia="en-US"/>
              </w:rPr>
            </w:pPr>
            <w:r w:rsidRPr="00585A4B">
              <w:rPr>
                <w:rFonts w:ascii="Arial Narrow" w:hAnsi="Arial Narrow" w:cs="Arial Narrow"/>
                <w:sz w:val="24"/>
                <w:szCs w:val="24"/>
                <w:lang w:val="pt-BR" w:eastAsia="en-US"/>
              </w:rPr>
              <w:t xml:space="preserve">Toate informațiile directe și indirecte legate de consultarea publicã au fost postate pe site-ul Transgaz în vederea realizãrii transparenței maxime. </w:t>
            </w:r>
          </w:p>
          <w:p w14:paraId="44C25D9F" w14:textId="462C0BE5"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Arial Narrow"/>
                <w:sz w:val="24"/>
                <w:szCs w:val="24"/>
                <w:lang w:val="pt-BR" w:eastAsia="en-US"/>
              </w:rPr>
              <w:t>S-au publicat pe site și distribuit în timpul Consultãriilor publice FIŞE DE ÎNTREBĂRI și FORMULARE DE RECOMANDÃRI ȘI PROPUNERI  în vederea colectãrii cãt mai complexe și mai sigure a tuturor opiniilor și chestiunilor ridicate de cãtre audiențã. În plus, publicul participant a fost sistematic încurajat în timpul întâlnirilor sã apeleze la FISELE DE ÎNTREBÃRI și la celelate formulare în condițiile în care nu vrea/nu dorește/nu are încã sistematizate întrebãrile pe care dorește sã le adreseze Transgaz pe marginea Proiectului BRUA, Transgaz asumându-și angajamentul sã rãspundã la întrebãrile adresate.</w:t>
            </w:r>
          </w:p>
        </w:tc>
      </w:tr>
      <w:tr w:rsidR="00585A4B" w:rsidRPr="009A1ED3" w14:paraId="20923170" w14:textId="77777777" w:rsidTr="00FA5171">
        <w:trPr>
          <w:trHeight w:val="263"/>
          <w:tblCellSpacing w:w="20" w:type="dxa"/>
        </w:trPr>
        <w:tc>
          <w:tcPr>
            <w:tcW w:w="2028" w:type="pct"/>
            <w:shd w:val="clear" w:color="auto" w:fill="D9D9D9"/>
          </w:tcPr>
          <w:p w14:paraId="4893B62B"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c>
          <w:tcPr>
            <w:tcW w:w="2908" w:type="pct"/>
            <w:shd w:val="clear" w:color="auto" w:fill="D9D9D9"/>
          </w:tcPr>
          <w:p w14:paraId="65C06291"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pt-BR" w:eastAsia="en-US"/>
              </w:rPr>
            </w:pPr>
          </w:p>
        </w:tc>
      </w:tr>
      <w:tr w:rsidR="00585A4B" w:rsidRPr="000D2F52" w14:paraId="34CB7C16" w14:textId="77777777" w:rsidTr="00FA5171">
        <w:trPr>
          <w:tblCellSpacing w:w="20" w:type="dxa"/>
        </w:trPr>
        <w:tc>
          <w:tcPr>
            <w:tcW w:w="2028" w:type="pct"/>
          </w:tcPr>
          <w:p w14:paraId="237F6A95" w14:textId="22D1239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Calibri"/>
                <w:sz w:val="24"/>
                <w:szCs w:val="24"/>
                <w:lang w:val="en-US" w:eastAsia="en-US"/>
              </w:rPr>
              <w:t xml:space="preserve">Pagina web a companiei </w:t>
            </w:r>
            <w:proofErr w:type="gramStart"/>
            <w:r w:rsidRPr="00585A4B">
              <w:rPr>
                <w:rFonts w:ascii="Arial Narrow" w:hAnsi="Arial Narrow" w:cs="Calibri"/>
                <w:sz w:val="24"/>
                <w:szCs w:val="24"/>
                <w:lang w:val="en-US" w:eastAsia="en-US"/>
              </w:rPr>
              <w:t>a</w:t>
            </w:r>
            <w:proofErr w:type="gramEnd"/>
            <w:r w:rsidRPr="00585A4B">
              <w:rPr>
                <w:rFonts w:ascii="Arial Narrow" w:hAnsi="Arial Narrow" w:cs="Calibri"/>
                <w:sz w:val="24"/>
                <w:szCs w:val="24"/>
                <w:lang w:val="en-US" w:eastAsia="en-US"/>
              </w:rPr>
              <w:t xml:space="preserve"> oferit informaţiile minime conform pct. 6 din Anexa VI la Regulamentul UE nr. 347/2013</w:t>
            </w:r>
          </w:p>
        </w:tc>
        <w:tc>
          <w:tcPr>
            <w:tcW w:w="2908" w:type="pct"/>
          </w:tcPr>
          <w:p w14:paraId="6A28A840" w14:textId="7AF34474"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Arial Narrow"/>
                <w:sz w:val="24"/>
                <w:szCs w:val="24"/>
                <w:lang w:val="en-US" w:eastAsia="en-US"/>
              </w:rPr>
              <w:t xml:space="preserve">S-au respectat prevederile punctului 6 </w:t>
            </w:r>
            <w:r w:rsidRPr="00585A4B">
              <w:rPr>
                <w:rFonts w:ascii="Arial Narrow" w:hAnsi="Arial Narrow" w:cs="Calibri"/>
                <w:sz w:val="24"/>
                <w:szCs w:val="24"/>
                <w:lang w:val="en-US" w:eastAsia="en-US"/>
              </w:rPr>
              <w:t xml:space="preserve">din Anexa VI la </w:t>
            </w:r>
            <w:r w:rsidRPr="00585A4B">
              <w:rPr>
                <w:rFonts w:ascii="Arial Narrow" w:hAnsi="Arial Narrow" w:cs="Arial Narrow"/>
                <w:sz w:val="24"/>
                <w:szCs w:val="24"/>
                <w:lang w:val="en-US" w:eastAsia="en-US"/>
              </w:rPr>
              <w:t xml:space="preserve">Regulamentului </w:t>
            </w:r>
            <w:r w:rsidRPr="00585A4B">
              <w:rPr>
                <w:rFonts w:ascii="Arial Narrow" w:hAnsi="Arial Narrow" w:cs="Calibri"/>
                <w:sz w:val="24"/>
                <w:szCs w:val="24"/>
                <w:lang w:val="en-US" w:eastAsia="en-US"/>
              </w:rPr>
              <w:t xml:space="preserve">UE nr. 347/2013 </w:t>
            </w:r>
            <w:r w:rsidRPr="00585A4B">
              <w:rPr>
                <w:rFonts w:ascii="Arial Narrow" w:hAnsi="Arial Narrow" w:cs="Arial Narrow"/>
                <w:sz w:val="24"/>
                <w:szCs w:val="24"/>
                <w:lang w:val="en-US" w:eastAsia="en-US"/>
              </w:rPr>
              <w:t>și s-a construit pagina web necesară comunicãrii transparente a detaliilor referitoare la proiect și mai ales a informațiilor legate de consultarea publicului conform Conceptului aprobat</w:t>
            </w:r>
          </w:p>
        </w:tc>
      </w:tr>
      <w:tr w:rsidR="00585A4B" w:rsidRPr="000D2F52" w14:paraId="3AA2193C" w14:textId="77777777" w:rsidTr="00FA5171">
        <w:trPr>
          <w:trHeight w:val="137"/>
          <w:tblCellSpacing w:w="20" w:type="dxa"/>
        </w:trPr>
        <w:tc>
          <w:tcPr>
            <w:tcW w:w="2028" w:type="pct"/>
            <w:shd w:val="clear" w:color="auto" w:fill="D9D9D9"/>
          </w:tcPr>
          <w:p w14:paraId="7D6433DA"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c>
          <w:tcPr>
            <w:tcW w:w="2908" w:type="pct"/>
            <w:shd w:val="clear" w:color="auto" w:fill="D9D9D9"/>
          </w:tcPr>
          <w:p w14:paraId="08262690"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r>
      <w:tr w:rsidR="00585A4B" w:rsidRPr="000D2F52" w14:paraId="7495F174" w14:textId="77777777" w:rsidTr="00FA5171">
        <w:trPr>
          <w:tblCellSpacing w:w="20" w:type="dxa"/>
        </w:trPr>
        <w:tc>
          <w:tcPr>
            <w:tcW w:w="2028" w:type="pct"/>
          </w:tcPr>
          <w:p w14:paraId="77AEF21A" w14:textId="34A2A0B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Calibri"/>
                <w:sz w:val="24"/>
                <w:szCs w:val="24"/>
                <w:lang w:val="en-US" w:eastAsia="en-US"/>
              </w:rPr>
              <w:t>Care a fost reacţia participanţilor prezenţi la consultarea publicã</w:t>
            </w:r>
          </w:p>
        </w:tc>
        <w:tc>
          <w:tcPr>
            <w:tcW w:w="2908" w:type="pct"/>
          </w:tcPr>
          <w:p w14:paraId="0D8AD173" w14:textId="341F89CB"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585A4B">
              <w:rPr>
                <w:rFonts w:ascii="Arial Narrow" w:hAnsi="Arial Narrow" w:cs="Arial Narrow"/>
                <w:sz w:val="24"/>
                <w:szCs w:val="24"/>
                <w:lang w:val="en-US" w:eastAsia="en-US"/>
              </w:rPr>
              <w:t xml:space="preserve">În fiecare din cele 12 locații, participanții au fost interesați de prezentarea proiectului, au cerut în mod direct detalii și lãmuriri cu privire la realizarea acestuia și cu privire la impactul pe care îl va avea acest proiect asupra proprietarilor de terenuri, asupra producãtorilor agricoli și asupra comunitãții în sens mai larg. </w:t>
            </w:r>
          </w:p>
          <w:p w14:paraId="2191E1F3" w14:textId="12BC8366"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Arial Narrow"/>
                <w:sz w:val="24"/>
                <w:szCs w:val="24"/>
                <w:lang w:val="en-US" w:eastAsia="en-US"/>
              </w:rPr>
              <w:t>Participanții la consultările publice s-au manifestat onest, constructiv, în deplinã înțelegere a rolului sesiunii de consultarea a publicului, dar cu solicitarea de a fi informaţi. Uneori, unii dintre participanți au ridicat și probleme care depãșeau cadrul consultãrilor publice asupra proiectului BRUA, iar în aceste situații au fost consiliați și îndrumați spre o bunã și corectã informare la sursele specifice.</w:t>
            </w:r>
          </w:p>
        </w:tc>
      </w:tr>
      <w:tr w:rsidR="00585A4B" w:rsidRPr="000D2F52" w14:paraId="706A16AD" w14:textId="77777777" w:rsidTr="00FA5171">
        <w:trPr>
          <w:tblCellSpacing w:w="20" w:type="dxa"/>
        </w:trPr>
        <w:tc>
          <w:tcPr>
            <w:tcW w:w="2028" w:type="pct"/>
            <w:shd w:val="clear" w:color="auto" w:fill="D9D9D9"/>
          </w:tcPr>
          <w:p w14:paraId="375CE89A"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c>
          <w:tcPr>
            <w:tcW w:w="2908" w:type="pct"/>
            <w:shd w:val="clear" w:color="auto" w:fill="D9D9D9"/>
          </w:tcPr>
          <w:p w14:paraId="0254205C"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p>
        </w:tc>
      </w:tr>
      <w:tr w:rsidR="00585A4B" w:rsidRPr="000D2F52" w14:paraId="0B511307" w14:textId="77777777" w:rsidTr="00FA5171">
        <w:trPr>
          <w:tblCellSpacing w:w="20" w:type="dxa"/>
        </w:trPr>
        <w:tc>
          <w:tcPr>
            <w:tcW w:w="2028" w:type="pct"/>
          </w:tcPr>
          <w:p w14:paraId="30F4DFF7"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p w14:paraId="3D40CD8A" w14:textId="6509904E"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Calibri"/>
                <w:sz w:val="24"/>
                <w:szCs w:val="24"/>
                <w:lang w:val="en-US" w:eastAsia="en-US"/>
              </w:rPr>
              <w:lastRenderedPageBreak/>
              <w:t>Care au fost cele mai frecvente întrebãri adresate de pãrţile abordate prezente la consultarea publicã</w:t>
            </w:r>
          </w:p>
        </w:tc>
        <w:tc>
          <w:tcPr>
            <w:tcW w:w="2908" w:type="pct"/>
          </w:tcPr>
          <w:p w14:paraId="7A19F38E"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585A4B">
              <w:rPr>
                <w:rFonts w:ascii="Arial Narrow" w:hAnsi="Arial Narrow" w:cs="Arial Narrow"/>
                <w:sz w:val="24"/>
                <w:szCs w:val="24"/>
                <w:lang w:val="en-US" w:eastAsia="en-US"/>
              </w:rPr>
              <w:lastRenderedPageBreak/>
              <w:t xml:space="preserve">Exemple de întrebãri cel mai frecvent utilizate: </w:t>
            </w:r>
          </w:p>
          <w:p w14:paraId="50A19947"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585A4B">
              <w:rPr>
                <w:rFonts w:ascii="Arial Narrow" w:hAnsi="Arial Narrow" w:cs="Arial Narrow"/>
                <w:sz w:val="24"/>
                <w:szCs w:val="24"/>
                <w:lang w:val="en-US" w:eastAsia="en-US"/>
              </w:rPr>
              <w:lastRenderedPageBreak/>
              <w:t>"Când va începe construcția conductei în localitatea noastrã?</w:t>
            </w:r>
            <w:proofErr w:type="gramStart"/>
            <w:r w:rsidRPr="00585A4B">
              <w:rPr>
                <w:rFonts w:ascii="Arial Narrow" w:hAnsi="Arial Narrow" w:cs="Arial Narrow"/>
                <w:sz w:val="24"/>
                <w:szCs w:val="24"/>
                <w:lang w:val="en-US" w:eastAsia="en-US"/>
              </w:rPr>
              <w:t>",</w:t>
            </w:r>
            <w:proofErr w:type="gramEnd"/>
            <w:r w:rsidRPr="00585A4B">
              <w:rPr>
                <w:rFonts w:ascii="Arial Narrow" w:hAnsi="Arial Narrow" w:cs="Arial Narrow"/>
                <w:sz w:val="24"/>
                <w:szCs w:val="24"/>
                <w:lang w:val="en-US" w:eastAsia="en-US"/>
              </w:rPr>
              <w:t xml:space="preserve"> </w:t>
            </w:r>
          </w:p>
          <w:p w14:paraId="62821B06"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585A4B">
              <w:rPr>
                <w:rFonts w:ascii="Arial Narrow" w:hAnsi="Arial Narrow" w:cs="Arial Narrow"/>
                <w:sz w:val="24"/>
                <w:szCs w:val="24"/>
                <w:lang w:val="en-US" w:eastAsia="en-US"/>
              </w:rPr>
              <w:t>"De unde încep lucrãrile și cum se desfãșoarã?</w:t>
            </w:r>
            <w:proofErr w:type="gramStart"/>
            <w:r w:rsidRPr="00585A4B">
              <w:rPr>
                <w:rFonts w:ascii="Arial Narrow" w:hAnsi="Arial Narrow" w:cs="Arial Narrow"/>
                <w:sz w:val="24"/>
                <w:szCs w:val="24"/>
                <w:lang w:val="en-US" w:eastAsia="en-US"/>
              </w:rPr>
              <w:t>",</w:t>
            </w:r>
            <w:proofErr w:type="gramEnd"/>
            <w:r w:rsidRPr="00585A4B">
              <w:rPr>
                <w:rFonts w:ascii="Arial Narrow" w:hAnsi="Arial Narrow" w:cs="Arial Narrow"/>
                <w:sz w:val="24"/>
                <w:szCs w:val="24"/>
                <w:lang w:val="en-US" w:eastAsia="en-US"/>
              </w:rPr>
              <w:t xml:space="preserve"> </w:t>
            </w:r>
          </w:p>
          <w:p w14:paraId="3453940A"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it-IT" w:eastAsia="en-US"/>
              </w:rPr>
            </w:pPr>
            <w:r w:rsidRPr="00585A4B">
              <w:rPr>
                <w:rFonts w:ascii="Arial Narrow" w:hAnsi="Arial Narrow" w:cs="Arial Narrow"/>
                <w:sz w:val="24"/>
                <w:szCs w:val="24"/>
                <w:lang w:val="it-IT" w:eastAsia="en-US"/>
              </w:rPr>
              <w:t xml:space="preserve">"Care sunt caracteristicile conductei?", </w:t>
            </w:r>
          </w:p>
          <w:p w14:paraId="05631BD4"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it-IT" w:eastAsia="en-US"/>
              </w:rPr>
            </w:pPr>
            <w:r w:rsidRPr="00585A4B">
              <w:rPr>
                <w:rFonts w:ascii="Arial Narrow" w:hAnsi="Arial Narrow" w:cs="Arial Narrow"/>
                <w:sz w:val="24"/>
                <w:szCs w:val="24"/>
                <w:lang w:val="it-IT" w:eastAsia="en-US"/>
              </w:rPr>
              <w:t xml:space="preserve">"Ce beneficii va aduce proiectul pentru proprietari / producãtori în parte?", </w:t>
            </w:r>
          </w:p>
          <w:p w14:paraId="462F3F79"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it-IT" w:eastAsia="en-US"/>
              </w:rPr>
            </w:pPr>
            <w:r w:rsidRPr="00585A4B">
              <w:rPr>
                <w:rFonts w:ascii="Arial Narrow" w:hAnsi="Arial Narrow" w:cs="Arial Narrow"/>
                <w:sz w:val="24"/>
                <w:szCs w:val="24"/>
                <w:lang w:val="it-IT" w:eastAsia="en-US"/>
              </w:rPr>
              <w:t xml:space="preserve">"Cum va sprijini Transgaz comunitatea localã prin care trece conducta?", </w:t>
            </w:r>
          </w:p>
          <w:p w14:paraId="1DA2EC49"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it-IT" w:eastAsia="en-US"/>
              </w:rPr>
            </w:pPr>
            <w:r w:rsidRPr="00585A4B">
              <w:rPr>
                <w:rFonts w:ascii="Arial Narrow" w:hAnsi="Arial Narrow" w:cs="Arial Narrow"/>
                <w:sz w:val="24"/>
                <w:szCs w:val="24"/>
                <w:lang w:val="it-IT" w:eastAsia="en-US"/>
              </w:rPr>
              <w:t xml:space="preserve">"Cum va fi afectat terenul fiecãrui proprietar? </w:t>
            </w:r>
          </w:p>
          <w:p w14:paraId="0E4F7282"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it-IT" w:eastAsia="en-US"/>
              </w:rPr>
            </w:pPr>
            <w:r w:rsidRPr="00585A4B">
              <w:rPr>
                <w:rFonts w:ascii="Arial Narrow" w:hAnsi="Arial Narrow" w:cs="Arial Narrow"/>
                <w:sz w:val="24"/>
                <w:szCs w:val="24"/>
                <w:lang w:val="it-IT" w:eastAsia="en-US"/>
              </w:rPr>
              <w:t xml:space="preserve">“Care este traseul în fiecare localitate în parte?", </w:t>
            </w:r>
          </w:p>
          <w:p w14:paraId="18E88B5E"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585A4B">
              <w:rPr>
                <w:rFonts w:ascii="Arial Narrow" w:hAnsi="Arial Narrow" w:cs="Arial Narrow"/>
                <w:sz w:val="24"/>
                <w:szCs w:val="24"/>
                <w:lang w:val="en-US" w:eastAsia="en-US"/>
              </w:rPr>
              <w:t>"Ce despãgubiri concrete se acordã pe terenuri și pe recolte?</w:t>
            </w:r>
            <w:proofErr w:type="gramStart"/>
            <w:r w:rsidRPr="00585A4B">
              <w:rPr>
                <w:rFonts w:ascii="Arial Narrow" w:hAnsi="Arial Narrow" w:cs="Arial Narrow"/>
                <w:sz w:val="24"/>
                <w:szCs w:val="24"/>
                <w:lang w:val="en-US" w:eastAsia="en-US"/>
              </w:rPr>
              <w:t>",</w:t>
            </w:r>
            <w:proofErr w:type="gramEnd"/>
            <w:r w:rsidRPr="00585A4B">
              <w:rPr>
                <w:rFonts w:ascii="Arial Narrow" w:hAnsi="Arial Narrow" w:cs="Arial Narrow"/>
                <w:sz w:val="24"/>
                <w:szCs w:val="24"/>
                <w:lang w:val="en-US" w:eastAsia="en-US"/>
              </w:rPr>
              <w:t xml:space="preserve"> </w:t>
            </w:r>
          </w:p>
          <w:p w14:paraId="2C375A16"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r w:rsidRPr="00585A4B">
              <w:rPr>
                <w:rFonts w:ascii="Arial Narrow" w:hAnsi="Arial Narrow" w:cs="Arial Narrow"/>
                <w:sz w:val="24"/>
                <w:szCs w:val="24"/>
                <w:lang w:val="en-US" w:eastAsia="en-US"/>
              </w:rPr>
              <w:t>"Cine primește despãgubirile?</w:t>
            </w:r>
            <w:proofErr w:type="gramStart"/>
            <w:r w:rsidRPr="00585A4B">
              <w:rPr>
                <w:rFonts w:ascii="Arial Narrow" w:hAnsi="Arial Narrow" w:cs="Arial Narrow"/>
                <w:sz w:val="24"/>
                <w:szCs w:val="24"/>
                <w:lang w:val="en-US" w:eastAsia="en-US"/>
              </w:rPr>
              <w:t>".</w:t>
            </w:r>
            <w:proofErr w:type="gramEnd"/>
          </w:p>
          <w:p w14:paraId="6287B5AA"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Arial Narrow"/>
                <w:sz w:val="24"/>
                <w:szCs w:val="24"/>
                <w:lang w:val="en-US" w:eastAsia="en-US"/>
              </w:rPr>
              <w:t>"Ce se întâmplã cu infrastructura localã?"</w:t>
            </w:r>
          </w:p>
        </w:tc>
      </w:tr>
      <w:tr w:rsidR="00585A4B" w:rsidRPr="000D2F52" w14:paraId="47B29655" w14:textId="77777777" w:rsidTr="00FA5171">
        <w:trPr>
          <w:tblCellSpacing w:w="20" w:type="dxa"/>
        </w:trPr>
        <w:tc>
          <w:tcPr>
            <w:tcW w:w="2028" w:type="pct"/>
            <w:shd w:val="clear" w:color="auto" w:fill="D9D9D9"/>
          </w:tcPr>
          <w:p w14:paraId="4053A5F8" w14:textId="77777777" w:rsidR="00585A4B" w:rsidRPr="007A4F7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c>
          <w:tcPr>
            <w:tcW w:w="2908" w:type="pct"/>
            <w:shd w:val="clear" w:color="auto" w:fill="D9D9D9"/>
          </w:tcPr>
          <w:p w14:paraId="6412FE4C" w14:textId="77777777" w:rsidR="00585A4B" w:rsidRPr="007A4F7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en-US" w:eastAsia="en-US"/>
              </w:rPr>
            </w:pPr>
          </w:p>
        </w:tc>
      </w:tr>
      <w:tr w:rsidR="00585A4B" w:rsidRPr="009A1ED3" w14:paraId="2E4397F2" w14:textId="77777777" w:rsidTr="00FA5171">
        <w:trPr>
          <w:trHeight w:val="110"/>
          <w:tblCellSpacing w:w="20" w:type="dxa"/>
        </w:trPr>
        <w:tc>
          <w:tcPr>
            <w:tcW w:w="2028" w:type="pct"/>
          </w:tcPr>
          <w:p w14:paraId="293E03DC"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t>Cum s-a rãspuns întrebãrilor adresate</w:t>
            </w:r>
          </w:p>
        </w:tc>
        <w:tc>
          <w:tcPr>
            <w:tcW w:w="2908" w:type="pct"/>
          </w:tcPr>
          <w:p w14:paraId="4B26E59D" w14:textId="70E9015B"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Arial Narrow"/>
                <w:sz w:val="24"/>
                <w:szCs w:val="24"/>
                <w:lang w:val="pt-BR" w:eastAsia="en-US"/>
              </w:rPr>
              <w:t>La fiecare întrebare în parte rãspunsul a fost dat de cãtre expertul desemnat din cadrul echipei operative, astfel încât lãmuririle sã se facã profesionist și la obiect. În cazul întrebãrilor care necesitau documentare mai amplã sau un răspuns elaborat, acestea au fost preluate și în scris, cu promisiunea fermã a unui rãspuns complet și transparent. Experții s-au susținut și completat reciproc în vederea realizãrii unui rãspuns clar și complet, mulțumitor și lãmuritor pentru audiențã, publicul fiind sistematic impulsionat sã adreseze întrebãri membrilor echipei.</w:t>
            </w:r>
          </w:p>
        </w:tc>
      </w:tr>
      <w:tr w:rsidR="00585A4B" w:rsidRPr="009A1ED3" w14:paraId="4E3B758C" w14:textId="77777777" w:rsidTr="00FA5171">
        <w:trPr>
          <w:trHeight w:val="110"/>
          <w:tblCellSpacing w:w="20" w:type="dxa"/>
        </w:trPr>
        <w:tc>
          <w:tcPr>
            <w:tcW w:w="2028" w:type="pct"/>
            <w:shd w:val="clear" w:color="auto" w:fill="D9D9D9"/>
          </w:tcPr>
          <w:p w14:paraId="7228E592"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c>
          <w:tcPr>
            <w:tcW w:w="2908" w:type="pct"/>
            <w:shd w:val="clear" w:color="auto" w:fill="D9D9D9"/>
          </w:tcPr>
          <w:p w14:paraId="25FBF6E5"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pt-BR" w:eastAsia="en-US"/>
              </w:rPr>
            </w:pPr>
          </w:p>
        </w:tc>
      </w:tr>
      <w:tr w:rsidR="00585A4B" w:rsidRPr="009A1ED3" w14:paraId="587BB409" w14:textId="77777777" w:rsidTr="00FA5171">
        <w:trPr>
          <w:trHeight w:val="110"/>
          <w:tblCellSpacing w:w="20" w:type="dxa"/>
        </w:trPr>
        <w:tc>
          <w:tcPr>
            <w:tcW w:w="2028" w:type="pct"/>
          </w:tcPr>
          <w:p w14:paraId="5A196B34" w14:textId="35E5E48A"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r w:rsidRPr="00585A4B">
              <w:rPr>
                <w:rFonts w:ascii="Arial Narrow" w:hAnsi="Arial Narrow" w:cs="Calibri"/>
                <w:sz w:val="24"/>
                <w:szCs w:val="24"/>
                <w:lang w:val="fr-FR" w:eastAsia="en-US"/>
              </w:rPr>
              <w:t>Cum au fost colectate recomandãrile, observaţiile, propunerile</w:t>
            </w:r>
          </w:p>
        </w:tc>
        <w:tc>
          <w:tcPr>
            <w:tcW w:w="2908" w:type="pct"/>
          </w:tcPr>
          <w:p w14:paraId="1C328096" w14:textId="67CB445D"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r w:rsidRPr="00585A4B">
              <w:rPr>
                <w:rFonts w:ascii="Arial Narrow" w:hAnsi="Arial Narrow" w:cs="Calibri"/>
                <w:sz w:val="24"/>
                <w:szCs w:val="24"/>
                <w:lang w:val="fr-FR" w:eastAsia="en-US"/>
              </w:rPr>
              <w:t>A existat pe pagina web a companiei un link dedicat unde a fost postat formularul de recomandãri şi propuneri şi care s-a putut descãrca, completa şi transmite la companie, în atenţia persoanelor de contact menţionate.</w:t>
            </w:r>
            <w:r w:rsidRPr="00585A4B">
              <w:rPr>
                <w:rFonts w:ascii="Arial Narrow" w:hAnsi="Arial Narrow" w:cs="Arial Narrow"/>
                <w:sz w:val="24"/>
                <w:szCs w:val="24"/>
                <w:lang w:val="fr-FR" w:eastAsia="en-US"/>
              </w:rPr>
              <w:t xml:space="preserve"> Recomandãrile, observațiile, propunerile primite de la participanţi au fost consemnate în procesul verbal al fiecãrei consultãri publice și prin intermediul formularului FIŞA DE ÎNTREBĂRI completate, conform celor stipulate în Conceptul privind participarea publicului aprobat</w:t>
            </w:r>
          </w:p>
        </w:tc>
      </w:tr>
      <w:tr w:rsidR="00585A4B" w:rsidRPr="009A1ED3" w14:paraId="3F0EC1DE" w14:textId="77777777" w:rsidTr="00FA5171">
        <w:trPr>
          <w:trHeight w:val="110"/>
          <w:tblCellSpacing w:w="20" w:type="dxa"/>
        </w:trPr>
        <w:tc>
          <w:tcPr>
            <w:tcW w:w="2028" w:type="pct"/>
            <w:shd w:val="clear" w:color="auto" w:fill="D9D9D9"/>
          </w:tcPr>
          <w:p w14:paraId="1CB6AA4B"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p>
        </w:tc>
        <w:tc>
          <w:tcPr>
            <w:tcW w:w="2908" w:type="pct"/>
            <w:shd w:val="clear" w:color="auto" w:fill="D9D9D9"/>
          </w:tcPr>
          <w:p w14:paraId="26AFBDBD"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p>
        </w:tc>
      </w:tr>
      <w:tr w:rsidR="00585A4B" w:rsidRPr="009A1ED3" w14:paraId="27392305" w14:textId="77777777" w:rsidTr="00FA5171">
        <w:trPr>
          <w:trHeight w:val="110"/>
          <w:tblCellSpacing w:w="20" w:type="dxa"/>
        </w:trPr>
        <w:tc>
          <w:tcPr>
            <w:tcW w:w="2028" w:type="pct"/>
          </w:tcPr>
          <w:p w14:paraId="3A894F05" w14:textId="7C0A894F"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t>Care a fost numãrul de recomandãri, observaţii, propuneri colectate</w:t>
            </w:r>
          </w:p>
        </w:tc>
        <w:tc>
          <w:tcPr>
            <w:tcW w:w="2908" w:type="pct"/>
          </w:tcPr>
          <w:p w14:paraId="3ABAB186" w14:textId="5F08C35B"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585A4B">
              <w:rPr>
                <w:rFonts w:ascii="Arial Narrow" w:hAnsi="Arial Narrow" w:cs="Calibri"/>
                <w:sz w:val="24"/>
                <w:szCs w:val="24"/>
                <w:lang w:val="pt-BR" w:eastAsia="en-US"/>
              </w:rPr>
              <w:t xml:space="preserve">Majoritatea pãrţilor interesate afectate dar şi unele pãrţi relevante au preferat sã transmitã în mod direct </w:t>
            </w:r>
            <w:r w:rsidRPr="00585A4B">
              <w:rPr>
                <w:rFonts w:ascii="Arial Narrow" w:hAnsi="Arial Narrow" w:cs="Calibri"/>
                <w:sz w:val="24"/>
                <w:szCs w:val="24"/>
                <w:lang w:val="en-US" w:eastAsia="en-US"/>
              </w:rPr>
              <w:t xml:space="preserve">întrebări. Nu au fost </w:t>
            </w:r>
            <w:r w:rsidRPr="00585A4B">
              <w:rPr>
                <w:rFonts w:ascii="Arial Narrow" w:hAnsi="Arial Narrow" w:cs="Calibri"/>
                <w:sz w:val="24"/>
                <w:szCs w:val="24"/>
                <w:lang w:val="pt-BR" w:eastAsia="en-US"/>
              </w:rPr>
              <w:t>observaţii sau recomandãri ci doar o singură propunere venită din partea unui proprietar de teren şi anume propunerea de î</w:t>
            </w:r>
            <w:r w:rsidRPr="00585A4B">
              <w:rPr>
                <w:rFonts w:ascii="Arial Narrow" w:hAnsi="Arial Narrow" w:cs="Calibri"/>
                <w:i/>
                <w:sz w:val="24"/>
                <w:szCs w:val="24"/>
                <w:lang w:val="pt-BR" w:eastAsia="en-US"/>
              </w:rPr>
              <w:t>nscriere în formularul Conventie care se incheie cu proprietarii a distanţei de la conductă de la care se poate construi</w:t>
            </w:r>
            <w:r w:rsidRPr="00585A4B">
              <w:rPr>
                <w:rFonts w:ascii="Arial Narrow" w:hAnsi="Arial Narrow" w:cs="Calibri"/>
                <w:sz w:val="24"/>
                <w:szCs w:val="24"/>
                <w:lang w:val="pt-BR" w:eastAsia="en-US"/>
              </w:rPr>
              <w:t>. Precizăm faptul că întrebările adresate precum şi propunerea se regăsesc în procesele verbale încheiate.</w:t>
            </w:r>
          </w:p>
        </w:tc>
      </w:tr>
      <w:tr w:rsidR="00585A4B" w:rsidRPr="009A1ED3" w14:paraId="64EFDAE4" w14:textId="77777777" w:rsidTr="00FA5171">
        <w:trPr>
          <w:trHeight w:val="110"/>
          <w:tblCellSpacing w:w="20" w:type="dxa"/>
        </w:trPr>
        <w:tc>
          <w:tcPr>
            <w:tcW w:w="2028" w:type="pct"/>
            <w:shd w:val="clear" w:color="auto" w:fill="D9D9D9"/>
          </w:tcPr>
          <w:p w14:paraId="56013947" w14:textId="77777777" w:rsidR="00585A4B" w:rsidRPr="00B3596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c>
          <w:tcPr>
            <w:tcW w:w="2908" w:type="pct"/>
            <w:shd w:val="clear" w:color="auto" w:fill="D9D9D9"/>
          </w:tcPr>
          <w:p w14:paraId="07FF370E" w14:textId="77777777" w:rsidR="00585A4B" w:rsidRPr="00B3596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r>
      <w:tr w:rsidR="00585A4B" w:rsidRPr="000D2F52" w14:paraId="315D75BA" w14:textId="77777777" w:rsidTr="00FA5171">
        <w:trPr>
          <w:trHeight w:val="110"/>
          <w:tblCellSpacing w:w="20" w:type="dxa"/>
        </w:trPr>
        <w:tc>
          <w:tcPr>
            <w:tcW w:w="2028" w:type="pct"/>
          </w:tcPr>
          <w:p w14:paraId="60AD4F9E"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Calibri"/>
                <w:sz w:val="24"/>
                <w:szCs w:val="24"/>
                <w:lang w:val="en-US" w:eastAsia="en-US"/>
              </w:rPr>
              <w:t>Moderarea consultãrii publice a fost eficientã</w:t>
            </w:r>
          </w:p>
        </w:tc>
        <w:tc>
          <w:tcPr>
            <w:tcW w:w="2908" w:type="pct"/>
          </w:tcPr>
          <w:p w14:paraId="73D444B9" w14:textId="56B0DA00"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Arial Narrow"/>
                <w:sz w:val="24"/>
                <w:szCs w:val="24"/>
                <w:lang w:val="en-US" w:eastAsia="en-US"/>
              </w:rPr>
              <w:t xml:space="preserve">Moderarea a fost efectuatã profesionist, eficient, în unicul scop al facilitãrii dialogului dintre audiențã și echipa de experți Transgaz, al realizãrii unei relații constructive și </w:t>
            </w:r>
            <w:r w:rsidRPr="00585A4B">
              <w:rPr>
                <w:rFonts w:ascii="Arial Narrow" w:hAnsi="Arial Narrow" w:cs="Arial Narrow"/>
                <w:sz w:val="24"/>
                <w:szCs w:val="24"/>
                <w:lang w:val="en-US" w:eastAsia="en-US"/>
              </w:rPr>
              <w:lastRenderedPageBreak/>
              <w:t>pozitive între pãrțile afectate abordate și reprezentanții Transgaz, al asigurării transparenței și informării corecte și complete a publicului.</w:t>
            </w:r>
          </w:p>
        </w:tc>
      </w:tr>
      <w:tr w:rsidR="00585A4B" w:rsidRPr="000D2F52" w14:paraId="2EA900F1" w14:textId="77777777" w:rsidTr="00FA5171">
        <w:trPr>
          <w:trHeight w:val="110"/>
          <w:tblCellSpacing w:w="20" w:type="dxa"/>
        </w:trPr>
        <w:tc>
          <w:tcPr>
            <w:tcW w:w="2028" w:type="pct"/>
            <w:shd w:val="clear" w:color="auto" w:fill="D9D9D9"/>
          </w:tcPr>
          <w:p w14:paraId="697A389C" w14:textId="77777777" w:rsidR="00585A4B" w:rsidRPr="007A4F7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c>
          <w:tcPr>
            <w:tcW w:w="2908" w:type="pct"/>
            <w:shd w:val="clear" w:color="auto" w:fill="D9D9D9"/>
          </w:tcPr>
          <w:p w14:paraId="10DAA2EC" w14:textId="77777777" w:rsidR="00585A4B" w:rsidRPr="007A4F7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en-US" w:eastAsia="en-US"/>
              </w:rPr>
            </w:pPr>
          </w:p>
        </w:tc>
      </w:tr>
      <w:tr w:rsidR="00585A4B" w:rsidRPr="000D2F52" w14:paraId="5930DE75" w14:textId="77777777" w:rsidTr="00FA5171">
        <w:trPr>
          <w:trHeight w:val="110"/>
          <w:tblCellSpacing w:w="20" w:type="dxa"/>
        </w:trPr>
        <w:tc>
          <w:tcPr>
            <w:tcW w:w="2028" w:type="pct"/>
          </w:tcPr>
          <w:p w14:paraId="2495E2C9" w14:textId="0EDC20D3"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Calibri"/>
                <w:sz w:val="24"/>
                <w:szCs w:val="24"/>
                <w:lang w:val="en-US" w:eastAsia="en-US"/>
              </w:rPr>
              <w:t xml:space="preserve">Au existat obiecţii privind modul de comunicare, organizare şi desfãşurare al consultãrii publice  </w:t>
            </w:r>
          </w:p>
        </w:tc>
        <w:tc>
          <w:tcPr>
            <w:tcW w:w="2908" w:type="pct"/>
          </w:tcPr>
          <w:p w14:paraId="252A0C91" w14:textId="2DE3F08E"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Arial Narrow"/>
                <w:sz w:val="24"/>
                <w:szCs w:val="24"/>
                <w:lang w:val="en-US" w:eastAsia="en-US"/>
              </w:rPr>
              <w:t xml:space="preserve">Au existat sugestii legate de modul de anunțare și de comunicare </w:t>
            </w:r>
            <w:proofErr w:type="gramStart"/>
            <w:r w:rsidRPr="00585A4B">
              <w:rPr>
                <w:rFonts w:ascii="Arial Narrow" w:hAnsi="Arial Narrow" w:cs="Arial Narrow"/>
                <w:sz w:val="24"/>
                <w:szCs w:val="24"/>
                <w:lang w:val="en-US" w:eastAsia="en-US"/>
              </w:rPr>
              <w:t>a</w:t>
            </w:r>
            <w:proofErr w:type="gramEnd"/>
            <w:r w:rsidRPr="00585A4B">
              <w:rPr>
                <w:rFonts w:ascii="Arial Narrow" w:hAnsi="Arial Narrow" w:cs="Arial Narrow"/>
                <w:sz w:val="24"/>
                <w:szCs w:val="24"/>
                <w:lang w:val="en-US" w:eastAsia="en-US"/>
              </w:rPr>
              <w:t xml:space="preserve"> informațiilor cu privire la realizarea conductei BRUA faza 1. Nu au existat obiecții cu privire la organizarea și desfãșurarea în diversele locații (primãrii, cãmine culturale, școli) a consultãrii publice. </w:t>
            </w:r>
          </w:p>
        </w:tc>
      </w:tr>
      <w:tr w:rsidR="00585A4B" w:rsidRPr="000D2F52" w14:paraId="21FD8D50" w14:textId="77777777" w:rsidTr="00FA5171">
        <w:trPr>
          <w:trHeight w:val="110"/>
          <w:tblCellSpacing w:w="20" w:type="dxa"/>
        </w:trPr>
        <w:tc>
          <w:tcPr>
            <w:tcW w:w="2028" w:type="pct"/>
            <w:shd w:val="clear" w:color="auto" w:fill="D9D9D9"/>
          </w:tcPr>
          <w:p w14:paraId="42D308CB"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c>
          <w:tcPr>
            <w:tcW w:w="2908" w:type="pct"/>
            <w:shd w:val="clear" w:color="auto" w:fill="D9D9D9"/>
          </w:tcPr>
          <w:p w14:paraId="350528DE" w14:textId="77777777"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 w:val="24"/>
                <w:szCs w:val="24"/>
                <w:lang w:val="en-US" w:eastAsia="en-US"/>
              </w:rPr>
            </w:pPr>
          </w:p>
        </w:tc>
      </w:tr>
      <w:tr w:rsidR="00585A4B" w:rsidRPr="000D2F52" w14:paraId="016AD9C5" w14:textId="77777777" w:rsidTr="00FA5171">
        <w:trPr>
          <w:trHeight w:val="110"/>
          <w:tblCellSpacing w:w="20" w:type="dxa"/>
        </w:trPr>
        <w:tc>
          <w:tcPr>
            <w:tcW w:w="2028" w:type="pct"/>
          </w:tcPr>
          <w:p w14:paraId="35BE92C2" w14:textId="1C905061"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Calibri"/>
                <w:sz w:val="24"/>
                <w:szCs w:val="24"/>
                <w:lang w:val="en-US" w:eastAsia="en-US"/>
              </w:rPr>
              <w:t xml:space="preserve">Au fost discuţii antagonice în timpul consultãrii publice.Care a fost motivul </w:t>
            </w:r>
          </w:p>
        </w:tc>
        <w:tc>
          <w:tcPr>
            <w:tcW w:w="2908" w:type="pct"/>
          </w:tcPr>
          <w:p w14:paraId="6B10DFE9" w14:textId="28BB29FD" w:rsidR="00585A4B" w:rsidRPr="00585A4B"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585A4B">
              <w:rPr>
                <w:rFonts w:ascii="Arial Narrow" w:hAnsi="Arial Narrow" w:cs="Arial Narrow"/>
                <w:sz w:val="24"/>
                <w:szCs w:val="24"/>
                <w:lang w:val="en-US" w:eastAsia="en-US"/>
              </w:rPr>
              <w:t xml:space="preserve">Au fost câteva cazuri în care au existat discuţii antagonice. Cel mai adesea, motivul discuțiilor antagonice a fost generat de neîncrederea unor proprietari de terenuri în justa despãgubire a lor, invocându-se un istoric al relațiilor dintre proprietari și diverse proiecte de amploare din trecut care le-a afectat terenurile şi ei nu au fost despãgubiţi cum trebuie sau chiar deloc. </w:t>
            </w:r>
          </w:p>
        </w:tc>
      </w:tr>
      <w:tr w:rsidR="00585A4B" w:rsidRPr="000D2F52" w14:paraId="1752E7EE" w14:textId="77777777" w:rsidTr="00FA5171">
        <w:trPr>
          <w:trHeight w:val="110"/>
          <w:tblCellSpacing w:w="20" w:type="dxa"/>
        </w:trPr>
        <w:tc>
          <w:tcPr>
            <w:tcW w:w="2028" w:type="pct"/>
            <w:shd w:val="clear" w:color="auto" w:fill="D9D9D9"/>
          </w:tcPr>
          <w:p w14:paraId="7B31123C" w14:textId="77777777" w:rsidR="00585A4B" w:rsidRPr="007A4F7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p>
        </w:tc>
        <w:tc>
          <w:tcPr>
            <w:tcW w:w="2908" w:type="pct"/>
            <w:shd w:val="clear" w:color="auto" w:fill="D9D9D9"/>
          </w:tcPr>
          <w:p w14:paraId="2495866E" w14:textId="77777777" w:rsidR="00585A4B" w:rsidRPr="007A4F7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en-US" w:eastAsia="en-US"/>
              </w:rPr>
            </w:pPr>
          </w:p>
        </w:tc>
      </w:tr>
      <w:tr w:rsidR="00585A4B" w:rsidRPr="000D2F52" w14:paraId="41D141AA" w14:textId="77777777" w:rsidTr="00FA5171">
        <w:trPr>
          <w:trHeight w:val="110"/>
          <w:tblCellSpacing w:w="20" w:type="dxa"/>
        </w:trPr>
        <w:tc>
          <w:tcPr>
            <w:tcW w:w="2028" w:type="pct"/>
            <w:shd w:val="clear" w:color="auto" w:fill="auto"/>
          </w:tcPr>
          <w:p w14:paraId="2E745EDA" w14:textId="60D56122" w:rsidR="00585A4B" w:rsidRPr="007A4F7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327BC1">
              <w:rPr>
                <w:rFonts w:ascii="Arial Narrow" w:hAnsi="Arial Narrow" w:cs="Calibri"/>
                <w:sz w:val="24"/>
                <w:szCs w:val="24"/>
                <w:lang w:val="pt-BR" w:eastAsia="en-US"/>
              </w:rPr>
              <w:t>Cum s-a aplanat acest gen de discu</w:t>
            </w:r>
            <w:r>
              <w:rPr>
                <w:rFonts w:ascii="Arial Narrow" w:hAnsi="Arial Narrow" w:cs="Calibri"/>
                <w:sz w:val="24"/>
                <w:szCs w:val="24"/>
                <w:lang w:val="pt-BR" w:eastAsia="en-US"/>
              </w:rPr>
              <w:t>ţ</w:t>
            </w:r>
            <w:r w:rsidRPr="00327BC1">
              <w:rPr>
                <w:rFonts w:ascii="Arial Narrow" w:hAnsi="Arial Narrow" w:cs="Calibri"/>
                <w:sz w:val="24"/>
                <w:szCs w:val="24"/>
                <w:lang w:val="pt-BR" w:eastAsia="en-US"/>
              </w:rPr>
              <w:t>ii</w:t>
            </w:r>
          </w:p>
        </w:tc>
        <w:tc>
          <w:tcPr>
            <w:tcW w:w="2908" w:type="pct"/>
            <w:shd w:val="clear" w:color="auto" w:fill="auto"/>
          </w:tcPr>
          <w:p w14:paraId="4167AFD4" w14:textId="74FC3F4C" w:rsidR="00585A4B" w:rsidRPr="007A4F7A"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en-US" w:eastAsia="en-US"/>
              </w:rPr>
            </w:pPr>
            <w:r w:rsidRPr="00327BC1">
              <w:rPr>
                <w:rFonts w:ascii="Arial Narrow" w:hAnsi="Arial Narrow" w:cs="Arial Narrow"/>
                <w:szCs w:val="22"/>
                <w:lang w:val="pt-BR" w:eastAsia="en-US"/>
              </w:rPr>
              <w:t>Atât experții prezenți, reprezentanții autoritãților publice locale prezente cât și moderatorul au subliniat regulamentele, procedurile și legislația europeanã și naționalã care impune responsabilitate maximã în realizarea acestui proiect european în deplinã corectitudine și parteneriat cu comunitãțile locale pe unde trece conducta. Publicul a fost de altfel încurajat sã perceapã prezența echipei Transgaz și de altfel organizarea Consultãrii publice pe un astfel de fundament al parteneriatului robust și al transparenței depline, prezența echipei în rândul comunitãților fiind una dintre dovezile cu privire la filosofia de responsabiltate deplinã pe care promotorul proiectului o aplicã în relația cu comunitatea S-au identificat totodatã problemele din trecut care cauzeazã animozitate și, acolo unde este cazul și de competența Transgaz, s-au promis efectuarea unor analize de caz.</w:t>
            </w:r>
          </w:p>
        </w:tc>
      </w:tr>
      <w:tr w:rsidR="00585A4B" w:rsidRPr="009A1ED3" w14:paraId="615EBDCE" w14:textId="77777777" w:rsidTr="00FA5171">
        <w:trPr>
          <w:trHeight w:val="110"/>
          <w:tblCellSpacing w:w="20" w:type="dxa"/>
        </w:trPr>
        <w:tc>
          <w:tcPr>
            <w:tcW w:w="2028" w:type="pct"/>
            <w:shd w:val="clear" w:color="auto" w:fill="D9D9D9"/>
          </w:tcPr>
          <w:p w14:paraId="0808EECC"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tc>
        <w:tc>
          <w:tcPr>
            <w:tcW w:w="2908" w:type="pct"/>
            <w:shd w:val="clear" w:color="auto" w:fill="D9D9D9"/>
          </w:tcPr>
          <w:p w14:paraId="59BDCC98"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pt-BR" w:eastAsia="en-US"/>
              </w:rPr>
            </w:pPr>
          </w:p>
        </w:tc>
      </w:tr>
      <w:tr w:rsidR="00585A4B" w:rsidRPr="000D2F52" w14:paraId="6912C6EB" w14:textId="77777777" w:rsidTr="00FA5171">
        <w:trPr>
          <w:trHeight w:val="110"/>
          <w:tblCellSpacing w:w="20" w:type="dxa"/>
        </w:trPr>
        <w:tc>
          <w:tcPr>
            <w:tcW w:w="2028" w:type="pct"/>
          </w:tcPr>
          <w:p w14:paraId="0AA478D5" w14:textId="77777777"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fr-FR" w:eastAsia="en-US"/>
              </w:rPr>
            </w:pPr>
            <w:r w:rsidRPr="00FA5171">
              <w:rPr>
                <w:rFonts w:ascii="Arial Narrow" w:hAnsi="Arial Narrow" w:cs="Calibri"/>
                <w:sz w:val="24"/>
                <w:szCs w:val="24"/>
                <w:lang w:val="fr-FR" w:eastAsia="en-US"/>
              </w:rPr>
              <w:t xml:space="preserve">Au fost organizate şi alte forme de participare </w:t>
            </w:r>
            <w:proofErr w:type="gramStart"/>
            <w:r w:rsidRPr="00FA5171">
              <w:rPr>
                <w:rFonts w:ascii="Arial Narrow" w:hAnsi="Arial Narrow" w:cs="Calibri"/>
                <w:sz w:val="24"/>
                <w:szCs w:val="24"/>
                <w:lang w:val="fr-FR" w:eastAsia="en-US"/>
              </w:rPr>
              <w:t>a</w:t>
            </w:r>
            <w:proofErr w:type="gramEnd"/>
            <w:r w:rsidRPr="00FA5171">
              <w:rPr>
                <w:rFonts w:ascii="Arial Narrow" w:hAnsi="Arial Narrow" w:cs="Calibri"/>
                <w:sz w:val="24"/>
                <w:szCs w:val="24"/>
                <w:lang w:val="fr-FR" w:eastAsia="en-US"/>
              </w:rPr>
              <w:t xml:space="preserve"> publicului dupã cum acestea sunt  menţionate mai jos:</w:t>
            </w:r>
          </w:p>
        </w:tc>
        <w:tc>
          <w:tcPr>
            <w:tcW w:w="2908" w:type="pct"/>
          </w:tcPr>
          <w:p w14:paraId="62BC338E" w14:textId="77777777"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FA5171">
              <w:rPr>
                <w:rFonts w:ascii="Arial Narrow" w:hAnsi="Arial Narrow" w:cs="Calibri"/>
                <w:sz w:val="24"/>
                <w:szCs w:val="24"/>
                <w:lang w:val="en-US" w:eastAsia="en-US"/>
              </w:rPr>
              <w:t>Da</w:t>
            </w:r>
          </w:p>
        </w:tc>
      </w:tr>
      <w:tr w:rsidR="00585A4B" w:rsidRPr="000D2F52" w14:paraId="234A3042" w14:textId="77777777" w:rsidTr="00FA5171">
        <w:trPr>
          <w:trHeight w:val="110"/>
          <w:tblCellSpacing w:w="20" w:type="dxa"/>
        </w:trPr>
        <w:tc>
          <w:tcPr>
            <w:tcW w:w="2028" w:type="pct"/>
          </w:tcPr>
          <w:p w14:paraId="10661AA3" w14:textId="77777777" w:rsidR="00585A4B" w:rsidRPr="00FA5171" w:rsidRDefault="00585A4B" w:rsidP="00FA5171">
            <w:pPr>
              <w:pStyle w:val="ListParagraph"/>
              <w:numPr>
                <w:ilvl w:val="0"/>
                <w:numId w:val="8"/>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cs="Calibri"/>
                <w:sz w:val="24"/>
                <w:szCs w:val="24"/>
                <w:lang w:val="en-US" w:eastAsia="en-US"/>
              </w:rPr>
            </w:pPr>
            <w:r w:rsidRPr="00FA5171">
              <w:rPr>
                <w:rFonts w:ascii="Arial Narrow" w:hAnsi="Arial Narrow" w:cs="Calibri"/>
                <w:sz w:val="24"/>
                <w:szCs w:val="24"/>
                <w:lang w:val="en-US" w:eastAsia="en-US"/>
              </w:rPr>
              <w:t>Dezbateri pe mediu</w:t>
            </w:r>
          </w:p>
        </w:tc>
        <w:tc>
          <w:tcPr>
            <w:tcW w:w="2908" w:type="pct"/>
          </w:tcPr>
          <w:p w14:paraId="38189CF5" w14:textId="77777777"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FA5171">
              <w:rPr>
                <w:rFonts w:ascii="Arial Narrow" w:hAnsi="Arial Narrow" w:cs="Calibri"/>
                <w:sz w:val="24"/>
                <w:szCs w:val="24"/>
                <w:lang w:val="en-US" w:eastAsia="en-US"/>
              </w:rPr>
              <w:t>Da</w:t>
            </w:r>
          </w:p>
        </w:tc>
      </w:tr>
      <w:tr w:rsidR="00585A4B" w:rsidRPr="000D2F52" w14:paraId="221C89D5" w14:textId="77777777" w:rsidTr="00FA5171">
        <w:trPr>
          <w:trHeight w:val="110"/>
          <w:tblCellSpacing w:w="20" w:type="dxa"/>
        </w:trPr>
        <w:tc>
          <w:tcPr>
            <w:tcW w:w="2028" w:type="pct"/>
          </w:tcPr>
          <w:p w14:paraId="702A11DD" w14:textId="77777777" w:rsidR="00585A4B" w:rsidRPr="00FA5171" w:rsidRDefault="00585A4B" w:rsidP="00FA5171">
            <w:pPr>
              <w:pStyle w:val="ListParagraph"/>
              <w:numPr>
                <w:ilvl w:val="0"/>
                <w:numId w:val="8"/>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cs="Calibri"/>
                <w:sz w:val="24"/>
                <w:szCs w:val="24"/>
                <w:lang w:val="en-US" w:eastAsia="en-US"/>
              </w:rPr>
            </w:pPr>
            <w:r w:rsidRPr="00FA5171">
              <w:rPr>
                <w:rFonts w:ascii="Arial Narrow" w:hAnsi="Arial Narrow" w:cs="Calibri"/>
                <w:sz w:val="24"/>
                <w:szCs w:val="24"/>
                <w:lang w:val="en-US" w:eastAsia="en-US"/>
              </w:rPr>
              <w:t>Încheierea de convenţii cu proprietarii terenurilor pe  unde trece conducta BRUA</w:t>
            </w:r>
          </w:p>
        </w:tc>
        <w:tc>
          <w:tcPr>
            <w:tcW w:w="2908" w:type="pct"/>
          </w:tcPr>
          <w:p w14:paraId="18FC4CD7" w14:textId="77777777"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en-US" w:eastAsia="en-US"/>
              </w:rPr>
            </w:pPr>
            <w:r w:rsidRPr="00FA5171">
              <w:rPr>
                <w:rFonts w:ascii="Arial Narrow" w:hAnsi="Arial Narrow" w:cs="Calibri"/>
                <w:sz w:val="24"/>
                <w:szCs w:val="24"/>
                <w:lang w:val="en-US" w:eastAsia="en-US"/>
              </w:rPr>
              <w:t>Da</w:t>
            </w:r>
          </w:p>
        </w:tc>
      </w:tr>
      <w:tr w:rsidR="00585A4B" w:rsidRPr="009A1ED3" w14:paraId="6968AF97" w14:textId="77777777" w:rsidTr="00FA5171">
        <w:trPr>
          <w:trHeight w:val="583"/>
          <w:tblCellSpacing w:w="20" w:type="dxa"/>
        </w:trPr>
        <w:tc>
          <w:tcPr>
            <w:tcW w:w="2028" w:type="pct"/>
          </w:tcPr>
          <w:p w14:paraId="3BE06CEC" w14:textId="77777777" w:rsidR="00585A4B" w:rsidRPr="00FA5171" w:rsidRDefault="00585A4B" w:rsidP="00FA5171">
            <w:pPr>
              <w:pStyle w:val="ListParagraph"/>
              <w:numPr>
                <w:ilvl w:val="0"/>
                <w:numId w:val="8"/>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cs="Calibri"/>
                <w:b/>
                <w:bCs/>
                <w:sz w:val="24"/>
                <w:szCs w:val="24"/>
                <w:lang w:val="it-IT" w:eastAsia="en-US"/>
              </w:rPr>
            </w:pPr>
            <w:r w:rsidRPr="00FA5171">
              <w:rPr>
                <w:rFonts w:ascii="Arial Narrow" w:hAnsi="Arial Narrow" w:cs="Calibri"/>
                <w:sz w:val="24"/>
                <w:szCs w:val="24"/>
                <w:lang w:val="it-IT" w:eastAsia="en-US"/>
              </w:rPr>
              <w:t>Punerea la dispoziția publicului interesat a Formularului de recomandãri şi propuneri</w:t>
            </w:r>
          </w:p>
        </w:tc>
        <w:tc>
          <w:tcPr>
            <w:tcW w:w="2908" w:type="pct"/>
          </w:tcPr>
          <w:p w14:paraId="2BBF6A95" w14:textId="423DDC85"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it-IT" w:eastAsia="en-US"/>
              </w:rPr>
            </w:pPr>
            <w:r w:rsidRPr="00FA5171">
              <w:rPr>
                <w:rFonts w:ascii="Arial Narrow" w:hAnsi="Arial Narrow" w:cs="Arial Narrow"/>
                <w:sz w:val="24"/>
                <w:szCs w:val="24"/>
                <w:lang w:val="it-IT" w:eastAsia="en-US"/>
              </w:rPr>
              <w:t>Da, s-a comunicat la fiecare locație și s-a solicitat publicului completarea acestuia</w:t>
            </w:r>
          </w:p>
        </w:tc>
      </w:tr>
      <w:tr w:rsidR="00585A4B" w:rsidRPr="009A1ED3" w14:paraId="479CDA6E" w14:textId="77777777" w:rsidTr="00FA5171">
        <w:trPr>
          <w:trHeight w:val="110"/>
          <w:tblCellSpacing w:w="20" w:type="dxa"/>
        </w:trPr>
        <w:tc>
          <w:tcPr>
            <w:tcW w:w="2028" w:type="pct"/>
          </w:tcPr>
          <w:p w14:paraId="70252F69" w14:textId="5A41BA39" w:rsidR="00585A4B" w:rsidRPr="00FA5171" w:rsidRDefault="00585A4B" w:rsidP="00FA5171">
            <w:pPr>
              <w:pStyle w:val="ListParagraph"/>
              <w:numPr>
                <w:ilvl w:val="0"/>
                <w:numId w:val="8"/>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cs="Calibri"/>
                <w:sz w:val="24"/>
                <w:szCs w:val="24"/>
                <w:lang w:val="it-IT" w:eastAsia="en-US"/>
              </w:rPr>
            </w:pPr>
            <w:r w:rsidRPr="00FA5171">
              <w:rPr>
                <w:rFonts w:ascii="Arial Narrow" w:hAnsi="Arial Narrow" w:cs="Calibri"/>
                <w:sz w:val="24"/>
                <w:szCs w:val="24"/>
                <w:lang w:val="it-IT" w:eastAsia="en-US"/>
              </w:rPr>
              <w:t xml:space="preserve">Punerea la dispoziția publicului interesat a Fişei de întrebãri </w:t>
            </w:r>
          </w:p>
        </w:tc>
        <w:tc>
          <w:tcPr>
            <w:tcW w:w="2908" w:type="pct"/>
          </w:tcPr>
          <w:p w14:paraId="5D98BD23" w14:textId="269209BB"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it-IT" w:eastAsia="en-US"/>
              </w:rPr>
            </w:pPr>
            <w:r w:rsidRPr="00FA5171">
              <w:rPr>
                <w:rFonts w:ascii="Arial Narrow" w:hAnsi="Arial Narrow" w:cs="Arial Narrow"/>
                <w:sz w:val="24"/>
                <w:szCs w:val="24"/>
                <w:lang w:val="it-IT" w:eastAsia="en-US"/>
              </w:rPr>
              <w:t>Da, s-a comunicat la fiecare locație și s-a solicitat publicului completarea acestuia</w:t>
            </w:r>
          </w:p>
        </w:tc>
      </w:tr>
      <w:tr w:rsidR="00585A4B" w:rsidRPr="009A1ED3" w14:paraId="2A75F6B2" w14:textId="77777777" w:rsidTr="00FA5171">
        <w:trPr>
          <w:trHeight w:val="110"/>
          <w:tblCellSpacing w:w="20" w:type="dxa"/>
        </w:trPr>
        <w:tc>
          <w:tcPr>
            <w:tcW w:w="2028" w:type="pct"/>
            <w:shd w:val="clear" w:color="auto" w:fill="D9D9D9"/>
          </w:tcPr>
          <w:p w14:paraId="67748B52"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360"/>
              <w:contextualSpacing/>
              <w:jc w:val="both"/>
              <w:rPr>
                <w:rFonts w:ascii="Arial Narrow" w:hAnsi="Arial Narrow" w:cs="Calibri"/>
                <w:sz w:val="24"/>
                <w:szCs w:val="24"/>
                <w:lang w:val="it-IT" w:eastAsia="en-US"/>
              </w:rPr>
            </w:pPr>
          </w:p>
        </w:tc>
        <w:tc>
          <w:tcPr>
            <w:tcW w:w="2908" w:type="pct"/>
            <w:shd w:val="clear" w:color="auto" w:fill="D9D9D9"/>
          </w:tcPr>
          <w:p w14:paraId="7D11AF10" w14:textId="77777777" w:rsidR="00585A4B" w:rsidRPr="00327BC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Arial Narrow"/>
                <w:szCs w:val="22"/>
                <w:lang w:val="it-IT" w:eastAsia="en-US"/>
              </w:rPr>
            </w:pPr>
          </w:p>
        </w:tc>
      </w:tr>
      <w:tr w:rsidR="00585A4B" w:rsidRPr="009A1ED3" w14:paraId="35711864" w14:textId="77777777" w:rsidTr="00FA5171">
        <w:trPr>
          <w:trHeight w:val="110"/>
          <w:tblCellSpacing w:w="20" w:type="dxa"/>
        </w:trPr>
        <w:tc>
          <w:tcPr>
            <w:tcW w:w="2028" w:type="pct"/>
          </w:tcPr>
          <w:p w14:paraId="0A85C423" w14:textId="77777777" w:rsidR="00585A4B" w:rsidRPr="00FA5171" w:rsidRDefault="00585A4B" w:rsidP="00FA5171">
            <w:pPr>
              <w:pBdr>
                <w:top w:val="none" w:sz="0" w:space="0" w:color="auto"/>
                <w:left w:val="none" w:sz="0" w:space="0" w:color="auto"/>
                <w:bottom w:val="none" w:sz="0" w:space="0" w:color="auto"/>
                <w:right w:val="none" w:sz="0" w:space="0" w:color="auto"/>
                <w:bar w:val="none" w:sz="0" w:color="auto"/>
              </w:pBdr>
              <w:jc w:val="both"/>
              <w:rPr>
                <w:rFonts w:ascii="Arial Narrow" w:eastAsia="SimSun" w:hAnsi="Arial Narrow"/>
                <w:lang w:val="it-IT"/>
              </w:rPr>
            </w:pPr>
            <w:r w:rsidRPr="00FA5171">
              <w:rPr>
                <w:rFonts w:ascii="Arial Narrow" w:eastAsia="SimSun" w:hAnsi="Arial Narrow"/>
                <w:lang w:val="it-IT"/>
              </w:rPr>
              <w:t>Alte informaţii relevant a fi consemnate:</w:t>
            </w:r>
          </w:p>
          <w:p w14:paraId="48C23267" w14:textId="43E20375" w:rsidR="00585A4B" w:rsidRPr="00FA5171" w:rsidRDefault="00585A4B" w:rsidP="00FA5171">
            <w:pPr>
              <w:pStyle w:val="ListParagraph"/>
              <w:numPr>
                <w:ilvl w:val="0"/>
                <w:numId w:val="8"/>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cs="Calibri"/>
                <w:sz w:val="24"/>
                <w:szCs w:val="24"/>
                <w:lang w:val="pt-BR" w:eastAsia="en-US"/>
              </w:rPr>
            </w:pPr>
            <w:r w:rsidRPr="00FA5171">
              <w:rPr>
                <w:rFonts w:ascii="Arial Narrow" w:hAnsi="Arial Narrow" w:cs="Calibri"/>
                <w:sz w:val="24"/>
                <w:szCs w:val="24"/>
                <w:lang w:val="pt-BR" w:eastAsia="en-US"/>
              </w:rPr>
              <w:t xml:space="preserve">Valorificarea  şi recunoaşterea contribuţiei recomandãrilor, </w:t>
            </w:r>
            <w:r w:rsidRPr="00FA5171">
              <w:rPr>
                <w:rFonts w:ascii="Arial Narrow" w:hAnsi="Arial Narrow" w:cs="Calibri"/>
                <w:sz w:val="24"/>
                <w:szCs w:val="24"/>
                <w:lang w:val="pt-BR" w:eastAsia="en-US"/>
              </w:rPr>
              <w:lastRenderedPageBreak/>
              <w:t>observaţiilor şi propunerilor pãrţilor abordate;</w:t>
            </w:r>
          </w:p>
          <w:p w14:paraId="5D148264" w14:textId="50AB8734" w:rsidR="00585A4B" w:rsidRPr="00FA5171" w:rsidRDefault="00585A4B" w:rsidP="00FA5171">
            <w:pPr>
              <w:pStyle w:val="ListParagraph"/>
              <w:numPr>
                <w:ilvl w:val="0"/>
                <w:numId w:val="8"/>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cs="Calibri"/>
                <w:sz w:val="24"/>
                <w:szCs w:val="24"/>
                <w:lang w:val="it-IT" w:eastAsia="en-US"/>
              </w:rPr>
            </w:pPr>
            <w:r w:rsidRPr="00FA5171">
              <w:rPr>
                <w:rFonts w:ascii="Arial Narrow" w:hAnsi="Arial Narrow" w:cs="Calibri"/>
                <w:sz w:val="24"/>
                <w:szCs w:val="24"/>
                <w:lang w:val="it-IT" w:eastAsia="en-US"/>
              </w:rPr>
              <w:t>Informarea pãrţilor abordate cu privire la rezultatele consultãrii publice;</w:t>
            </w:r>
          </w:p>
          <w:p w14:paraId="76DB2286" w14:textId="66014FD4" w:rsidR="00585A4B" w:rsidRPr="00FA5171" w:rsidRDefault="00585A4B" w:rsidP="00FA5171">
            <w:pPr>
              <w:pStyle w:val="ListParagraph"/>
              <w:numPr>
                <w:ilvl w:val="0"/>
                <w:numId w:val="8"/>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cs="Calibri"/>
                <w:sz w:val="24"/>
                <w:szCs w:val="24"/>
                <w:lang w:val="it-IT" w:eastAsia="en-US"/>
              </w:rPr>
            </w:pPr>
            <w:r w:rsidRPr="00FA5171">
              <w:rPr>
                <w:rFonts w:ascii="Arial Narrow" w:hAnsi="Arial Narrow" w:cs="Calibri"/>
                <w:sz w:val="24"/>
                <w:szCs w:val="24"/>
                <w:lang w:val="it-IT" w:eastAsia="en-US"/>
              </w:rPr>
              <w:t>Conformitatea procesului de consultare publicã cu cerinţele de informare şi transparenţã cuprinse în Conceptul privind participarea publicului aprobat de ACPIC</w:t>
            </w:r>
          </w:p>
        </w:tc>
        <w:tc>
          <w:tcPr>
            <w:tcW w:w="2908" w:type="pct"/>
          </w:tcPr>
          <w:p w14:paraId="3AC756D6" w14:textId="21562001"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FA5171">
              <w:rPr>
                <w:rFonts w:ascii="Arial Narrow" w:hAnsi="Arial Narrow" w:cs="Calibri"/>
                <w:sz w:val="24"/>
                <w:szCs w:val="24"/>
                <w:lang w:val="pt-BR" w:eastAsia="en-US"/>
              </w:rPr>
              <w:lastRenderedPageBreak/>
              <w:t xml:space="preserve">Având în vedere că, deşi în cadrul consultării publice, în nenumărate rânduri s-a menţionat faptul că părţile interesate  afectate şi părţile relevante afectate pot adresa </w:t>
            </w:r>
            <w:r w:rsidRPr="00FA5171">
              <w:rPr>
                <w:rFonts w:ascii="Arial Narrow" w:hAnsi="Arial Narrow" w:cs="Calibri"/>
                <w:sz w:val="24"/>
                <w:szCs w:val="24"/>
                <w:lang w:val="pt-BR" w:eastAsia="en-US"/>
              </w:rPr>
              <w:lastRenderedPageBreak/>
              <w:t>întrebări şi în scris, prin completarea formularului FISĂ de ÎNTREBĂRI (pus la dispoziţia publicului atât în sala de desfăşurare a consultării publice cât şi la sediul primăriilor), nu au fost primite întrebări în această formă. Toate întrebările au fost primite în mod direct în timpul consultării publice şi menţionate în procesele verbale încheiate.</w:t>
            </w:r>
          </w:p>
          <w:p w14:paraId="00168C5A" w14:textId="77777777"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p w14:paraId="7C12FED5" w14:textId="5B2E2DB4"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r w:rsidRPr="00FA5171">
              <w:rPr>
                <w:rFonts w:ascii="Arial Narrow" w:hAnsi="Arial Narrow" w:cs="Calibri"/>
                <w:sz w:val="24"/>
                <w:szCs w:val="24"/>
                <w:lang w:val="pt-BR" w:eastAsia="en-US"/>
              </w:rPr>
              <w:t xml:space="preserve">Deoarece s-au primit întrebări în mod direct, specialiştii şi experţii Transgaz prezenţi la consultarea publică au fost în măsură să răspundă tot direct, tuturor întrebărilor adresate. </w:t>
            </w:r>
          </w:p>
          <w:p w14:paraId="01E8B4EC" w14:textId="77777777"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pt-BR" w:eastAsia="en-US"/>
              </w:rPr>
            </w:pPr>
          </w:p>
          <w:p w14:paraId="57716D0B" w14:textId="76FB3B08" w:rsidR="00585A4B" w:rsidRPr="00FA5171" w:rsidRDefault="00585A4B" w:rsidP="00FA5171">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0"/>
              <w:jc w:val="both"/>
              <w:rPr>
                <w:rFonts w:ascii="Arial Narrow" w:hAnsi="Arial Narrow" w:cs="Calibri"/>
                <w:sz w:val="24"/>
                <w:szCs w:val="24"/>
                <w:lang w:val="it-IT" w:eastAsia="en-US"/>
              </w:rPr>
            </w:pPr>
            <w:r w:rsidRPr="00FA5171">
              <w:rPr>
                <w:rFonts w:ascii="Arial Narrow" w:hAnsi="Arial Narrow" w:cs="Calibri"/>
                <w:sz w:val="24"/>
                <w:szCs w:val="24"/>
                <w:lang w:val="it-IT" w:eastAsia="en-US"/>
              </w:rPr>
              <w:t>Pentru a rãspunde la aceste întrebãri, pentru a reliefa conformitatea procesului de consultare publicã cu cerinţele de informare şi transparenţã cuprinse în Conceptul aprobat de ACPIC,</w:t>
            </w:r>
            <w:r w:rsidR="00F20460">
              <w:rPr>
                <w:rFonts w:ascii="Arial Narrow" w:hAnsi="Arial Narrow" w:cs="Calibri"/>
                <w:sz w:val="24"/>
                <w:szCs w:val="24"/>
                <w:lang w:val="it-IT" w:eastAsia="en-US"/>
              </w:rPr>
              <w:t xml:space="preserve"> </w:t>
            </w:r>
            <w:r w:rsidRPr="00FA5171">
              <w:rPr>
                <w:rFonts w:ascii="Arial Narrow" w:hAnsi="Arial Narrow" w:cs="Calibri"/>
                <w:sz w:val="24"/>
                <w:szCs w:val="24"/>
                <w:lang w:val="it-IT" w:eastAsia="en-US"/>
              </w:rPr>
              <w:t xml:space="preserve">redãm mai jos </w:t>
            </w:r>
            <w:r w:rsidRPr="00FA5171">
              <w:rPr>
                <w:rFonts w:ascii="Arial Narrow" w:hAnsi="Arial Narrow" w:cs="Calibri"/>
                <w:b/>
                <w:sz w:val="24"/>
                <w:szCs w:val="24"/>
                <w:lang w:val="it-IT" w:eastAsia="en-US"/>
              </w:rPr>
              <w:t>un bilanţ</w:t>
            </w:r>
            <w:r w:rsidRPr="00FA5171">
              <w:rPr>
                <w:rFonts w:ascii="Arial Narrow" w:hAnsi="Arial Narrow" w:cs="Calibri"/>
                <w:sz w:val="24"/>
                <w:szCs w:val="24"/>
                <w:lang w:val="it-IT" w:eastAsia="en-US"/>
              </w:rPr>
              <w:t xml:space="preserve"> şi o </w:t>
            </w:r>
            <w:r w:rsidRPr="00FA5171">
              <w:rPr>
                <w:rFonts w:ascii="Arial Narrow" w:hAnsi="Arial Narrow" w:cs="Calibri"/>
                <w:b/>
                <w:sz w:val="24"/>
                <w:szCs w:val="24"/>
                <w:lang w:val="it-IT" w:eastAsia="en-US"/>
              </w:rPr>
              <w:t>analizã statisticã a rezultatelor consultãrii publice</w:t>
            </w:r>
            <w:r w:rsidRPr="00FA5171">
              <w:rPr>
                <w:rFonts w:ascii="Arial Narrow" w:hAnsi="Arial Narrow" w:cs="Calibri"/>
                <w:sz w:val="24"/>
                <w:szCs w:val="24"/>
                <w:lang w:val="it-IT" w:eastAsia="en-US"/>
              </w:rPr>
              <w:t xml:space="preserve"> astfel cum ele s-au produs.</w:t>
            </w:r>
          </w:p>
        </w:tc>
      </w:tr>
    </w:tbl>
    <w:p w14:paraId="4EC17331" w14:textId="45F9A35F" w:rsidR="00896C08" w:rsidRDefault="00FA5171">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it-IT"/>
        </w:rPr>
      </w:pPr>
      <w:r>
        <w:rPr>
          <w:rFonts w:ascii="Arial Narrow" w:hAnsi="Arial Narrow" w:cs="Arial Narrow"/>
          <w:sz w:val="20"/>
          <w:szCs w:val="20"/>
          <w:lang w:val="it-IT"/>
        </w:rPr>
        <w:lastRenderedPageBreak/>
        <w:br w:type="textWrapping" w:clear="all"/>
      </w:r>
    </w:p>
    <w:p w14:paraId="6E6D07D9" w14:textId="77777777" w:rsidR="00896C08"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it-IT"/>
        </w:rPr>
      </w:pPr>
    </w:p>
    <w:p w14:paraId="67D302FF" w14:textId="77777777" w:rsidR="00896C08" w:rsidRPr="000A5186"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it-IT"/>
        </w:rPr>
      </w:pPr>
    </w:p>
    <w:p w14:paraId="2526D185" w14:textId="77777777" w:rsidR="00896C08" w:rsidRPr="000A5186"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it-IT"/>
        </w:rPr>
      </w:pPr>
    </w:p>
    <w:p w14:paraId="27CC0860"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596A1ECB"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572C3C5E"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5714CE32"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54372B28"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637F72F3"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2B69B0D1"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10B101EB"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71A34C7D"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20BA597D"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2807D07A"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4ED59769"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731E6EBC"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718B0919"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7DE8E603"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6ACCEA83"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524D934F"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051910F3"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2DABE630"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36AA83D9"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4690EF74"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413F03E4"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298517FF"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53BA0401" w14:textId="77777777" w:rsidR="00612E76" w:rsidRDefault="00612E76"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sectPr w:rsidR="00612E76" w:rsidSect="001E57FF">
          <w:footerReference w:type="default" r:id="rId9"/>
          <w:pgSz w:w="11900" w:h="16840" w:code="9"/>
          <w:pgMar w:top="1440" w:right="1440" w:bottom="1440" w:left="1440" w:header="708" w:footer="708" w:gutter="0"/>
          <w:cols w:space="708"/>
          <w:rtlGutter/>
          <w:docGrid w:linePitch="326"/>
        </w:sectPr>
      </w:pPr>
    </w:p>
    <w:p w14:paraId="5D40AFD6" w14:textId="77777777" w:rsidR="00896C08" w:rsidRDefault="00896C08"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r w:rsidRPr="000A5186">
        <w:rPr>
          <w:rFonts w:ascii="Arial Narrow" w:hAnsi="Arial Narrow"/>
          <w:b/>
          <w:i/>
          <w:u w:val="thick"/>
          <w:lang w:val="it-IT"/>
        </w:rPr>
        <w:lastRenderedPageBreak/>
        <w:t xml:space="preserve">BILANŢUL STATISTIC AL CONSULTĂRII PUBLICE  pentru Proiectul BRUA –Faza 1 - EFECTUATĂ ÎN PERIOADA 24 OCT-8 NOV.2016 </w:t>
      </w:r>
    </w:p>
    <w:p w14:paraId="2BAF8BA4" w14:textId="77777777" w:rsidR="0083030B" w:rsidRDefault="0083030B"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it-IT"/>
        </w:rPr>
      </w:pPr>
    </w:p>
    <w:p w14:paraId="15A67A63" w14:textId="77777777" w:rsidR="00896C08" w:rsidRPr="00B3596A" w:rsidRDefault="00896C08" w:rsidP="00AC141A">
      <w:pPr>
        <w:pBdr>
          <w:top w:val="none" w:sz="0" w:space="0" w:color="auto"/>
          <w:left w:val="none" w:sz="0" w:space="0" w:color="auto"/>
          <w:bottom w:val="none" w:sz="0" w:space="0" w:color="auto"/>
          <w:right w:val="none" w:sz="0" w:space="0" w:color="auto"/>
          <w:bar w:val="none" w:sz="0" w:color="auto"/>
        </w:pBdr>
        <w:jc w:val="center"/>
        <w:rPr>
          <w:rFonts w:ascii="Arial Narrow" w:hAnsi="Arial Narrow"/>
          <w:b/>
          <w:i/>
          <w:u w:val="thick"/>
          <w:lang w:val="pt-BR"/>
        </w:rPr>
      </w:pPr>
      <w:r w:rsidRPr="00B3596A">
        <w:rPr>
          <w:rFonts w:ascii="Arial Narrow" w:hAnsi="Arial Narrow"/>
          <w:b/>
          <w:i/>
          <w:u w:val="thick"/>
          <w:lang w:val="pt-BR"/>
        </w:rPr>
        <w:t>conform Regulamentului UE nr. 347/2013</w:t>
      </w:r>
    </w:p>
    <w:p w14:paraId="6567863C" w14:textId="77777777" w:rsidR="0083030B" w:rsidRDefault="0083030B">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pt-BR"/>
        </w:rPr>
      </w:pPr>
    </w:p>
    <w:p w14:paraId="2E394878" w14:textId="46D12DC2" w:rsidR="0083030B" w:rsidRDefault="00E22195">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pt-BR"/>
        </w:rPr>
      </w:pPr>
      <w:r w:rsidRPr="0083030B">
        <w:rPr>
          <w:noProof/>
          <w:lang w:val="ro-RO" w:eastAsia="ro-RO"/>
        </w:rPr>
        <w:drawing>
          <wp:inline distT="0" distB="0" distL="0" distR="0" wp14:anchorId="6083BAE1" wp14:editId="2E2AEAD4">
            <wp:extent cx="9315450" cy="50387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15450" cy="5038725"/>
                    </a:xfrm>
                    <a:prstGeom prst="rect">
                      <a:avLst/>
                    </a:prstGeom>
                    <a:noFill/>
                    <a:ln>
                      <a:noFill/>
                    </a:ln>
                  </pic:spPr>
                </pic:pic>
              </a:graphicData>
            </a:graphic>
          </wp:inline>
        </w:drawing>
      </w:r>
    </w:p>
    <w:p w14:paraId="669DE634" w14:textId="77777777" w:rsidR="0083030B" w:rsidRDefault="0083030B">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pt-BR"/>
        </w:rPr>
      </w:pPr>
    </w:p>
    <w:p w14:paraId="446299E1" w14:textId="77777777" w:rsidR="0083030B" w:rsidRDefault="0083030B">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pt-BR"/>
        </w:rPr>
      </w:pPr>
    </w:p>
    <w:p w14:paraId="15B62442" w14:textId="77777777" w:rsidR="0083030B" w:rsidRPr="00B3596A" w:rsidRDefault="0083030B">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pt-BR"/>
        </w:rPr>
      </w:pPr>
    </w:p>
    <w:p w14:paraId="6D6F9127" w14:textId="1F808CFC"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pt-BR"/>
        </w:rPr>
      </w:pPr>
    </w:p>
    <w:tbl>
      <w:tblPr>
        <w:tblpPr w:leftFromText="180" w:rightFromText="180" w:vertAnchor="text" w:horzAnchor="margin" w:tblpY="-104"/>
        <w:tblW w:w="1485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344"/>
        <w:gridCol w:w="835"/>
        <w:gridCol w:w="835"/>
        <w:gridCol w:w="759"/>
        <w:gridCol w:w="1142"/>
        <w:gridCol w:w="1109"/>
        <w:gridCol w:w="1043"/>
        <w:gridCol w:w="1142"/>
        <w:gridCol w:w="1207"/>
        <w:gridCol w:w="912"/>
        <w:gridCol w:w="890"/>
        <w:gridCol w:w="890"/>
        <w:gridCol w:w="988"/>
        <w:gridCol w:w="757"/>
      </w:tblGrid>
      <w:tr w:rsidR="0083030B" w:rsidRPr="00363863" w14:paraId="4C2A164D" w14:textId="77777777" w:rsidTr="0083030B">
        <w:trPr>
          <w:trHeight w:val="315"/>
          <w:tblCellSpacing w:w="20" w:type="dxa"/>
        </w:trPr>
        <w:tc>
          <w:tcPr>
            <w:tcW w:w="0" w:type="auto"/>
            <w:shd w:val="clear" w:color="000000" w:fill="D9D9D9"/>
            <w:noWrap/>
            <w:vAlign w:val="center"/>
            <w:hideMark/>
          </w:tcPr>
          <w:p w14:paraId="22B0B7C0"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lang w:val="pt-BR"/>
              </w:rPr>
              <w:t> </w:t>
            </w:r>
          </w:p>
        </w:tc>
        <w:tc>
          <w:tcPr>
            <w:tcW w:w="0" w:type="auto"/>
            <w:shd w:val="clear" w:color="000000" w:fill="D9D9D9"/>
            <w:noWrap/>
            <w:vAlign w:val="center"/>
            <w:hideMark/>
          </w:tcPr>
          <w:p w14:paraId="70860E73"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Mârşa</w:t>
            </w:r>
          </w:p>
        </w:tc>
        <w:tc>
          <w:tcPr>
            <w:tcW w:w="0" w:type="auto"/>
            <w:shd w:val="clear" w:color="000000" w:fill="D9D9D9"/>
            <w:noWrap/>
            <w:vAlign w:val="center"/>
            <w:hideMark/>
          </w:tcPr>
          <w:p w14:paraId="61E5397A"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Gratia</w:t>
            </w:r>
          </w:p>
        </w:tc>
        <w:tc>
          <w:tcPr>
            <w:tcW w:w="0" w:type="auto"/>
            <w:shd w:val="clear" w:color="000000" w:fill="D9D9D9"/>
            <w:noWrap/>
            <w:vAlign w:val="center"/>
            <w:hideMark/>
          </w:tcPr>
          <w:p w14:paraId="31DAE625"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Bârla</w:t>
            </w:r>
          </w:p>
        </w:tc>
        <w:tc>
          <w:tcPr>
            <w:tcW w:w="0" w:type="auto"/>
            <w:shd w:val="clear" w:color="000000" w:fill="D9D9D9"/>
            <w:noWrap/>
            <w:vAlign w:val="center"/>
            <w:hideMark/>
          </w:tcPr>
          <w:p w14:paraId="35BBF7B4"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Potcoava</w:t>
            </w:r>
          </w:p>
        </w:tc>
        <w:tc>
          <w:tcPr>
            <w:tcW w:w="0" w:type="auto"/>
            <w:shd w:val="clear" w:color="000000" w:fill="D9D9D9"/>
            <w:noWrap/>
            <w:vAlign w:val="center"/>
            <w:hideMark/>
          </w:tcPr>
          <w:p w14:paraId="071A7B34"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Guşoieni</w:t>
            </w:r>
          </w:p>
        </w:tc>
        <w:tc>
          <w:tcPr>
            <w:tcW w:w="0" w:type="auto"/>
            <w:shd w:val="clear" w:color="000000" w:fill="D9D9D9"/>
            <w:noWrap/>
            <w:vAlign w:val="center"/>
            <w:hideMark/>
          </w:tcPr>
          <w:p w14:paraId="1DF51FF5"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Măciuca</w:t>
            </w:r>
          </w:p>
        </w:tc>
        <w:tc>
          <w:tcPr>
            <w:tcW w:w="0" w:type="auto"/>
            <w:shd w:val="clear" w:color="000000" w:fill="D9D9D9"/>
            <w:noWrap/>
            <w:vAlign w:val="center"/>
            <w:hideMark/>
          </w:tcPr>
          <w:p w14:paraId="5FD7B7F8"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Bălăneşti</w:t>
            </w:r>
          </w:p>
        </w:tc>
        <w:tc>
          <w:tcPr>
            <w:tcW w:w="0" w:type="auto"/>
            <w:shd w:val="clear" w:color="000000" w:fill="D9D9D9"/>
            <w:noWrap/>
            <w:vAlign w:val="center"/>
            <w:hideMark/>
          </w:tcPr>
          <w:p w14:paraId="71B9873F"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Turcineşti</w:t>
            </w:r>
          </w:p>
        </w:tc>
        <w:tc>
          <w:tcPr>
            <w:tcW w:w="0" w:type="auto"/>
            <w:shd w:val="clear" w:color="000000" w:fill="D9D9D9"/>
            <w:noWrap/>
            <w:vAlign w:val="center"/>
            <w:hideMark/>
          </w:tcPr>
          <w:p w14:paraId="75867A23"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Toteşti</w:t>
            </w:r>
          </w:p>
        </w:tc>
        <w:tc>
          <w:tcPr>
            <w:tcW w:w="0" w:type="auto"/>
            <w:shd w:val="clear" w:color="000000" w:fill="D9D9D9"/>
            <w:noWrap/>
            <w:vAlign w:val="center"/>
            <w:hideMark/>
          </w:tcPr>
          <w:p w14:paraId="43089377"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Băuţar</w:t>
            </w:r>
          </w:p>
        </w:tc>
        <w:tc>
          <w:tcPr>
            <w:tcW w:w="0" w:type="auto"/>
            <w:shd w:val="clear" w:color="000000" w:fill="D9D9D9"/>
            <w:noWrap/>
            <w:vAlign w:val="center"/>
            <w:hideMark/>
          </w:tcPr>
          <w:p w14:paraId="3B0E14B9"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Obreja</w:t>
            </w:r>
          </w:p>
        </w:tc>
        <w:tc>
          <w:tcPr>
            <w:tcW w:w="0" w:type="auto"/>
            <w:shd w:val="clear" w:color="000000" w:fill="D9D9D9"/>
            <w:noWrap/>
            <w:vAlign w:val="center"/>
            <w:hideMark/>
          </w:tcPr>
          <w:p w14:paraId="263DC48A"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Coşteiu</w:t>
            </w:r>
          </w:p>
        </w:tc>
        <w:tc>
          <w:tcPr>
            <w:tcW w:w="0" w:type="auto"/>
            <w:shd w:val="clear" w:color="000000" w:fill="D9D9D9"/>
            <w:noWrap/>
            <w:vAlign w:val="center"/>
            <w:hideMark/>
          </w:tcPr>
          <w:p w14:paraId="2AA9B8FA"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Total</w:t>
            </w:r>
          </w:p>
        </w:tc>
      </w:tr>
      <w:tr w:rsidR="0083030B" w:rsidRPr="00363863" w14:paraId="5920BF92" w14:textId="77777777" w:rsidTr="0083030B">
        <w:trPr>
          <w:trHeight w:val="315"/>
          <w:tblCellSpacing w:w="20" w:type="dxa"/>
        </w:trPr>
        <w:tc>
          <w:tcPr>
            <w:tcW w:w="0" w:type="auto"/>
            <w:shd w:val="clear" w:color="auto" w:fill="auto"/>
            <w:noWrap/>
            <w:vAlign w:val="center"/>
            <w:hideMark/>
          </w:tcPr>
          <w:p w14:paraId="05A66CC1"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olor w:val="000000"/>
              </w:rPr>
            </w:pPr>
            <w:r w:rsidRPr="00363863">
              <w:rPr>
                <w:rFonts w:ascii="Arial Narrow" w:eastAsia="Times New Roman" w:hAnsi="Arial Narrow"/>
                <w:color w:val="000000"/>
              </w:rPr>
              <w:t>parti interesate afectate</w:t>
            </w:r>
          </w:p>
        </w:tc>
        <w:tc>
          <w:tcPr>
            <w:tcW w:w="0" w:type="auto"/>
            <w:shd w:val="clear" w:color="auto" w:fill="auto"/>
            <w:noWrap/>
            <w:vAlign w:val="center"/>
            <w:hideMark/>
          </w:tcPr>
          <w:p w14:paraId="5CA6E75A"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35</w:t>
            </w:r>
          </w:p>
        </w:tc>
        <w:tc>
          <w:tcPr>
            <w:tcW w:w="0" w:type="auto"/>
            <w:shd w:val="clear" w:color="auto" w:fill="auto"/>
            <w:noWrap/>
            <w:vAlign w:val="center"/>
            <w:hideMark/>
          </w:tcPr>
          <w:p w14:paraId="0A064D3A"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27</w:t>
            </w:r>
          </w:p>
        </w:tc>
        <w:tc>
          <w:tcPr>
            <w:tcW w:w="0" w:type="auto"/>
            <w:shd w:val="clear" w:color="auto" w:fill="auto"/>
            <w:noWrap/>
            <w:vAlign w:val="center"/>
            <w:hideMark/>
          </w:tcPr>
          <w:p w14:paraId="2ECD6245"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63</w:t>
            </w:r>
          </w:p>
        </w:tc>
        <w:tc>
          <w:tcPr>
            <w:tcW w:w="0" w:type="auto"/>
            <w:shd w:val="clear" w:color="auto" w:fill="auto"/>
            <w:noWrap/>
            <w:vAlign w:val="center"/>
            <w:hideMark/>
          </w:tcPr>
          <w:p w14:paraId="183FAD63"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50</w:t>
            </w:r>
          </w:p>
        </w:tc>
        <w:tc>
          <w:tcPr>
            <w:tcW w:w="0" w:type="auto"/>
            <w:shd w:val="clear" w:color="auto" w:fill="auto"/>
            <w:noWrap/>
            <w:vAlign w:val="center"/>
            <w:hideMark/>
          </w:tcPr>
          <w:p w14:paraId="5DEB6AE8"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48</w:t>
            </w:r>
          </w:p>
        </w:tc>
        <w:tc>
          <w:tcPr>
            <w:tcW w:w="0" w:type="auto"/>
            <w:shd w:val="clear" w:color="auto" w:fill="auto"/>
            <w:noWrap/>
            <w:vAlign w:val="center"/>
            <w:hideMark/>
          </w:tcPr>
          <w:p w14:paraId="2B712C1C"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48</w:t>
            </w:r>
          </w:p>
        </w:tc>
        <w:tc>
          <w:tcPr>
            <w:tcW w:w="0" w:type="auto"/>
            <w:shd w:val="clear" w:color="auto" w:fill="auto"/>
            <w:noWrap/>
            <w:vAlign w:val="center"/>
            <w:hideMark/>
          </w:tcPr>
          <w:p w14:paraId="2FB6023E"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37</w:t>
            </w:r>
          </w:p>
        </w:tc>
        <w:tc>
          <w:tcPr>
            <w:tcW w:w="0" w:type="auto"/>
            <w:shd w:val="clear" w:color="auto" w:fill="auto"/>
            <w:noWrap/>
            <w:vAlign w:val="center"/>
            <w:hideMark/>
          </w:tcPr>
          <w:p w14:paraId="7480D6B8"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34</w:t>
            </w:r>
          </w:p>
        </w:tc>
        <w:tc>
          <w:tcPr>
            <w:tcW w:w="0" w:type="auto"/>
            <w:shd w:val="clear" w:color="auto" w:fill="auto"/>
            <w:noWrap/>
            <w:vAlign w:val="center"/>
            <w:hideMark/>
          </w:tcPr>
          <w:p w14:paraId="0DBA34A7"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44</w:t>
            </w:r>
          </w:p>
        </w:tc>
        <w:tc>
          <w:tcPr>
            <w:tcW w:w="0" w:type="auto"/>
            <w:shd w:val="clear" w:color="auto" w:fill="auto"/>
            <w:noWrap/>
            <w:vAlign w:val="center"/>
            <w:hideMark/>
          </w:tcPr>
          <w:p w14:paraId="3B829C0C"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43</w:t>
            </w:r>
          </w:p>
        </w:tc>
        <w:tc>
          <w:tcPr>
            <w:tcW w:w="0" w:type="auto"/>
            <w:shd w:val="clear" w:color="auto" w:fill="auto"/>
            <w:noWrap/>
            <w:vAlign w:val="center"/>
            <w:hideMark/>
          </w:tcPr>
          <w:p w14:paraId="1CA946BD"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49</w:t>
            </w:r>
          </w:p>
        </w:tc>
        <w:tc>
          <w:tcPr>
            <w:tcW w:w="0" w:type="auto"/>
            <w:shd w:val="clear" w:color="auto" w:fill="auto"/>
            <w:noWrap/>
            <w:vAlign w:val="center"/>
            <w:hideMark/>
          </w:tcPr>
          <w:p w14:paraId="250B73FD"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29</w:t>
            </w:r>
          </w:p>
        </w:tc>
        <w:tc>
          <w:tcPr>
            <w:tcW w:w="0" w:type="auto"/>
            <w:shd w:val="clear" w:color="auto" w:fill="auto"/>
            <w:noWrap/>
            <w:vAlign w:val="center"/>
            <w:hideMark/>
          </w:tcPr>
          <w:p w14:paraId="436D74A5"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507</w:t>
            </w:r>
          </w:p>
        </w:tc>
      </w:tr>
      <w:tr w:rsidR="0083030B" w:rsidRPr="00363863" w14:paraId="04452BA8" w14:textId="77777777" w:rsidTr="0083030B">
        <w:trPr>
          <w:trHeight w:val="315"/>
          <w:tblCellSpacing w:w="20" w:type="dxa"/>
        </w:trPr>
        <w:tc>
          <w:tcPr>
            <w:tcW w:w="0" w:type="auto"/>
            <w:shd w:val="clear" w:color="auto" w:fill="auto"/>
            <w:noWrap/>
            <w:vAlign w:val="center"/>
            <w:hideMark/>
          </w:tcPr>
          <w:p w14:paraId="586237E1"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olor w:val="000000"/>
              </w:rPr>
            </w:pPr>
            <w:r w:rsidRPr="00363863">
              <w:rPr>
                <w:rFonts w:ascii="Arial Narrow" w:eastAsia="Times New Roman" w:hAnsi="Arial Narrow"/>
                <w:color w:val="000000"/>
              </w:rPr>
              <w:t>parti relevante afectate</w:t>
            </w:r>
          </w:p>
        </w:tc>
        <w:tc>
          <w:tcPr>
            <w:tcW w:w="0" w:type="auto"/>
            <w:shd w:val="clear" w:color="auto" w:fill="auto"/>
            <w:noWrap/>
            <w:vAlign w:val="center"/>
            <w:hideMark/>
          </w:tcPr>
          <w:p w14:paraId="4B068589"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1</w:t>
            </w:r>
          </w:p>
        </w:tc>
        <w:tc>
          <w:tcPr>
            <w:tcW w:w="0" w:type="auto"/>
            <w:shd w:val="clear" w:color="auto" w:fill="auto"/>
            <w:noWrap/>
            <w:vAlign w:val="center"/>
            <w:hideMark/>
          </w:tcPr>
          <w:p w14:paraId="543DA798"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5C534F5A"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0318276F"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50AD8AD7"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2CB438D2"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18F48B2F"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788C5B12"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1</w:t>
            </w:r>
          </w:p>
        </w:tc>
        <w:tc>
          <w:tcPr>
            <w:tcW w:w="0" w:type="auto"/>
            <w:shd w:val="clear" w:color="auto" w:fill="auto"/>
            <w:noWrap/>
            <w:vAlign w:val="center"/>
            <w:hideMark/>
          </w:tcPr>
          <w:p w14:paraId="3B8EA8F1"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6AF3F280"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2BAB073F"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5B41C158"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olor w:val="000000"/>
              </w:rPr>
            </w:pPr>
            <w:r w:rsidRPr="00363863">
              <w:rPr>
                <w:rFonts w:ascii="Arial Narrow" w:eastAsia="Times New Roman" w:hAnsi="Arial Narrow"/>
                <w:color w:val="000000"/>
              </w:rPr>
              <w:t>0</w:t>
            </w:r>
          </w:p>
        </w:tc>
        <w:tc>
          <w:tcPr>
            <w:tcW w:w="0" w:type="auto"/>
            <w:shd w:val="clear" w:color="auto" w:fill="auto"/>
            <w:noWrap/>
            <w:vAlign w:val="center"/>
            <w:hideMark/>
          </w:tcPr>
          <w:p w14:paraId="04A3356C"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2</w:t>
            </w:r>
          </w:p>
        </w:tc>
      </w:tr>
      <w:tr w:rsidR="0083030B" w:rsidRPr="00363863" w14:paraId="57D343BA" w14:textId="77777777" w:rsidTr="0083030B">
        <w:trPr>
          <w:trHeight w:val="315"/>
          <w:tblCellSpacing w:w="20" w:type="dxa"/>
        </w:trPr>
        <w:tc>
          <w:tcPr>
            <w:tcW w:w="0" w:type="auto"/>
            <w:shd w:val="clear" w:color="000000" w:fill="D9D9D9"/>
            <w:noWrap/>
            <w:vAlign w:val="center"/>
            <w:hideMark/>
          </w:tcPr>
          <w:p w14:paraId="6CA88114"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b/>
                <w:bCs/>
                <w:color w:val="000000"/>
              </w:rPr>
            </w:pPr>
            <w:r w:rsidRPr="00363863">
              <w:rPr>
                <w:rFonts w:ascii="Arial Narrow" w:eastAsia="Times New Roman" w:hAnsi="Arial Narrow"/>
                <w:b/>
                <w:bCs/>
                <w:color w:val="000000"/>
              </w:rPr>
              <w:t>Total</w:t>
            </w:r>
          </w:p>
        </w:tc>
        <w:tc>
          <w:tcPr>
            <w:tcW w:w="0" w:type="auto"/>
            <w:shd w:val="clear" w:color="000000" w:fill="D9D9D9"/>
            <w:noWrap/>
            <w:vAlign w:val="center"/>
            <w:hideMark/>
          </w:tcPr>
          <w:p w14:paraId="176CCD2F"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36</w:t>
            </w:r>
          </w:p>
        </w:tc>
        <w:tc>
          <w:tcPr>
            <w:tcW w:w="0" w:type="auto"/>
            <w:shd w:val="clear" w:color="000000" w:fill="D9D9D9"/>
            <w:noWrap/>
            <w:vAlign w:val="center"/>
            <w:hideMark/>
          </w:tcPr>
          <w:p w14:paraId="440853B9"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27</w:t>
            </w:r>
          </w:p>
        </w:tc>
        <w:tc>
          <w:tcPr>
            <w:tcW w:w="0" w:type="auto"/>
            <w:shd w:val="clear" w:color="000000" w:fill="D9D9D9"/>
            <w:noWrap/>
            <w:vAlign w:val="center"/>
            <w:hideMark/>
          </w:tcPr>
          <w:p w14:paraId="0E80BD45"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63</w:t>
            </w:r>
          </w:p>
        </w:tc>
        <w:tc>
          <w:tcPr>
            <w:tcW w:w="0" w:type="auto"/>
            <w:shd w:val="clear" w:color="000000" w:fill="D9D9D9"/>
            <w:noWrap/>
            <w:vAlign w:val="center"/>
            <w:hideMark/>
          </w:tcPr>
          <w:p w14:paraId="7BE9CA78"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50</w:t>
            </w:r>
          </w:p>
        </w:tc>
        <w:tc>
          <w:tcPr>
            <w:tcW w:w="0" w:type="auto"/>
            <w:shd w:val="clear" w:color="000000" w:fill="D9D9D9"/>
            <w:noWrap/>
            <w:vAlign w:val="center"/>
            <w:hideMark/>
          </w:tcPr>
          <w:p w14:paraId="53094598"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48</w:t>
            </w:r>
          </w:p>
        </w:tc>
        <w:tc>
          <w:tcPr>
            <w:tcW w:w="0" w:type="auto"/>
            <w:shd w:val="clear" w:color="000000" w:fill="D9D9D9"/>
            <w:noWrap/>
            <w:vAlign w:val="center"/>
            <w:hideMark/>
          </w:tcPr>
          <w:p w14:paraId="25BFB68E"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48</w:t>
            </w:r>
          </w:p>
        </w:tc>
        <w:tc>
          <w:tcPr>
            <w:tcW w:w="0" w:type="auto"/>
            <w:shd w:val="clear" w:color="000000" w:fill="D9D9D9"/>
            <w:noWrap/>
            <w:vAlign w:val="center"/>
            <w:hideMark/>
          </w:tcPr>
          <w:p w14:paraId="46CB335D"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37</w:t>
            </w:r>
          </w:p>
        </w:tc>
        <w:tc>
          <w:tcPr>
            <w:tcW w:w="0" w:type="auto"/>
            <w:shd w:val="clear" w:color="000000" w:fill="D9D9D9"/>
            <w:noWrap/>
            <w:vAlign w:val="center"/>
            <w:hideMark/>
          </w:tcPr>
          <w:p w14:paraId="7C7E3F16"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35</w:t>
            </w:r>
          </w:p>
        </w:tc>
        <w:tc>
          <w:tcPr>
            <w:tcW w:w="0" w:type="auto"/>
            <w:shd w:val="clear" w:color="000000" w:fill="D9D9D9"/>
            <w:noWrap/>
            <w:vAlign w:val="center"/>
            <w:hideMark/>
          </w:tcPr>
          <w:p w14:paraId="12473A10"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44</w:t>
            </w:r>
          </w:p>
        </w:tc>
        <w:tc>
          <w:tcPr>
            <w:tcW w:w="0" w:type="auto"/>
            <w:shd w:val="clear" w:color="000000" w:fill="D9D9D9"/>
            <w:noWrap/>
            <w:vAlign w:val="center"/>
            <w:hideMark/>
          </w:tcPr>
          <w:p w14:paraId="518B3015"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43</w:t>
            </w:r>
          </w:p>
        </w:tc>
        <w:tc>
          <w:tcPr>
            <w:tcW w:w="0" w:type="auto"/>
            <w:shd w:val="clear" w:color="000000" w:fill="D9D9D9"/>
            <w:noWrap/>
            <w:vAlign w:val="center"/>
            <w:hideMark/>
          </w:tcPr>
          <w:p w14:paraId="63C07F47"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49</w:t>
            </w:r>
          </w:p>
        </w:tc>
        <w:tc>
          <w:tcPr>
            <w:tcW w:w="0" w:type="auto"/>
            <w:shd w:val="clear" w:color="000000" w:fill="D9D9D9"/>
            <w:noWrap/>
            <w:vAlign w:val="center"/>
            <w:hideMark/>
          </w:tcPr>
          <w:p w14:paraId="6ADFA4FA"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29</w:t>
            </w:r>
          </w:p>
        </w:tc>
        <w:tc>
          <w:tcPr>
            <w:tcW w:w="0" w:type="auto"/>
            <w:shd w:val="clear" w:color="000000" w:fill="D9D9D9"/>
            <w:noWrap/>
            <w:vAlign w:val="center"/>
            <w:hideMark/>
          </w:tcPr>
          <w:p w14:paraId="20C8F106" w14:textId="77777777" w:rsidR="0083030B" w:rsidRPr="00363863" w:rsidRDefault="0083030B" w:rsidP="0083030B">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b/>
                <w:bCs/>
                <w:color w:val="000000"/>
              </w:rPr>
            </w:pPr>
            <w:r w:rsidRPr="00363863">
              <w:rPr>
                <w:rFonts w:ascii="Arial Narrow" w:eastAsia="Times New Roman" w:hAnsi="Arial Narrow"/>
                <w:b/>
                <w:bCs/>
                <w:color w:val="000000"/>
              </w:rPr>
              <w:t>509</w:t>
            </w:r>
          </w:p>
        </w:tc>
      </w:tr>
    </w:tbl>
    <w:p w14:paraId="6B44B7C1" w14:textId="2463052C" w:rsidR="00896C08" w:rsidRPr="00106B47"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rPr>
      </w:pPr>
    </w:p>
    <w:p w14:paraId="20757480" w14:textId="219B7BCB" w:rsidR="00363863" w:rsidRDefault="00E22195" w:rsidP="00F731A4">
      <w:pPr>
        <w:pBdr>
          <w:top w:val="none" w:sz="0" w:space="0" w:color="auto"/>
          <w:left w:val="none" w:sz="0" w:space="0" w:color="auto"/>
          <w:bottom w:val="none" w:sz="0" w:space="0" w:color="auto"/>
          <w:right w:val="none" w:sz="0" w:space="0" w:color="auto"/>
          <w:bar w:val="none" w:sz="0" w:color="auto"/>
        </w:pBdr>
        <w:rPr>
          <w:rFonts w:ascii="Arial Narrow" w:hAnsi="Arial Narrow"/>
          <w:lang w:val="fr-FR"/>
        </w:rPr>
      </w:pPr>
      <w:r>
        <w:rPr>
          <w:noProof/>
          <w:lang w:val="ro-RO" w:eastAsia="ro-RO"/>
        </w:rPr>
        <w:drawing>
          <wp:anchor distT="182880" distB="123063" distL="272796" distR="333756" simplePos="0" relativeHeight="251653632" behindDoc="0" locked="0" layoutInCell="1" allowOverlap="1" wp14:anchorId="1BA1AB46" wp14:editId="6FA82B8C">
            <wp:simplePos x="0" y="0"/>
            <wp:positionH relativeFrom="column">
              <wp:posOffset>4625975</wp:posOffset>
            </wp:positionH>
            <wp:positionV relativeFrom="paragraph">
              <wp:posOffset>53340</wp:posOffset>
            </wp:positionV>
            <wp:extent cx="4194175" cy="1932305"/>
            <wp:effectExtent l="0" t="0" r="0" b="5080"/>
            <wp:wrapSquare wrapText="bothSides"/>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64A502A" w14:textId="77777777"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lang w:val="fr-FR"/>
        </w:rPr>
      </w:pPr>
      <w:r w:rsidRPr="000A5186">
        <w:rPr>
          <w:rFonts w:ascii="Arial Narrow" w:hAnsi="Arial Narrow"/>
          <w:lang w:val="fr-FR"/>
        </w:rPr>
        <w:t>A fost prezent un singur ONG la UAT Turcinești</w:t>
      </w:r>
    </w:p>
    <w:p w14:paraId="2BF22836" w14:textId="66D65745"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03FD6800" w14:textId="568D547F" w:rsidR="00896C08" w:rsidRPr="000A5186" w:rsidRDefault="00E22195"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r>
        <w:rPr>
          <w:noProof/>
          <w:lang w:val="ro-RO" w:eastAsia="ro-RO"/>
        </w:rPr>
        <w:drawing>
          <wp:anchor distT="79248" distB="121539" distL="199644" distR="292608" simplePos="0" relativeHeight="251652608" behindDoc="0" locked="0" layoutInCell="1" allowOverlap="1" wp14:anchorId="24344E8F" wp14:editId="2DE21D5D">
            <wp:simplePos x="0" y="0"/>
            <wp:positionH relativeFrom="column">
              <wp:posOffset>-172085</wp:posOffset>
            </wp:positionH>
            <wp:positionV relativeFrom="paragraph">
              <wp:posOffset>151130</wp:posOffset>
            </wp:positionV>
            <wp:extent cx="3947160" cy="1630045"/>
            <wp:effectExtent l="0" t="0" r="0" b="0"/>
            <wp:wrapSquare wrapText="bothSides"/>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B8B8D4F" w14:textId="77777777"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23B8EA37" w14:textId="77777777"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07FE03A5" w14:textId="77777777"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36DE853E" w14:textId="77777777"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11AA6D20" w14:textId="77777777"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522910AF" w14:textId="00F4389F"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0C71DBED" w14:textId="4B514BE7" w:rsidR="00896C08" w:rsidRPr="000A5186" w:rsidRDefault="00E50424"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r>
        <w:rPr>
          <w:rFonts w:ascii="Arial Narrow" w:hAnsi="Arial Narrow"/>
          <w:i/>
          <w:noProof/>
          <w:lang w:val="ro-RO" w:eastAsia="ro-RO"/>
        </w:rPr>
        <w:lastRenderedPageBreak/>
        <w:drawing>
          <wp:anchor distT="0" distB="0" distL="114300" distR="114300" simplePos="0" relativeHeight="251664896" behindDoc="0" locked="0" layoutInCell="1" allowOverlap="1" wp14:anchorId="5BBF1B4D" wp14:editId="4634EFC1">
            <wp:simplePos x="0" y="0"/>
            <wp:positionH relativeFrom="column">
              <wp:posOffset>123825</wp:posOffset>
            </wp:positionH>
            <wp:positionV relativeFrom="paragraph">
              <wp:posOffset>260350</wp:posOffset>
            </wp:positionV>
            <wp:extent cx="4163695" cy="2416175"/>
            <wp:effectExtent l="0" t="0" r="8255" b="3175"/>
            <wp:wrapSquare wrapText="bothSides"/>
            <wp:docPr id="16" name="Objec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70EB81E" w14:textId="77A7DAC5"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2CA02865" w14:textId="363AC97B" w:rsidR="00896C08" w:rsidRPr="000A5186" w:rsidRDefault="00E50424"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r>
        <w:rPr>
          <w:noProof/>
          <w:lang w:val="ro-RO" w:eastAsia="ro-RO"/>
        </w:rPr>
        <w:drawing>
          <wp:anchor distT="48768" distB="121920" distL="211836" distR="296037" simplePos="0" relativeHeight="251654656" behindDoc="0" locked="0" layoutInCell="1" allowOverlap="1" wp14:anchorId="05B68B49" wp14:editId="5F4708AC">
            <wp:simplePos x="0" y="0"/>
            <wp:positionH relativeFrom="margin">
              <wp:align>right</wp:align>
            </wp:positionH>
            <wp:positionV relativeFrom="paragraph">
              <wp:posOffset>4445</wp:posOffset>
            </wp:positionV>
            <wp:extent cx="3883025" cy="1962785"/>
            <wp:effectExtent l="0" t="0" r="3175" b="0"/>
            <wp:wrapSquare wrapText="bothSides"/>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73A7D57" w14:textId="1B1422FE"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39E7337E" w14:textId="5B7F2552"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75AF4E26" w14:textId="085047C2"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6155FECA" w14:textId="439B0DE4"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3B1C764E" w14:textId="40C146BE"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4DF36FE4" w14:textId="42E0F62F"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0F186AB4" w14:textId="1FFAF17F"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36C22BF2" w14:textId="271D3FD8"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521CB15D" w14:textId="117F7A0D"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31CD1D72" w14:textId="2054339E"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24EF5E08" w14:textId="629912C7"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0DF7148D" w14:textId="1A4FEAD8" w:rsidR="00896C08" w:rsidRPr="000A5186" w:rsidRDefault="003F28AA"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r>
        <w:rPr>
          <w:noProof/>
          <w:lang w:val="ro-RO" w:eastAsia="ro-RO"/>
        </w:rPr>
        <w:drawing>
          <wp:anchor distT="0" distB="0" distL="114300" distR="114300" simplePos="0" relativeHeight="251671040" behindDoc="0" locked="0" layoutInCell="1" allowOverlap="1" wp14:anchorId="3D15FE86" wp14:editId="5D4A7CF3">
            <wp:simplePos x="0" y="0"/>
            <wp:positionH relativeFrom="column">
              <wp:posOffset>-257175</wp:posOffset>
            </wp:positionH>
            <wp:positionV relativeFrom="paragraph">
              <wp:posOffset>948690</wp:posOffset>
            </wp:positionV>
            <wp:extent cx="3703955" cy="2277110"/>
            <wp:effectExtent l="0" t="0" r="1270" b="0"/>
            <wp:wrapSquare wrapText="bothSides"/>
            <wp:docPr id="19"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6944" behindDoc="0" locked="0" layoutInCell="1" allowOverlap="1" wp14:anchorId="4D937C67" wp14:editId="06F1203D">
            <wp:simplePos x="0" y="0"/>
            <wp:positionH relativeFrom="column">
              <wp:posOffset>6327775</wp:posOffset>
            </wp:positionH>
            <wp:positionV relativeFrom="paragraph">
              <wp:posOffset>863600</wp:posOffset>
            </wp:positionV>
            <wp:extent cx="3448050" cy="2362200"/>
            <wp:effectExtent l="0" t="0" r="3175" b="0"/>
            <wp:wrapSquare wrapText="bothSides"/>
            <wp:docPr id="17" name="Objec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8992" behindDoc="0" locked="0" layoutInCell="1" allowOverlap="1" wp14:anchorId="465DA953" wp14:editId="0B76623A">
            <wp:simplePos x="0" y="0"/>
            <wp:positionH relativeFrom="column">
              <wp:posOffset>3257550</wp:posOffset>
            </wp:positionH>
            <wp:positionV relativeFrom="paragraph">
              <wp:posOffset>865505</wp:posOffset>
            </wp:positionV>
            <wp:extent cx="3681730" cy="2411095"/>
            <wp:effectExtent l="0" t="0" r="4445" b="0"/>
            <wp:wrapSquare wrapText="bothSides"/>
            <wp:docPr id="18"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5ADC2F2D" w14:textId="18006F6C" w:rsidR="00896C08" w:rsidRPr="000A5186" w:rsidRDefault="00E50424"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r>
        <w:rPr>
          <w:noProof/>
          <w:lang w:val="ro-RO" w:eastAsia="ro-RO"/>
        </w:rPr>
        <w:lastRenderedPageBreak/>
        <w:drawing>
          <wp:anchor distT="0" distB="0" distL="114300" distR="114300" simplePos="0" relativeHeight="251673088" behindDoc="0" locked="0" layoutInCell="1" allowOverlap="1" wp14:anchorId="62268B2F" wp14:editId="6D9B3491">
            <wp:simplePos x="0" y="0"/>
            <wp:positionH relativeFrom="column">
              <wp:posOffset>4791075</wp:posOffset>
            </wp:positionH>
            <wp:positionV relativeFrom="paragraph">
              <wp:posOffset>86995</wp:posOffset>
            </wp:positionV>
            <wp:extent cx="4305300" cy="2562225"/>
            <wp:effectExtent l="0" t="0" r="0" b="0"/>
            <wp:wrapSquare wrapText="bothSides"/>
            <wp:docPr id="20" name="Objec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51165C">
        <w:rPr>
          <w:noProof/>
          <w:lang w:val="ro-RO" w:eastAsia="ro-RO"/>
        </w:rPr>
        <w:drawing>
          <wp:inline distT="0" distB="0" distL="0" distR="0" wp14:anchorId="5A02E26B" wp14:editId="3B44E897">
            <wp:extent cx="4572635" cy="2743200"/>
            <wp:effectExtent l="0" t="0" r="0" b="0"/>
            <wp:docPr id="15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Start w:id="0" w:name="_MON_1542267070"/>
      <w:bookmarkEnd w:id="0"/>
    </w:p>
    <w:p w14:paraId="4C0AB5E7" w14:textId="659A9186" w:rsidR="00896C08" w:rsidRPr="000A5186"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p>
    <w:p w14:paraId="4B474B9B" w14:textId="73C8BA32" w:rsidR="00896C08" w:rsidRPr="000A5186" w:rsidRDefault="00E22195">
      <w:pPr>
        <w:pBdr>
          <w:top w:val="none" w:sz="0" w:space="0" w:color="auto"/>
          <w:left w:val="none" w:sz="0" w:space="0" w:color="auto"/>
          <w:bottom w:val="none" w:sz="0" w:space="0" w:color="auto"/>
          <w:right w:val="none" w:sz="0" w:space="0" w:color="auto"/>
          <w:bar w:val="none" w:sz="0" w:color="auto"/>
        </w:pBdr>
        <w:rPr>
          <w:rFonts w:ascii="Arial Narrow" w:hAnsi="Arial Narrow"/>
          <w:i/>
          <w:lang w:val="fr-FR"/>
        </w:rPr>
      </w:pPr>
      <w:r>
        <w:rPr>
          <w:noProof/>
          <w:lang w:val="ro-RO" w:eastAsia="ro-RO"/>
        </w:rPr>
        <w:lastRenderedPageBreak/>
        <w:drawing>
          <wp:anchor distT="48768" distB="144018" distL="729996" distR="604647" simplePos="0" relativeHeight="251661824" behindDoc="0" locked="0" layoutInCell="1" allowOverlap="1" wp14:anchorId="58E80229" wp14:editId="1A73CF1D">
            <wp:simplePos x="0" y="0"/>
            <wp:positionH relativeFrom="column">
              <wp:posOffset>139700</wp:posOffset>
            </wp:positionH>
            <wp:positionV relativeFrom="paragraph">
              <wp:posOffset>-214630</wp:posOffset>
            </wp:positionV>
            <wp:extent cx="3942080" cy="2340610"/>
            <wp:effectExtent l="0" t="0" r="1270" b="2540"/>
            <wp:wrapSquare wrapText="bothSides"/>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noProof/>
          <w:lang w:val="ro-RO" w:eastAsia="ro-RO"/>
        </w:rPr>
        <w:drawing>
          <wp:anchor distT="146304" distB="145923" distL="1168908" distR="1016127" simplePos="0" relativeHeight="251662848" behindDoc="0" locked="0" layoutInCell="1" allowOverlap="1" wp14:anchorId="7F7F7CE9" wp14:editId="74438394">
            <wp:simplePos x="0" y="0"/>
            <wp:positionH relativeFrom="column">
              <wp:posOffset>4959985</wp:posOffset>
            </wp:positionH>
            <wp:positionV relativeFrom="paragraph">
              <wp:posOffset>-176530</wp:posOffset>
            </wp:positionV>
            <wp:extent cx="3909060" cy="2499995"/>
            <wp:effectExtent l="0" t="0" r="0" b="635"/>
            <wp:wrapSquare wrapText="bothSides"/>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092C4F2E" w14:textId="24B9204F" w:rsidR="00896C08" w:rsidRDefault="00154901">
      <w:pPr>
        <w:pBdr>
          <w:top w:val="none" w:sz="0" w:space="0" w:color="auto"/>
          <w:left w:val="none" w:sz="0" w:space="0" w:color="auto"/>
          <w:bottom w:val="none" w:sz="0" w:space="0" w:color="auto"/>
          <w:right w:val="none" w:sz="0" w:space="0" w:color="auto"/>
          <w:bar w:val="none" w:sz="0" w:color="auto"/>
        </w:pBdr>
        <w:rPr>
          <w:rFonts w:ascii="Arial Narrow" w:hAnsi="Arial Narrow"/>
        </w:rPr>
      </w:pPr>
      <w:r>
        <w:rPr>
          <w:rFonts w:ascii="Arial Narrow" w:hAnsi="Arial Narrow"/>
        </w:rPr>
        <w:t>Ş</w:t>
      </w:r>
      <w:r w:rsidR="00896C08">
        <w:rPr>
          <w:rFonts w:ascii="Arial Narrow" w:hAnsi="Arial Narrow"/>
        </w:rPr>
        <w:t>edin</w:t>
      </w:r>
      <w:r>
        <w:rPr>
          <w:rFonts w:ascii="Arial Narrow" w:hAnsi="Arial Narrow"/>
        </w:rPr>
        <w:t>ț</w:t>
      </w:r>
      <w:r w:rsidR="00896C08">
        <w:rPr>
          <w:rFonts w:ascii="Arial Narrow" w:hAnsi="Arial Narrow"/>
        </w:rPr>
        <w:t xml:space="preserve">ele de consultare a publicului, conform programului anunţat public, în 12 UAT-uri astfel: </w:t>
      </w:r>
    </w:p>
    <w:p w14:paraId="03E65156" w14:textId="77777777" w:rsidR="00896C08" w:rsidRDefault="00896C08">
      <w:pPr>
        <w:pBdr>
          <w:top w:val="none" w:sz="0" w:space="0" w:color="auto"/>
          <w:left w:val="none" w:sz="0" w:space="0" w:color="auto"/>
          <w:bottom w:val="none" w:sz="0" w:space="0" w:color="auto"/>
          <w:right w:val="none" w:sz="0" w:space="0" w:color="auto"/>
          <w:bar w:val="none" w:sz="0" w:color="auto"/>
        </w:pBdr>
        <w:tabs>
          <w:tab w:val="left" w:pos="4500"/>
        </w:tabs>
        <w:rPr>
          <w:rFonts w:ascii="Arial Narrow" w:hAnsi="Arial Narrow"/>
        </w:rPr>
      </w:pPr>
      <w:r>
        <w:rPr>
          <w:rFonts w:ascii="Arial Narrow" w:hAnsi="Arial Narrow"/>
        </w:rPr>
        <w:tab/>
        <w:t xml:space="preserve">  </w:t>
      </w:r>
    </w:p>
    <w:tbl>
      <w:tblPr>
        <w:tblW w:w="0" w:type="auto"/>
        <w:tblCellSpacing w:w="20" w:type="dxa"/>
        <w:tblInd w:w="42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1272"/>
        <w:gridCol w:w="1387"/>
        <w:gridCol w:w="2173"/>
        <w:gridCol w:w="1660"/>
        <w:gridCol w:w="3289"/>
        <w:gridCol w:w="2177"/>
        <w:gridCol w:w="1573"/>
      </w:tblGrid>
      <w:tr w:rsidR="00896C08" w:rsidRPr="00070897" w14:paraId="10A4F76D" w14:textId="77777777" w:rsidTr="00B3596A">
        <w:trPr>
          <w:tblCellSpacing w:w="20" w:type="dxa"/>
        </w:trPr>
        <w:tc>
          <w:tcPr>
            <w:tcW w:w="1212" w:type="dxa"/>
          </w:tcPr>
          <w:p w14:paraId="35CAF781"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24.10.2016 </w:t>
            </w:r>
          </w:p>
        </w:tc>
        <w:tc>
          <w:tcPr>
            <w:tcW w:w="1363" w:type="dxa"/>
          </w:tcPr>
          <w:p w14:paraId="4685F098"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Mârşa</w:t>
            </w:r>
          </w:p>
        </w:tc>
        <w:tc>
          <w:tcPr>
            <w:tcW w:w="2170" w:type="dxa"/>
          </w:tcPr>
          <w:p w14:paraId="1B6BE42B"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jud.Giurgiu</w:t>
            </w:r>
          </w:p>
        </w:tc>
        <w:tc>
          <w:tcPr>
            <w:tcW w:w="1648" w:type="dxa"/>
          </w:tcPr>
          <w:p w14:paraId="151CFD25"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Bucureşti</w:t>
            </w:r>
          </w:p>
        </w:tc>
        <w:tc>
          <w:tcPr>
            <w:tcW w:w="3384" w:type="dxa"/>
          </w:tcPr>
          <w:p w14:paraId="14283EC6"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6,3 km conducta</w:t>
            </w:r>
          </w:p>
        </w:tc>
        <w:tc>
          <w:tcPr>
            <w:tcW w:w="2203" w:type="dxa"/>
            <w:vMerge w:val="restart"/>
            <w:vAlign w:val="center"/>
          </w:tcPr>
          <w:p w14:paraId="66FCEC99" w14:textId="77777777" w:rsidR="00896C08" w:rsidRPr="000A5186"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lang w:val="fr-FR"/>
              </w:rPr>
            </w:pPr>
            <w:r w:rsidRPr="000A5186">
              <w:rPr>
                <w:rFonts w:ascii="Arial Narrow" w:eastAsia="SimSun" w:hAnsi="Arial Narrow"/>
                <w:lang w:val="fr-FR"/>
              </w:rPr>
              <w:t>10,2 km  conductă pe raza ET Bucureşti</w:t>
            </w:r>
          </w:p>
        </w:tc>
        <w:tc>
          <w:tcPr>
            <w:tcW w:w="1543" w:type="dxa"/>
            <w:vMerge w:val="restart"/>
          </w:tcPr>
          <w:p w14:paraId="100D8C0B" w14:textId="77777777" w:rsidR="00896C08" w:rsidRPr="000A5186"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lang w:val="fr-FR"/>
              </w:rPr>
            </w:pPr>
          </w:p>
          <w:p w14:paraId="72C22908" w14:textId="77777777" w:rsidR="00896C08" w:rsidRPr="000A5186"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lang w:val="fr-FR"/>
              </w:rPr>
            </w:pPr>
          </w:p>
          <w:p w14:paraId="1DAD0A19" w14:textId="77777777" w:rsidR="00896C08" w:rsidRPr="000A5186"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lang w:val="fr-FR"/>
              </w:rPr>
            </w:pPr>
          </w:p>
          <w:p w14:paraId="12693408"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rPr>
            </w:pPr>
            <w:r w:rsidRPr="0041253A">
              <w:rPr>
                <w:rFonts w:ascii="Arial Narrow" w:eastAsia="SimSun" w:hAnsi="Arial Narrow"/>
              </w:rPr>
              <w:t xml:space="preserve">111.10 km conducta </w:t>
            </w:r>
          </w:p>
          <w:p w14:paraId="68FDCD4D"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rPr>
            </w:pPr>
          </w:p>
          <w:p w14:paraId="6BB9FE3A"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rPr>
            </w:pPr>
          </w:p>
          <w:p w14:paraId="595AEF8E"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rPr>
            </w:pPr>
            <w:r w:rsidRPr="0041253A">
              <w:rPr>
                <w:rFonts w:ascii="Arial Narrow" w:eastAsia="SimSun" w:hAnsi="Arial Narrow"/>
              </w:rPr>
              <w:t>10 mii mp OS la Guşoieni  + depozit de ţeavă</w:t>
            </w:r>
          </w:p>
        </w:tc>
      </w:tr>
      <w:tr w:rsidR="00896C08" w:rsidRPr="00070897" w14:paraId="0F6D5CE4" w14:textId="77777777" w:rsidTr="00B3596A">
        <w:trPr>
          <w:tblCellSpacing w:w="20" w:type="dxa"/>
        </w:trPr>
        <w:tc>
          <w:tcPr>
            <w:tcW w:w="1212" w:type="dxa"/>
          </w:tcPr>
          <w:p w14:paraId="23B4C61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25.10.2016 </w:t>
            </w:r>
          </w:p>
        </w:tc>
        <w:tc>
          <w:tcPr>
            <w:tcW w:w="1363" w:type="dxa"/>
          </w:tcPr>
          <w:p w14:paraId="69207B15"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Gratia</w:t>
            </w:r>
          </w:p>
        </w:tc>
        <w:tc>
          <w:tcPr>
            <w:tcW w:w="2170" w:type="dxa"/>
          </w:tcPr>
          <w:p w14:paraId="1E1EB1D8"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jud.Teleorman</w:t>
            </w:r>
          </w:p>
        </w:tc>
        <w:tc>
          <w:tcPr>
            <w:tcW w:w="1648" w:type="dxa"/>
          </w:tcPr>
          <w:p w14:paraId="1A995D73"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Bucureşti</w:t>
            </w:r>
          </w:p>
        </w:tc>
        <w:tc>
          <w:tcPr>
            <w:tcW w:w="3384" w:type="dxa"/>
          </w:tcPr>
          <w:p w14:paraId="08A2BE2D"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3,9 km conducta</w:t>
            </w:r>
          </w:p>
        </w:tc>
        <w:tc>
          <w:tcPr>
            <w:tcW w:w="2203" w:type="dxa"/>
            <w:vMerge/>
          </w:tcPr>
          <w:p w14:paraId="66667D11"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c>
          <w:tcPr>
            <w:tcW w:w="1543" w:type="dxa"/>
            <w:vMerge/>
          </w:tcPr>
          <w:p w14:paraId="04D8E246"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r>
      <w:tr w:rsidR="00896C08" w:rsidRPr="009A1ED3" w14:paraId="21C12A16" w14:textId="77777777" w:rsidTr="00B3596A">
        <w:trPr>
          <w:tblCellSpacing w:w="20" w:type="dxa"/>
        </w:trPr>
        <w:tc>
          <w:tcPr>
            <w:tcW w:w="1212" w:type="dxa"/>
          </w:tcPr>
          <w:p w14:paraId="719158EA"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26.10.2016 </w:t>
            </w:r>
          </w:p>
        </w:tc>
        <w:tc>
          <w:tcPr>
            <w:tcW w:w="1363" w:type="dxa"/>
          </w:tcPr>
          <w:p w14:paraId="700CEAC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Bârla</w:t>
            </w:r>
          </w:p>
        </w:tc>
        <w:tc>
          <w:tcPr>
            <w:tcW w:w="2170" w:type="dxa"/>
          </w:tcPr>
          <w:p w14:paraId="3A9822DF"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jud.Argeş</w:t>
            </w:r>
          </w:p>
        </w:tc>
        <w:tc>
          <w:tcPr>
            <w:tcW w:w="1648" w:type="dxa"/>
          </w:tcPr>
          <w:p w14:paraId="797E969B"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Craiova</w:t>
            </w:r>
          </w:p>
        </w:tc>
        <w:tc>
          <w:tcPr>
            <w:tcW w:w="3384" w:type="dxa"/>
          </w:tcPr>
          <w:p w14:paraId="0864B11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10,1 km conductă</w:t>
            </w:r>
          </w:p>
        </w:tc>
        <w:tc>
          <w:tcPr>
            <w:tcW w:w="2203" w:type="dxa"/>
            <w:vMerge w:val="restart"/>
            <w:vAlign w:val="center"/>
          </w:tcPr>
          <w:p w14:paraId="19EAB811" w14:textId="77777777" w:rsidR="00896C08" w:rsidRPr="000A5186"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lang w:val="fr-FR"/>
              </w:rPr>
            </w:pPr>
            <w:r w:rsidRPr="000A5186">
              <w:rPr>
                <w:rFonts w:ascii="Arial Narrow" w:eastAsia="SimSun" w:hAnsi="Arial Narrow"/>
                <w:lang w:val="fr-FR"/>
              </w:rPr>
              <w:t>62,4 km conductă pe raza ET Craiova  plus 10 mii mp OS la Guşoieni  + depozit de ţeavă</w:t>
            </w:r>
          </w:p>
        </w:tc>
        <w:tc>
          <w:tcPr>
            <w:tcW w:w="1543" w:type="dxa"/>
            <w:vMerge/>
          </w:tcPr>
          <w:p w14:paraId="5CA42F8D" w14:textId="77777777" w:rsidR="00896C08" w:rsidRPr="000A5186"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lang w:val="fr-FR"/>
              </w:rPr>
            </w:pPr>
          </w:p>
        </w:tc>
      </w:tr>
      <w:tr w:rsidR="00896C08" w:rsidRPr="00070897" w14:paraId="7AE62513" w14:textId="77777777" w:rsidTr="00B3596A">
        <w:trPr>
          <w:tblCellSpacing w:w="20" w:type="dxa"/>
        </w:trPr>
        <w:tc>
          <w:tcPr>
            <w:tcW w:w="1212" w:type="dxa"/>
          </w:tcPr>
          <w:p w14:paraId="0A785D1F"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27.10.2016  </w:t>
            </w:r>
          </w:p>
        </w:tc>
        <w:tc>
          <w:tcPr>
            <w:tcW w:w="1363" w:type="dxa"/>
          </w:tcPr>
          <w:p w14:paraId="46991A8B"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Potcoava</w:t>
            </w:r>
          </w:p>
        </w:tc>
        <w:tc>
          <w:tcPr>
            <w:tcW w:w="2170" w:type="dxa"/>
          </w:tcPr>
          <w:p w14:paraId="7A9C2DBE"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jud.Olt</w:t>
            </w:r>
          </w:p>
        </w:tc>
        <w:tc>
          <w:tcPr>
            <w:tcW w:w="1648" w:type="dxa"/>
          </w:tcPr>
          <w:p w14:paraId="5493DDC4"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Craiova</w:t>
            </w:r>
          </w:p>
        </w:tc>
        <w:tc>
          <w:tcPr>
            <w:tcW w:w="3384" w:type="dxa"/>
          </w:tcPr>
          <w:p w14:paraId="47AF78E7"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5,7 km conductă</w:t>
            </w:r>
          </w:p>
        </w:tc>
        <w:tc>
          <w:tcPr>
            <w:tcW w:w="2203" w:type="dxa"/>
            <w:vMerge/>
          </w:tcPr>
          <w:p w14:paraId="31BE0172"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c>
          <w:tcPr>
            <w:tcW w:w="1543" w:type="dxa"/>
            <w:vMerge/>
          </w:tcPr>
          <w:p w14:paraId="614A4FD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r>
      <w:tr w:rsidR="00896C08" w:rsidRPr="009A1ED3" w14:paraId="74CE8F97" w14:textId="77777777" w:rsidTr="00B3596A">
        <w:trPr>
          <w:tblCellSpacing w:w="20" w:type="dxa"/>
        </w:trPr>
        <w:tc>
          <w:tcPr>
            <w:tcW w:w="1212" w:type="dxa"/>
          </w:tcPr>
          <w:p w14:paraId="6A2943A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28.10.2016 </w:t>
            </w:r>
          </w:p>
        </w:tc>
        <w:tc>
          <w:tcPr>
            <w:tcW w:w="1363" w:type="dxa"/>
          </w:tcPr>
          <w:p w14:paraId="4C158AAD"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Guşoieni</w:t>
            </w:r>
          </w:p>
        </w:tc>
        <w:tc>
          <w:tcPr>
            <w:tcW w:w="2170" w:type="dxa"/>
          </w:tcPr>
          <w:p w14:paraId="7175F858"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jud.Vâlcea</w:t>
            </w:r>
          </w:p>
        </w:tc>
        <w:tc>
          <w:tcPr>
            <w:tcW w:w="1648" w:type="dxa"/>
          </w:tcPr>
          <w:p w14:paraId="55C53E94"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Craiova</w:t>
            </w:r>
          </w:p>
        </w:tc>
        <w:tc>
          <w:tcPr>
            <w:tcW w:w="3384" w:type="dxa"/>
          </w:tcPr>
          <w:p w14:paraId="0AFEA24A" w14:textId="77777777" w:rsidR="00896C08" w:rsidRPr="000A5186"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lang w:val="pt-BR"/>
              </w:rPr>
            </w:pPr>
            <w:r w:rsidRPr="000A5186">
              <w:rPr>
                <w:rFonts w:ascii="Arial Narrow" w:eastAsia="SimSun" w:hAnsi="Arial Narrow"/>
                <w:lang w:val="pt-BR"/>
              </w:rPr>
              <w:t>13 km conductă + 10 mii mp OS + depozit de ţeavă</w:t>
            </w:r>
          </w:p>
        </w:tc>
        <w:tc>
          <w:tcPr>
            <w:tcW w:w="2203" w:type="dxa"/>
            <w:vMerge/>
          </w:tcPr>
          <w:p w14:paraId="65A4A149" w14:textId="77777777" w:rsidR="00896C08" w:rsidRPr="000A5186"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lang w:val="pt-BR"/>
              </w:rPr>
            </w:pPr>
          </w:p>
        </w:tc>
        <w:tc>
          <w:tcPr>
            <w:tcW w:w="1543" w:type="dxa"/>
            <w:vMerge/>
          </w:tcPr>
          <w:p w14:paraId="77CC5465" w14:textId="77777777" w:rsidR="00896C08" w:rsidRPr="000A5186"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lang w:val="pt-BR"/>
              </w:rPr>
            </w:pPr>
          </w:p>
        </w:tc>
      </w:tr>
      <w:tr w:rsidR="00896C08" w:rsidRPr="00070897" w14:paraId="63A98779" w14:textId="77777777" w:rsidTr="00B3596A">
        <w:trPr>
          <w:tblCellSpacing w:w="20" w:type="dxa"/>
        </w:trPr>
        <w:tc>
          <w:tcPr>
            <w:tcW w:w="1212" w:type="dxa"/>
          </w:tcPr>
          <w:p w14:paraId="33677916"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31.10.2016 </w:t>
            </w:r>
          </w:p>
        </w:tc>
        <w:tc>
          <w:tcPr>
            <w:tcW w:w="1363" w:type="dxa"/>
          </w:tcPr>
          <w:p w14:paraId="239D03C1"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Măciuca</w:t>
            </w:r>
          </w:p>
        </w:tc>
        <w:tc>
          <w:tcPr>
            <w:tcW w:w="2170" w:type="dxa"/>
          </w:tcPr>
          <w:p w14:paraId="59A5D6E2"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jud.Vâlcea</w:t>
            </w:r>
          </w:p>
        </w:tc>
        <w:tc>
          <w:tcPr>
            <w:tcW w:w="1648" w:type="dxa"/>
          </w:tcPr>
          <w:p w14:paraId="4A3178CA"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ETCraiova</w:t>
            </w:r>
          </w:p>
        </w:tc>
        <w:tc>
          <w:tcPr>
            <w:tcW w:w="3384" w:type="dxa"/>
          </w:tcPr>
          <w:p w14:paraId="66F3AB4E"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9,8 km conductă</w:t>
            </w:r>
          </w:p>
        </w:tc>
        <w:tc>
          <w:tcPr>
            <w:tcW w:w="2203" w:type="dxa"/>
            <w:vMerge/>
          </w:tcPr>
          <w:p w14:paraId="2CFFCBF1"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c>
          <w:tcPr>
            <w:tcW w:w="1543" w:type="dxa"/>
            <w:vMerge/>
          </w:tcPr>
          <w:p w14:paraId="6C3FB903"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r>
      <w:tr w:rsidR="00896C08" w:rsidRPr="00070897" w14:paraId="74EE6510" w14:textId="77777777" w:rsidTr="00B3596A">
        <w:trPr>
          <w:tblCellSpacing w:w="20" w:type="dxa"/>
        </w:trPr>
        <w:tc>
          <w:tcPr>
            <w:tcW w:w="1212" w:type="dxa"/>
          </w:tcPr>
          <w:p w14:paraId="79BF0FA2"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01.11.2016 </w:t>
            </w:r>
          </w:p>
        </w:tc>
        <w:tc>
          <w:tcPr>
            <w:tcW w:w="1363" w:type="dxa"/>
          </w:tcPr>
          <w:p w14:paraId="31C7C286"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Bălăneşti</w:t>
            </w:r>
          </w:p>
        </w:tc>
        <w:tc>
          <w:tcPr>
            <w:tcW w:w="2170" w:type="dxa"/>
          </w:tcPr>
          <w:p w14:paraId="577E4E25"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jud.Gorj</w:t>
            </w:r>
          </w:p>
        </w:tc>
        <w:tc>
          <w:tcPr>
            <w:tcW w:w="1648" w:type="dxa"/>
          </w:tcPr>
          <w:p w14:paraId="2388B583"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Craiova</w:t>
            </w:r>
          </w:p>
        </w:tc>
        <w:tc>
          <w:tcPr>
            <w:tcW w:w="3384" w:type="dxa"/>
          </w:tcPr>
          <w:p w14:paraId="4EA834C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10,5 km conductă</w:t>
            </w:r>
          </w:p>
        </w:tc>
        <w:tc>
          <w:tcPr>
            <w:tcW w:w="2203" w:type="dxa"/>
            <w:vMerge/>
          </w:tcPr>
          <w:p w14:paraId="25FDE6D3"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c>
          <w:tcPr>
            <w:tcW w:w="1543" w:type="dxa"/>
            <w:vMerge/>
          </w:tcPr>
          <w:p w14:paraId="188D0465"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r>
      <w:tr w:rsidR="00896C08" w:rsidRPr="00070897" w14:paraId="722FF5F2" w14:textId="77777777" w:rsidTr="00B3596A">
        <w:trPr>
          <w:trHeight w:val="188"/>
          <w:tblCellSpacing w:w="20" w:type="dxa"/>
        </w:trPr>
        <w:tc>
          <w:tcPr>
            <w:tcW w:w="1212" w:type="dxa"/>
          </w:tcPr>
          <w:p w14:paraId="78A816DD"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02.11.2016 </w:t>
            </w:r>
          </w:p>
        </w:tc>
        <w:tc>
          <w:tcPr>
            <w:tcW w:w="1363" w:type="dxa"/>
          </w:tcPr>
          <w:p w14:paraId="63820675"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Turcineşti</w:t>
            </w:r>
          </w:p>
        </w:tc>
        <w:tc>
          <w:tcPr>
            <w:tcW w:w="2170" w:type="dxa"/>
          </w:tcPr>
          <w:p w14:paraId="0E3E9F2F"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jud.Gorj</w:t>
            </w:r>
          </w:p>
        </w:tc>
        <w:tc>
          <w:tcPr>
            <w:tcW w:w="1648" w:type="dxa"/>
          </w:tcPr>
          <w:p w14:paraId="136D780A"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Craiova</w:t>
            </w:r>
          </w:p>
        </w:tc>
        <w:tc>
          <w:tcPr>
            <w:tcW w:w="3384" w:type="dxa"/>
          </w:tcPr>
          <w:p w14:paraId="69A2C051"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13.3 km conductă</w:t>
            </w:r>
          </w:p>
        </w:tc>
        <w:tc>
          <w:tcPr>
            <w:tcW w:w="2203" w:type="dxa"/>
            <w:vMerge/>
          </w:tcPr>
          <w:p w14:paraId="23B8D578"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c>
          <w:tcPr>
            <w:tcW w:w="1543" w:type="dxa"/>
            <w:vMerge/>
          </w:tcPr>
          <w:p w14:paraId="04E2219B"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r>
      <w:tr w:rsidR="00896C08" w:rsidRPr="00070897" w14:paraId="4E07C103" w14:textId="77777777" w:rsidTr="00B3596A">
        <w:trPr>
          <w:tblCellSpacing w:w="20" w:type="dxa"/>
        </w:trPr>
        <w:tc>
          <w:tcPr>
            <w:tcW w:w="1212" w:type="dxa"/>
          </w:tcPr>
          <w:p w14:paraId="34FB3F6C"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03.11.2016 </w:t>
            </w:r>
          </w:p>
        </w:tc>
        <w:tc>
          <w:tcPr>
            <w:tcW w:w="1363" w:type="dxa"/>
          </w:tcPr>
          <w:p w14:paraId="25BCEB7A"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Toteşti</w:t>
            </w:r>
          </w:p>
        </w:tc>
        <w:tc>
          <w:tcPr>
            <w:tcW w:w="2170" w:type="dxa"/>
          </w:tcPr>
          <w:p w14:paraId="5BA2679C"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jud.Hunedoara</w:t>
            </w:r>
          </w:p>
        </w:tc>
        <w:tc>
          <w:tcPr>
            <w:tcW w:w="1648" w:type="dxa"/>
          </w:tcPr>
          <w:p w14:paraId="006D9FAC"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Arad</w:t>
            </w:r>
          </w:p>
        </w:tc>
        <w:tc>
          <w:tcPr>
            <w:tcW w:w="3384" w:type="dxa"/>
          </w:tcPr>
          <w:p w14:paraId="08932E5A"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 9.2 km conductă</w:t>
            </w:r>
          </w:p>
        </w:tc>
        <w:tc>
          <w:tcPr>
            <w:tcW w:w="2203" w:type="dxa"/>
            <w:vMerge w:val="restart"/>
            <w:vAlign w:val="center"/>
          </w:tcPr>
          <w:p w14:paraId="6FD7542F" w14:textId="77777777" w:rsidR="00E50424" w:rsidRDefault="00E50424"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rPr>
            </w:pPr>
          </w:p>
          <w:p w14:paraId="1165F443"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rPr>
            </w:pPr>
            <w:r w:rsidRPr="0041253A">
              <w:rPr>
                <w:rFonts w:ascii="Arial Narrow" w:eastAsia="SimSun" w:hAnsi="Arial Narrow"/>
              </w:rPr>
              <w:t>38,5 km conductă</w:t>
            </w:r>
          </w:p>
        </w:tc>
        <w:tc>
          <w:tcPr>
            <w:tcW w:w="1543" w:type="dxa"/>
            <w:vMerge/>
          </w:tcPr>
          <w:p w14:paraId="0F586AD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jc w:val="center"/>
              <w:rPr>
                <w:rFonts w:ascii="Arial Narrow" w:eastAsia="SimSun" w:hAnsi="Arial Narrow"/>
              </w:rPr>
            </w:pPr>
          </w:p>
        </w:tc>
      </w:tr>
      <w:tr w:rsidR="00896C08" w:rsidRPr="00070897" w14:paraId="23808EF0" w14:textId="77777777" w:rsidTr="00B3596A">
        <w:trPr>
          <w:tblCellSpacing w:w="20" w:type="dxa"/>
        </w:trPr>
        <w:tc>
          <w:tcPr>
            <w:tcW w:w="1212" w:type="dxa"/>
          </w:tcPr>
          <w:p w14:paraId="1A847ECD"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04.11.2016</w:t>
            </w:r>
          </w:p>
        </w:tc>
        <w:tc>
          <w:tcPr>
            <w:tcW w:w="1363" w:type="dxa"/>
          </w:tcPr>
          <w:p w14:paraId="68012D13"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Băuţar</w:t>
            </w:r>
          </w:p>
        </w:tc>
        <w:tc>
          <w:tcPr>
            <w:tcW w:w="2170" w:type="dxa"/>
          </w:tcPr>
          <w:p w14:paraId="102B315C"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jud.Caraş Severin</w:t>
            </w:r>
          </w:p>
        </w:tc>
        <w:tc>
          <w:tcPr>
            <w:tcW w:w="1648" w:type="dxa"/>
          </w:tcPr>
          <w:p w14:paraId="641148C6"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Arad</w:t>
            </w:r>
          </w:p>
        </w:tc>
        <w:tc>
          <w:tcPr>
            <w:tcW w:w="3384" w:type="dxa"/>
          </w:tcPr>
          <w:p w14:paraId="0621B02C"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13.5 km conductă</w:t>
            </w:r>
          </w:p>
        </w:tc>
        <w:tc>
          <w:tcPr>
            <w:tcW w:w="2203" w:type="dxa"/>
            <w:vMerge/>
          </w:tcPr>
          <w:p w14:paraId="55702C1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c>
          <w:tcPr>
            <w:tcW w:w="1543" w:type="dxa"/>
            <w:vMerge/>
          </w:tcPr>
          <w:p w14:paraId="4B58AA0D"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p>
        </w:tc>
      </w:tr>
      <w:tr w:rsidR="00896C08" w:rsidRPr="00070897" w14:paraId="3AAF4158" w14:textId="77777777" w:rsidTr="00B3596A">
        <w:trPr>
          <w:tblCellSpacing w:w="20" w:type="dxa"/>
        </w:trPr>
        <w:tc>
          <w:tcPr>
            <w:tcW w:w="1212" w:type="dxa"/>
          </w:tcPr>
          <w:p w14:paraId="15F85B57"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07.11.2016</w:t>
            </w:r>
          </w:p>
        </w:tc>
        <w:tc>
          <w:tcPr>
            <w:tcW w:w="1363" w:type="dxa"/>
          </w:tcPr>
          <w:p w14:paraId="73D4DD63"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Obreja</w:t>
            </w:r>
          </w:p>
        </w:tc>
        <w:tc>
          <w:tcPr>
            <w:tcW w:w="2170" w:type="dxa"/>
          </w:tcPr>
          <w:p w14:paraId="483E156D"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jud.Caraş Severin</w:t>
            </w:r>
          </w:p>
        </w:tc>
        <w:tc>
          <w:tcPr>
            <w:tcW w:w="1648" w:type="dxa"/>
          </w:tcPr>
          <w:p w14:paraId="10C8D72F"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Arad</w:t>
            </w:r>
          </w:p>
        </w:tc>
        <w:tc>
          <w:tcPr>
            <w:tcW w:w="3384" w:type="dxa"/>
          </w:tcPr>
          <w:p w14:paraId="03F3DEB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8.8 km conductă</w:t>
            </w:r>
          </w:p>
        </w:tc>
        <w:tc>
          <w:tcPr>
            <w:tcW w:w="2203" w:type="dxa"/>
            <w:vMerge/>
          </w:tcPr>
          <w:p w14:paraId="3DB41EF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color w:val="FF0000"/>
              </w:rPr>
            </w:pPr>
          </w:p>
        </w:tc>
        <w:tc>
          <w:tcPr>
            <w:tcW w:w="1543" w:type="dxa"/>
            <w:vMerge/>
          </w:tcPr>
          <w:p w14:paraId="42150009"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color w:val="FF0000"/>
              </w:rPr>
            </w:pPr>
          </w:p>
        </w:tc>
      </w:tr>
      <w:tr w:rsidR="00896C08" w:rsidRPr="00070897" w14:paraId="2F6E599B" w14:textId="77777777" w:rsidTr="00B3596A">
        <w:trPr>
          <w:tblCellSpacing w:w="20" w:type="dxa"/>
        </w:trPr>
        <w:tc>
          <w:tcPr>
            <w:tcW w:w="1212" w:type="dxa"/>
          </w:tcPr>
          <w:p w14:paraId="706AB245"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08.11.2016</w:t>
            </w:r>
          </w:p>
        </w:tc>
        <w:tc>
          <w:tcPr>
            <w:tcW w:w="1363" w:type="dxa"/>
          </w:tcPr>
          <w:p w14:paraId="4845F116"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Costeiu</w:t>
            </w:r>
          </w:p>
        </w:tc>
        <w:tc>
          <w:tcPr>
            <w:tcW w:w="2170" w:type="dxa"/>
          </w:tcPr>
          <w:p w14:paraId="3E3EA1BF"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 xml:space="preserve">Jud.Timiş </w:t>
            </w:r>
          </w:p>
        </w:tc>
        <w:tc>
          <w:tcPr>
            <w:tcW w:w="1648" w:type="dxa"/>
          </w:tcPr>
          <w:p w14:paraId="03D0048B"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ET Arad</w:t>
            </w:r>
          </w:p>
        </w:tc>
        <w:tc>
          <w:tcPr>
            <w:tcW w:w="3384" w:type="dxa"/>
          </w:tcPr>
          <w:p w14:paraId="5E4AE80A"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rPr>
            </w:pPr>
            <w:r w:rsidRPr="0041253A">
              <w:rPr>
                <w:rFonts w:ascii="Arial Narrow" w:eastAsia="SimSun" w:hAnsi="Arial Narrow"/>
              </w:rPr>
              <w:t>7.0 km conductă</w:t>
            </w:r>
          </w:p>
        </w:tc>
        <w:tc>
          <w:tcPr>
            <w:tcW w:w="2203" w:type="dxa"/>
            <w:vMerge/>
          </w:tcPr>
          <w:p w14:paraId="7AB4B387"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color w:val="FF0000"/>
              </w:rPr>
            </w:pPr>
          </w:p>
        </w:tc>
        <w:tc>
          <w:tcPr>
            <w:tcW w:w="1543" w:type="dxa"/>
            <w:vMerge/>
          </w:tcPr>
          <w:p w14:paraId="01583177" w14:textId="77777777" w:rsidR="00896C08" w:rsidRPr="0041253A" w:rsidRDefault="00896C08" w:rsidP="0041253A">
            <w:pPr>
              <w:pBdr>
                <w:top w:val="none" w:sz="0" w:space="0" w:color="auto"/>
                <w:left w:val="none" w:sz="0" w:space="0" w:color="auto"/>
                <w:bottom w:val="none" w:sz="0" w:space="0" w:color="auto"/>
                <w:right w:val="none" w:sz="0" w:space="0" w:color="auto"/>
                <w:bar w:val="none" w:sz="0" w:color="auto"/>
              </w:pBdr>
              <w:rPr>
                <w:rFonts w:ascii="Arial Narrow" w:eastAsia="SimSun" w:hAnsi="Arial Narrow"/>
                <w:color w:val="FF0000"/>
              </w:rPr>
            </w:pPr>
          </w:p>
        </w:tc>
      </w:tr>
    </w:tbl>
    <w:tbl>
      <w:tblPr>
        <w:tblpPr w:leftFromText="180" w:rightFromText="180" w:vertAnchor="text" w:horzAnchor="margin" w:tblpXSpec="center" w:tblpY="-134"/>
        <w:tblW w:w="1509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513"/>
        <w:gridCol w:w="1440"/>
        <w:gridCol w:w="1080"/>
        <w:gridCol w:w="1170"/>
        <w:gridCol w:w="990"/>
        <w:gridCol w:w="900"/>
        <w:gridCol w:w="1260"/>
        <w:gridCol w:w="1262"/>
        <w:gridCol w:w="842"/>
        <w:gridCol w:w="1237"/>
        <w:gridCol w:w="881"/>
        <w:gridCol w:w="688"/>
        <w:gridCol w:w="1390"/>
        <w:gridCol w:w="1440"/>
      </w:tblGrid>
      <w:tr w:rsidR="00896C08" w:rsidRPr="0011042D" w14:paraId="657A0BF2" w14:textId="77777777" w:rsidTr="0011042D">
        <w:trPr>
          <w:trHeight w:val="915"/>
          <w:tblCellSpacing w:w="20" w:type="dxa"/>
        </w:trPr>
        <w:tc>
          <w:tcPr>
            <w:tcW w:w="453" w:type="dxa"/>
            <w:shd w:val="clear" w:color="000000" w:fill="4F81BD"/>
            <w:noWrap/>
            <w:vAlign w:val="center"/>
          </w:tcPr>
          <w:p w14:paraId="37704BB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lastRenderedPageBreak/>
              <w:t>Nr.Crt</w:t>
            </w:r>
          </w:p>
        </w:tc>
        <w:tc>
          <w:tcPr>
            <w:tcW w:w="1400" w:type="dxa"/>
            <w:shd w:val="clear" w:color="000000" w:fill="4F81BD"/>
            <w:vAlign w:val="center"/>
          </w:tcPr>
          <w:p w14:paraId="6A1506CD"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UAT Județ</w:t>
            </w:r>
          </w:p>
        </w:tc>
        <w:tc>
          <w:tcPr>
            <w:tcW w:w="1040" w:type="dxa"/>
            <w:shd w:val="clear" w:color="000000" w:fill="4F81BD"/>
            <w:vAlign w:val="center"/>
          </w:tcPr>
          <w:p w14:paraId="43B2D6DD"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Nume primar</w:t>
            </w:r>
          </w:p>
        </w:tc>
        <w:tc>
          <w:tcPr>
            <w:tcW w:w="1130" w:type="dxa"/>
            <w:shd w:val="clear" w:color="000000" w:fill="4F81BD"/>
            <w:vAlign w:val="center"/>
          </w:tcPr>
          <w:p w14:paraId="3EE9C7CF"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Nume viceprimar</w:t>
            </w:r>
          </w:p>
        </w:tc>
        <w:tc>
          <w:tcPr>
            <w:tcW w:w="950" w:type="dxa"/>
            <w:shd w:val="clear" w:color="000000" w:fill="4F81BD"/>
            <w:noWrap/>
            <w:vAlign w:val="center"/>
          </w:tcPr>
          <w:p w14:paraId="29A31CC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Suprafață</w:t>
            </w:r>
          </w:p>
        </w:tc>
        <w:tc>
          <w:tcPr>
            <w:tcW w:w="860" w:type="dxa"/>
            <w:shd w:val="clear" w:color="000000" w:fill="4F81BD"/>
            <w:vAlign w:val="center"/>
          </w:tcPr>
          <w:p w14:paraId="7193CA3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11042D">
              <w:rPr>
                <w:rFonts w:ascii="Arial Narrow" w:hAnsi="Arial Narrow"/>
                <w:color w:val="FFFFFF"/>
                <w:sz w:val="20"/>
                <w:szCs w:val="20"/>
              </w:rPr>
              <w:t>Nr.loc</w:t>
            </w:r>
          </w:p>
        </w:tc>
        <w:tc>
          <w:tcPr>
            <w:tcW w:w="1220" w:type="dxa"/>
            <w:shd w:val="clear" w:color="000000" w:fill="4F81BD"/>
            <w:vAlign w:val="center"/>
          </w:tcPr>
          <w:p w14:paraId="4DC0BA1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Nr.gospodării</w:t>
            </w:r>
          </w:p>
        </w:tc>
        <w:tc>
          <w:tcPr>
            <w:tcW w:w="1222" w:type="dxa"/>
            <w:shd w:val="clear" w:color="000000" w:fill="4F81BD"/>
            <w:noWrap/>
            <w:vAlign w:val="center"/>
          </w:tcPr>
          <w:p w14:paraId="75AF69E7"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lang w:val="it-IT"/>
              </w:rPr>
            </w:pPr>
            <w:r w:rsidRPr="00B3596A">
              <w:rPr>
                <w:rFonts w:ascii="Arial Narrow" w:hAnsi="Arial Narrow"/>
                <w:color w:val="FFFFFF"/>
                <w:sz w:val="20"/>
                <w:szCs w:val="20"/>
                <w:lang w:val="it-IT"/>
              </w:rPr>
              <w:t>Nr.proprietari identificati pe traseu</w:t>
            </w:r>
          </w:p>
        </w:tc>
        <w:tc>
          <w:tcPr>
            <w:tcW w:w="802" w:type="dxa"/>
            <w:shd w:val="clear" w:color="000000" w:fill="4F81BD"/>
            <w:vAlign w:val="center"/>
          </w:tcPr>
          <w:p w14:paraId="657EBE8C" w14:textId="77777777" w:rsidR="00896C08" w:rsidRPr="0011042D"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Km.conductă/</w:t>
            </w:r>
          </w:p>
          <w:p w14:paraId="4A60F5F9"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UAT</w:t>
            </w:r>
          </w:p>
        </w:tc>
        <w:tc>
          <w:tcPr>
            <w:tcW w:w="1197" w:type="dxa"/>
            <w:shd w:val="clear" w:color="000000" w:fill="4F81BD"/>
            <w:vAlign w:val="center"/>
          </w:tcPr>
          <w:p w14:paraId="04C927A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Categorie teren afectat</w:t>
            </w:r>
          </w:p>
        </w:tc>
        <w:tc>
          <w:tcPr>
            <w:tcW w:w="841" w:type="dxa"/>
            <w:shd w:val="clear" w:color="000000" w:fill="4F81BD"/>
            <w:vAlign w:val="center"/>
          </w:tcPr>
          <w:p w14:paraId="3401FA9F"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11042D">
              <w:rPr>
                <w:rFonts w:ascii="Arial Narrow" w:hAnsi="Arial Narrow"/>
                <w:color w:val="FFFFFF"/>
                <w:sz w:val="20"/>
                <w:szCs w:val="20"/>
              </w:rPr>
              <w:t>Organiz</w:t>
            </w:r>
            <w:r w:rsidRPr="007E3631">
              <w:rPr>
                <w:rFonts w:ascii="Arial Narrow" w:hAnsi="Arial Narrow"/>
                <w:color w:val="FFFFFF"/>
                <w:sz w:val="20"/>
                <w:szCs w:val="20"/>
              </w:rPr>
              <w:t>șantier</w:t>
            </w:r>
          </w:p>
        </w:tc>
        <w:tc>
          <w:tcPr>
            <w:tcW w:w="648" w:type="dxa"/>
            <w:shd w:val="clear" w:color="000000" w:fill="4F81BD"/>
            <w:vAlign w:val="center"/>
          </w:tcPr>
          <w:p w14:paraId="4AF862E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Depozit de țeavă</w:t>
            </w:r>
          </w:p>
        </w:tc>
        <w:tc>
          <w:tcPr>
            <w:tcW w:w="1350" w:type="dxa"/>
            <w:shd w:val="clear" w:color="000000" w:fill="4F81BD"/>
            <w:vAlign w:val="center"/>
          </w:tcPr>
          <w:p w14:paraId="35F71A2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Nr.Participanti la consultare</w:t>
            </w:r>
          </w:p>
        </w:tc>
        <w:tc>
          <w:tcPr>
            <w:tcW w:w="1380" w:type="dxa"/>
            <w:shd w:val="clear" w:color="000000" w:fill="4F81BD"/>
            <w:vAlign w:val="center"/>
          </w:tcPr>
          <w:p w14:paraId="63B302A9"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FFFFFF"/>
                <w:sz w:val="20"/>
                <w:szCs w:val="20"/>
              </w:rPr>
            </w:pPr>
            <w:r w:rsidRPr="007E3631">
              <w:rPr>
                <w:rFonts w:ascii="Arial Narrow" w:hAnsi="Arial Narrow"/>
                <w:color w:val="FFFFFF"/>
                <w:sz w:val="20"/>
                <w:szCs w:val="20"/>
              </w:rPr>
              <w:t>Grad de reprezentare al proprietarilor</w:t>
            </w:r>
          </w:p>
        </w:tc>
      </w:tr>
      <w:tr w:rsidR="00896C08" w:rsidRPr="0011042D" w14:paraId="2D2DE4C2" w14:textId="77777777" w:rsidTr="0011042D">
        <w:trPr>
          <w:trHeight w:val="1305"/>
          <w:tblCellSpacing w:w="20" w:type="dxa"/>
        </w:trPr>
        <w:tc>
          <w:tcPr>
            <w:tcW w:w="453" w:type="dxa"/>
            <w:noWrap/>
            <w:vAlign w:val="center"/>
          </w:tcPr>
          <w:p w14:paraId="16293B1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w:t>
            </w:r>
          </w:p>
        </w:tc>
        <w:tc>
          <w:tcPr>
            <w:tcW w:w="1400" w:type="dxa"/>
            <w:vAlign w:val="center"/>
          </w:tcPr>
          <w:p w14:paraId="46CD1568"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Localit.Mârșa- Jud.Giurgiu</w:t>
            </w:r>
          </w:p>
        </w:tc>
        <w:tc>
          <w:tcPr>
            <w:tcW w:w="1040" w:type="dxa"/>
            <w:vAlign w:val="center"/>
          </w:tcPr>
          <w:p w14:paraId="44BB232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Drăgan Virginia</w:t>
            </w:r>
          </w:p>
        </w:tc>
        <w:tc>
          <w:tcPr>
            <w:tcW w:w="1130" w:type="dxa"/>
            <w:vAlign w:val="center"/>
          </w:tcPr>
          <w:p w14:paraId="5A3F757D"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Badea Ștefan</w:t>
            </w:r>
          </w:p>
        </w:tc>
        <w:tc>
          <w:tcPr>
            <w:tcW w:w="950" w:type="dxa"/>
            <w:vAlign w:val="center"/>
          </w:tcPr>
          <w:p w14:paraId="4F8B27B5"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5770 ha                   Intravilan: 70 ha Extravilan5700  ha</w:t>
            </w:r>
          </w:p>
        </w:tc>
        <w:tc>
          <w:tcPr>
            <w:tcW w:w="860" w:type="dxa"/>
            <w:noWrap/>
            <w:vAlign w:val="center"/>
          </w:tcPr>
          <w:p w14:paraId="287F28C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2,850</w:t>
            </w:r>
          </w:p>
        </w:tc>
        <w:tc>
          <w:tcPr>
            <w:tcW w:w="1220" w:type="dxa"/>
            <w:noWrap/>
            <w:vAlign w:val="center"/>
          </w:tcPr>
          <w:p w14:paraId="314CA5A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1,240</w:t>
            </w:r>
          </w:p>
        </w:tc>
        <w:tc>
          <w:tcPr>
            <w:tcW w:w="1222" w:type="dxa"/>
            <w:noWrap/>
            <w:vAlign w:val="center"/>
          </w:tcPr>
          <w:p w14:paraId="647BAA18"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242</w:t>
            </w:r>
          </w:p>
        </w:tc>
        <w:tc>
          <w:tcPr>
            <w:tcW w:w="802" w:type="dxa"/>
            <w:noWrap/>
            <w:vAlign w:val="center"/>
          </w:tcPr>
          <w:p w14:paraId="77393DE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6.3</w:t>
            </w:r>
          </w:p>
        </w:tc>
        <w:tc>
          <w:tcPr>
            <w:tcW w:w="1197" w:type="dxa"/>
            <w:vAlign w:val="center"/>
          </w:tcPr>
          <w:p w14:paraId="6A09737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w:t>
            </w:r>
          </w:p>
        </w:tc>
        <w:tc>
          <w:tcPr>
            <w:tcW w:w="841" w:type="dxa"/>
            <w:noWrap/>
            <w:vAlign w:val="center"/>
          </w:tcPr>
          <w:p w14:paraId="079F1890"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648" w:type="dxa"/>
            <w:noWrap/>
            <w:vAlign w:val="center"/>
          </w:tcPr>
          <w:p w14:paraId="7D7E039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1350" w:type="dxa"/>
            <w:noWrap/>
            <w:vAlign w:val="center"/>
          </w:tcPr>
          <w:p w14:paraId="665D5375" w14:textId="769BFCBB"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36</w:t>
            </w:r>
          </w:p>
        </w:tc>
        <w:tc>
          <w:tcPr>
            <w:tcW w:w="1380" w:type="dxa"/>
            <w:noWrap/>
            <w:vAlign w:val="center"/>
          </w:tcPr>
          <w:p w14:paraId="25579CFA" w14:textId="593B99C7"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14.9</w:t>
            </w:r>
            <w:r w:rsidR="00896C08" w:rsidRPr="007E3631">
              <w:rPr>
                <w:rFonts w:ascii="Arial Narrow" w:hAnsi="Arial Narrow"/>
                <w:color w:val="000000"/>
                <w:sz w:val="20"/>
                <w:szCs w:val="20"/>
              </w:rPr>
              <w:t>%</w:t>
            </w:r>
          </w:p>
        </w:tc>
      </w:tr>
      <w:tr w:rsidR="00896C08" w:rsidRPr="0011042D" w14:paraId="7F10AA6E" w14:textId="77777777" w:rsidTr="0011042D">
        <w:trPr>
          <w:trHeight w:val="1325"/>
          <w:tblCellSpacing w:w="20" w:type="dxa"/>
        </w:trPr>
        <w:tc>
          <w:tcPr>
            <w:tcW w:w="453" w:type="dxa"/>
            <w:noWrap/>
            <w:vAlign w:val="center"/>
          </w:tcPr>
          <w:p w14:paraId="54ADBA5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w:t>
            </w:r>
          </w:p>
        </w:tc>
        <w:tc>
          <w:tcPr>
            <w:tcW w:w="1400" w:type="dxa"/>
            <w:vAlign w:val="center"/>
          </w:tcPr>
          <w:p w14:paraId="27D1BF7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 xml:space="preserve">Localit.Gratia Jud.Teleorman </w:t>
            </w:r>
          </w:p>
        </w:tc>
        <w:tc>
          <w:tcPr>
            <w:tcW w:w="1040" w:type="dxa"/>
            <w:vAlign w:val="center"/>
          </w:tcPr>
          <w:p w14:paraId="34AA4238"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Florea Ioan</w:t>
            </w:r>
          </w:p>
        </w:tc>
        <w:tc>
          <w:tcPr>
            <w:tcW w:w="1130" w:type="dxa"/>
            <w:vAlign w:val="center"/>
          </w:tcPr>
          <w:p w14:paraId="02BB34F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Dragușin Doru Marius</w:t>
            </w:r>
          </w:p>
        </w:tc>
        <w:tc>
          <w:tcPr>
            <w:tcW w:w="950" w:type="dxa"/>
            <w:vAlign w:val="center"/>
          </w:tcPr>
          <w:p w14:paraId="62EB9A4E"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3813  ha                    Intravilan: 334 ha Extravilan3479  ha</w:t>
            </w:r>
          </w:p>
        </w:tc>
        <w:tc>
          <w:tcPr>
            <w:tcW w:w="860" w:type="dxa"/>
            <w:noWrap/>
            <w:vAlign w:val="center"/>
          </w:tcPr>
          <w:p w14:paraId="038B937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3,936</w:t>
            </w:r>
          </w:p>
        </w:tc>
        <w:tc>
          <w:tcPr>
            <w:tcW w:w="1220" w:type="dxa"/>
            <w:noWrap/>
            <w:vAlign w:val="center"/>
          </w:tcPr>
          <w:p w14:paraId="1CA5AACE"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1,248</w:t>
            </w:r>
          </w:p>
        </w:tc>
        <w:tc>
          <w:tcPr>
            <w:tcW w:w="1222" w:type="dxa"/>
            <w:noWrap/>
            <w:vAlign w:val="center"/>
          </w:tcPr>
          <w:p w14:paraId="1A966180"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215</w:t>
            </w:r>
          </w:p>
        </w:tc>
        <w:tc>
          <w:tcPr>
            <w:tcW w:w="802" w:type="dxa"/>
            <w:noWrap/>
            <w:vAlign w:val="center"/>
          </w:tcPr>
          <w:p w14:paraId="16273BF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3.9</w:t>
            </w:r>
          </w:p>
        </w:tc>
        <w:tc>
          <w:tcPr>
            <w:tcW w:w="1197" w:type="dxa"/>
            <w:vAlign w:val="center"/>
          </w:tcPr>
          <w:p w14:paraId="7A349C7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w:t>
            </w:r>
          </w:p>
        </w:tc>
        <w:tc>
          <w:tcPr>
            <w:tcW w:w="841" w:type="dxa"/>
            <w:noWrap/>
            <w:vAlign w:val="center"/>
          </w:tcPr>
          <w:p w14:paraId="4F6284D9"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648" w:type="dxa"/>
            <w:noWrap/>
            <w:vAlign w:val="center"/>
          </w:tcPr>
          <w:p w14:paraId="118F64F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1350" w:type="dxa"/>
            <w:noWrap/>
            <w:vAlign w:val="center"/>
          </w:tcPr>
          <w:p w14:paraId="4520C29A" w14:textId="5E874D45"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27</w:t>
            </w:r>
          </w:p>
        </w:tc>
        <w:tc>
          <w:tcPr>
            <w:tcW w:w="1380" w:type="dxa"/>
            <w:noWrap/>
            <w:vAlign w:val="center"/>
          </w:tcPr>
          <w:p w14:paraId="14D65F3F" w14:textId="07AC3214"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12.6</w:t>
            </w:r>
            <w:r w:rsidR="00896C08" w:rsidRPr="007E3631">
              <w:rPr>
                <w:rFonts w:ascii="Arial Narrow" w:hAnsi="Arial Narrow"/>
                <w:color w:val="000000"/>
                <w:sz w:val="20"/>
                <w:szCs w:val="20"/>
              </w:rPr>
              <w:t>%</w:t>
            </w:r>
          </w:p>
        </w:tc>
      </w:tr>
      <w:tr w:rsidR="00896C08" w:rsidRPr="0011042D" w14:paraId="5CA72820" w14:textId="77777777" w:rsidTr="0011042D">
        <w:trPr>
          <w:trHeight w:val="1298"/>
          <w:tblCellSpacing w:w="20" w:type="dxa"/>
        </w:trPr>
        <w:tc>
          <w:tcPr>
            <w:tcW w:w="453" w:type="dxa"/>
            <w:noWrap/>
            <w:vAlign w:val="center"/>
          </w:tcPr>
          <w:p w14:paraId="3D674728"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3</w:t>
            </w:r>
          </w:p>
        </w:tc>
        <w:tc>
          <w:tcPr>
            <w:tcW w:w="1400" w:type="dxa"/>
            <w:vAlign w:val="center"/>
          </w:tcPr>
          <w:p w14:paraId="3E21937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Localit.Bârla Jud.Argeș</w:t>
            </w:r>
          </w:p>
        </w:tc>
        <w:tc>
          <w:tcPr>
            <w:tcW w:w="1040" w:type="dxa"/>
            <w:vAlign w:val="center"/>
          </w:tcPr>
          <w:p w14:paraId="2923E09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Voicu Ghorghe</w:t>
            </w:r>
          </w:p>
        </w:tc>
        <w:tc>
          <w:tcPr>
            <w:tcW w:w="1130" w:type="dxa"/>
            <w:noWrap/>
            <w:vAlign w:val="center"/>
          </w:tcPr>
          <w:p w14:paraId="606C44A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Ivan Adrian</w:t>
            </w:r>
          </w:p>
        </w:tc>
        <w:tc>
          <w:tcPr>
            <w:tcW w:w="950" w:type="dxa"/>
            <w:vAlign w:val="center"/>
          </w:tcPr>
          <w:p w14:paraId="34923978"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10563  ha Intravilan: 1232 ha Extravilan9090  ha</w:t>
            </w:r>
          </w:p>
        </w:tc>
        <w:tc>
          <w:tcPr>
            <w:tcW w:w="860" w:type="dxa"/>
            <w:noWrap/>
            <w:vAlign w:val="center"/>
          </w:tcPr>
          <w:p w14:paraId="68B38E0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5,045</w:t>
            </w:r>
          </w:p>
        </w:tc>
        <w:tc>
          <w:tcPr>
            <w:tcW w:w="1220" w:type="dxa"/>
            <w:noWrap/>
            <w:vAlign w:val="center"/>
          </w:tcPr>
          <w:p w14:paraId="4B5C8FC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2,532</w:t>
            </w:r>
          </w:p>
        </w:tc>
        <w:tc>
          <w:tcPr>
            <w:tcW w:w="1222" w:type="dxa"/>
            <w:noWrap/>
            <w:vAlign w:val="center"/>
          </w:tcPr>
          <w:p w14:paraId="39050BC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314</w:t>
            </w:r>
          </w:p>
        </w:tc>
        <w:tc>
          <w:tcPr>
            <w:tcW w:w="802" w:type="dxa"/>
            <w:noWrap/>
            <w:vAlign w:val="center"/>
          </w:tcPr>
          <w:p w14:paraId="11A1B18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10.1</w:t>
            </w:r>
          </w:p>
        </w:tc>
        <w:tc>
          <w:tcPr>
            <w:tcW w:w="1197" w:type="dxa"/>
            <w:vAlign w:val="center"/>
          </w:tcPr>
          <w:p w14:paraId="03235E09"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w:t>
            </w:r>
          </w:p>
        </w:tc>
        <w:tc>
          <w:tcPr>
            <w:tcW w:w="841" w:type="dxa"/>
            <w:noWrap/>
            <w:vAlign w:val="center"/>
          </w:tcPr>
          <w:p w14:paraId="7EDB2D4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648" w:type="dxa"/>
            <w:noWrap/>
            <w:vAlign w:val="center"/>
          </w:tcPr>
          <w:p w14:paraId="3964C48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1350" w:type="dxa"/>
            <w:noWrap/>
            <w:vAlign w:val="center"/>
          </w:tcPr>
          <w:p w14:paraId="69D34CD2" w14:textId="7409CCDB"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63</w:t>
            </w:r>
          </w:p>
        </w:tc>
        <w:tc>
          <w:tcPr>
            <w:tcW w:w="1380" w:type="dxa"/>
            <w:noWrap/>
            <w:vAlign w:val="center"/>
          </w:tcPr>
          <w:p w14:paraId="6A370AD3" w14:textId="3704D21D"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20.1</w:t>
            </w:r>
            <w:r w:rsidR="00896C08" w:rsidRPr="007E3631">
              <w:rPr>
                <w:rFonts w:ascii="Arial Narrow" w:hAnsi="Arial Narrow"/>
                <w:color w:val="000000"/>
                <w:sz w:val="20"/>
                <w:szCs w:val="20"/>
              </w:rPr>
              <w:t>%</w:t>
            </w:r>
          </w:p>
        </w:tc>
      </w:tr>
      <w:tr w:rsidR="00896C08" w:rsidRPr="0011042D" w14:paraId="7F96F634" w14:textId="77777777" w:rsidTr="0011042D">
        <w:trPr>
          <w:trHeight w:val="1208"/>
          <w:tblCellSpacing w:w="20" w:type="dxa"/>
        </w:trPr>
        <w:tc>
          <w:tcPr>
            <w:tcW w:w="453" w:type="dxa"/>
            <w:noWrap/>
            <w:vAlign w:val="center"/>
          </w:tcPr>
          <w:p w14:paraId="13BB4DE9"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4</w:t>
            </w:r>
          </w:p>
        </w:tc>
        <w:tc>
          <w:tcPr>
            <w:tcW w:w="1400" w:type="dxa"/>
            <w:vAlign w:val="center"/>
          </w:tcPr>
          <w:p w14:paraId="13A8A7E8" w14:textId="77777777" w:rsidR="00896C08" w:rsidRPr="0011042D"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w:t>
            </w:r>
          </w:p>
          <w:p w14:paraId="483E34F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Potcoava Jud.Olt</w:t>
            </w:r>
          </w:p>
        </w:tc>
        <w:tc>
          <w:tcPr>
            <w:tcW w:w="1040" w:type="dxa"/>
            <w:vAlign w:val="center"/>
          </w:tcPr>
          <w:p w14:paraId="1582BEB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Enachioaia Nicusor Manuel</w:t>
            </w:r>
          </w:p>
        </w:tc>
        <w:tc>
          <w:tcPr>
            <w:tcW w:w="1130" w:type="dxa"/>
            <w:vAlign w:val="center"/>
          </w:tcPr>
          <w:p w14:paraId="53DB94A0"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Guianu Tiberiu Constantin</w:t>
            </w:r>
          </w:p>
        </w:tc>
        <w:tc>
          <w:tcPr>
            <w:tcW w:w="950" w:type="dxa"/>
            <w:vAlign w:val="center"/>
          </w:tcPr>
          <w:p w14:paraId="29E19AAA"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6527  ha             Intravilan: 638 ha Extravilan5381  ha</w:t>
            </w:r>
          </w:p>
        </w:tc>
        <w:tc>
          <w:tcPr>
            <w:tcW w:w="860" w:type="dxa"/>
            <w:noWrap/>
            <w:vAlign w:val="center"/>
          </w:tcPr>
          <w:p w14:paraId="4EF72BBF"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5,800</w:t>
            </w:r>
          </w:p>
        </w:tc>
        <w:tc>
          <w:tcPr>
            <w:tcW w:w="1220" w:type="dxa"/>
            <w:noWrap/>
            <w:vAlign w:val="center"/>
          </w:tcPr>
          <w:p w14:paraId="7B561CDE"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2,887</w:t>
            </w:r>
          </w:p>
        </w:tc>
        <w:tc>
          <w:tcPr>
            <w:tcW w:w="1222" w:type="dxa"/>
            <w:noWrap/>
            <w:vAlign w:val="center"/>
          </w:tcPr>
          <w:p w14:paraId="319E72B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314</w:t>
            </w:r>
          </w:p>
        </w:tc>
        <w:tc>
          <w:tcPr>
            <w:tcW w:w="802" w:type="dxa"/>
            <w:noWrap/>
            <w:vAlign w:val="center"/>
          </w:tcPr>
          <w:p w14:paraId="26A409A3"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5.7</w:t>
            </w:r>
          </w:p>
        </w:tc>
        <w:tc>
          <w:tcPr>
            <w:tcW w:w="1197" w:type="dxa"/>
            <w:vAlign w:val="center"/>
          </w:tcPr>
          <w:p w14:paraId="7E12714D"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 +Pădure</w:t>
            </w:r>
          </w:p>
        </w:tc>
        <w:tc>
          <w:tcPr>
            <w:tcW w:w="841" w:type="dxa"/>
            <w:noWrap/>
            <w:vAlign w:val="center"/>
          </w:tcPr>
          <w:p w14:paraId="249194EE"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648" w:type="dxa"/>
            <w:noWrap/>
            <w:vAlign w:val="center"/>
          </w:tcPr>
          <w:p w14:paraId="000B2EF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1350" w:type="dxa"/>
            <w:noWrap/>
            <w:vAlign w:val="center"/>
          </w:tcPr>
          <w:p w14:paraId="4815EF5B" w14:textId="4EFD7362"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50</w:t>
            </w:r>
          </w:p>
        </w:tc>
        <w:tc>
          <w:tcPr>
            <w:tcW w:w="1380" w:type="dxa"/>
            <w:noWrap/>
            <w:vAlign w:val="center"/>
          </w:tcPr>
          <w:p w14:paraId="0C8C5B4B" w14:textId="6C405010"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15.9</w:t>
            </w:r>
            <w:r w:rsidR="00896C08" w:rsidRPr="007E3631">
              <w:rPr>
                <w:rFonts w:ascii="Arial Narrow" w:hAnsi="Arial Narrow"/>
                <w:color w:val="000000"/>
                <w:sz w:val="20"/>
                <w:szCs w:val="20"/>
              </w:rPr>
              <w:t>%</w:t>
            </w:r>
          </w:p>
        </w:tc>
      </w:tr>
      <w:tr w:rsidR="00896C08" w:rsidRPr="0011042D" w14:paraId="2B4B37EC" w14:textId="77777777" w:rsidTr="0011042D">
        <w:trPr>
          <w:trHeight w:val="1440"/>
          <w:tblCellSpacing w:w="20" w:type="dxa"/>
        </w:trPr>
        <w:tc>
          <w:tcPr>
            <w:tcW w:w="453" w:type="dxa"/>
            <w:noWrap/>
            <w:vAlign w:val="center"/>
          </w:tcPr>
          <w:p w14:paraId="5D701E4D"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5</w:t>
            </w:r>
          </w:p>
        </w:tc>
        <w:tc>
          <w:tcPr>
            <w:tcW w:w="1400" w:type="dxa"/>
            <w:vAlign w:val="center"/>
          </w:tcPr>
          <w:p w14:paraId="3147621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Localit.Gușoeni Jud.Vâlcea</w:t>
            </w:r>
          </w:p>
        </w:tc>
        <w:tc>
          <w:tcPr>
            <w:tcW w:w="1040" w:type="dxa"/>
            <w:vAlign w:val="center"/>
          </w:tcPr>
          <w:p w14:paraId="1A8AD85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Concioiu Nicolae</w:t>
            </w:r>
          </w:p>
        </w:tc>
        <w:tc>
          <w:tcPr>
            <w:tcW w:w="1130" w:type="dxa"/>
            <w:vAlign w:val="center"/>
          </w:tcPr>
          <w:p w14:paraId="5B9A15C3"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Marghita Monica</w:t>
            </w:r>
          </w:p>
        </w:tc>
        <w:tc>
          <w:tcPr>
            <w:tcW w:w="950" w:type="dxa"/>
            <w:vAlign w:val="center"/>
          </w:tcPr>
          <w:p w14:paraId="4141AE5C"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3688,51  ha Intravilan: 265,24 ha Extravilan2949  ha</w:t>
            </w:r>
          </w:p>
        </w:tc>
        <w:tc>
          <w:tcPr>
            <w:tcW w:w="860" w:type="dxa"/>
            <w:noWrap/>
            <w:vAlign w:val="center"/>
          </w:tcPr>
          <w:p w14:paraId="0FCAD51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1,647</w:t>
            </w:r>
          </w:p>
        </w:tc>
        <w:tc>
          <w:tcPr>
            <w:tcW w:w="1220" w:type="dxa"/>
            <w:noWrap/>
            <w:vAlign w:val="center"/>
          </w:tcPr>
          <w:p w14:paraId="735CB840"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939</w:t>
            </w:r>
          </w:p>
        </w:tc>
        <w:tc>
          <w:tcPr>
            <w:tcW w:w="1222" w:type="dxa"/>
            <w:noWrap/>
            <w:vAlign w:val="center"/>
          </w:tcPr>
          <w:p w14:paraId="47156F9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752</w:t>
            </w:r>
          </w:p>
        </w:tc>
        <w:tc>
          <w:tcPr>
            <w:tcW w:w="802" w:type="dxa"/>
            <w:noWrap/>
            <w:vAlign w:val="center"/>
          </w:tcPr>
          <w:p w14:paraId="1C6746A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13</w:t>
            </w:r>
          </w:p>
        </w:tc>
        <w:tc>
          <w:tcPr>
            <w:tcW w:w="1197" w:type="dxa"/>
            <w:vAlign w:val="center"/>
          </w:tcPr>
          <w:p w14:paraId="410D669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 +Pădure</w:t>
            </w:r>
          </w:p>
        </w:tc>
        <w:tc>
          <w:tcPr>
            <w:tcW w:w="841" w:type="dxa"/>
            <w:noWrap/>
            <w:vAlign w:val="center"/>
          </w:tcPr>
          <w:p w14:paraId="3A26132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DA</w:t>
            </w:r>
          </w:p>
        </w:tc>
        <w:tc>
          <w:tcPr>
            <w:tcW w:w="648" w:type="dxa"/>
            <w:noWrap/>
            <w:vAlign w:val="center"/>
          </w:tcPr>
          <w:p w14:paraId="61B9F75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DA</w:t>
            </w:r>
          </w:p>
        </w:tc>
        <w:tc>
          <w:tcPr>
            <w:tcW w:w="1350" w:type="dxa"/>
            <w:noWrap/>
            <w:vAlign w:val="center"/>
          </w:tcPr>
          <w:p w14:paraId="3652B094" w14:textId="7A4C715E"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48</w:t>
            </w:r>
          </w:p>
        </w:tc>
        <w:tc>
          <w:tcPr>
            <w:tcW w:w="1380" w:type="dxa"/>
            <w:noWrap/>
            <w:vAlign w:val="center"/>
          </w:tcPr>
          <w:p w14:paraId="1D4CEDCB" w14:textId="61A61137"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6.4</w:t>
            </w:r>
            <w:r w:rsidR="00896C08" w:rsidRPr="007E3631">
              <w:rPr>
                <w:rFonts w:ascii="Arial Narrow" w:hAnsi="Arial Narrow"/>
                <w:color w:val="000000"/>
                <w:sz w:val="20"/>
                <w:szCs w:val="20"/>
              </w:rPr>
              <w:t>%</w:t>
            </w:r>
          </w:p>
        </w:tc>
      </w:tr>
      <w:tr w:rsidR="00896C08" w:rsidRPr="0011042D" w14:paraId="2CEDEB9E" w14:textId="77777777" w:rsidTr="0011042D">
        <w:trPr>
          <w:trHeight w:val="1455"/>
          <w:tblCellSpacing w:w="20" w:type="dxa"/>
        </w:trPr>
        <w:tc>
          <w:tcPr>
            <w:tcW w:w="453" w:type="dxa"/>
            <w:noWrap/>
            <w:vAlign w:val="center"/>
          </w:tcPr>
          <w:p w14:paraId="7FAD34E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lastRenderedPageBreak/>
              <w:t>6</w:t>
            </w:r>
          </w:p>
        </w:tc>
        <w:tc>
          <w:tcPr>
            <w:tcW w:w="1400" w:type="dxa"/>
            <w:vAlign w:val="center"/>
          </w:tcPr>
          <w:p w14:paraId="32D31F11" w14:textId="77777777" w:rsidR="00896C08" w:rsidRPr="0011042D"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w:t>
            </w:r>
          </w:p>
          <w:p w14:paraId="685B9BF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Bălănești Jud.Gorj</w:t>
            </w:r>
          </w:p>
        </w:tc>
        <w:tc>
          <w:tcPr>
            <w:tcW w:w="1040" w:type="dxa"/>
            <w:vAlign w:val="center"/>
          </w:tcPr>
          <w:p w14:paraId="1D7BA6A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Pungan Ovidiu</w:t>
            </w:r>
          </w:p>
        </w:tc>
        <w:tc>
          <w:tcPr>
            <w:tcW w:w="1130" w:type="dxa"/>
            <w:noWrap/>
            <w:vAlign w:val="center"/>
          </w:tcPr>
          <w:p w14:paraId="2BB43C0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 </w:t>
            </w:r>
          </w:p>
        </w:tc>
        <w:tc>
          <w:tcPr>
            <w:tcW w:w="950" w:type="dxa"/>
            <w:vAlign w:val="center"/>
          </w:tcPr>
          <w:p w14:paraId="3C702566"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6177ha Intravilan: 391,92 ha Extravilan 5889 ha</w:t>
            </w:r>
          </w:p>
        </w:tc>
        <w:tc>
          <w:tcPr>
            <w:tcW w:w="860" w:type="dxa"/>
            <w:noWrap/>
            <w:vAlign w:val="center"/>
          </w:tcPr>
          <w:p w14:paraId="355784C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2,173</w:t>
            </w:r>
          </w:p>
        </w:tc>
        <w:tc>
          <w:tcPr>
            <w:tcW w:w="1220" w:type="dxa"/>
            <w:noWrap/>
            <w:vAlign w:val="center"/>
          </w:tcPr>
          <w:p w14:paraId="798CE3F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1,550</w:t>
            </w:r>
          </w:p>
        </w:tc>
        <w:tc>
          <w:tcPr>
            <w:tcW w:w="1222" w:type="dxa"/>
            <w:noWrap/>
            <w:vAlign w:val="center"/>
          </w:tcPr>
          <w:p w14:paraId="2D132EC3"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792</w:t>
            </w:r>
          </w:p>
        </w:tc>
        <w:tc>
          <w:tcPr>
            <w:tcW w:w="802" w:type="dxa"/>
            <w:noWrap/>
            <w:vAlign w:val="center"/>
          </w:tcPr>
          <w:p w14:paraId="53F5BE30"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10.5</w:t>
            </w:r>
          </w:p>
        </w:tc>
        <w:tc>
          <w:tcPr>
            <w:tcW w:w="1197" w:type="dxa"/>
            <w:vAlign w:val="center"/>
          </w:tcPr>
          <w:p w14:paraId="158E1EFE"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 +Pădure</w:t>
            </w:r>
          </w:p>
        </w:tc>
        <w:tc>
          <w:tcPr>
            <w:tcW w:w="841" w:type="dxa"/>
            <w:noWrap/>
            <w:vAlign w:val="center"/>
          </w:tcPr>
          <w:p w14:paraId="0847AACD"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648" w:type="dxa"/>
            <w:noWrap/>
            <w:vAlign w:val="center"/>
          </w:tcPr>
          <w:p w14:paraId="40703A9D"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1350" w:type="dxa"/>
            <w:noWrap/>
            <w:vAlign w:val="center"/>
          </w:tcPr>
          <w:p w14:paraId="2C855F18" w14:textId="3AEF64BD"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37</w:t>
            </w:r>
          </w:p>
        </w:tc>
        <w:tc>
          <w:tcPr>
            <w:tcW w:w="1380" w:type="dxa"/>
            <w:noWrap/>
            <w:vAlign w:val="center"/>
          </w:tcPr>
          <w:p w14:paraId="139DEF31" w14:textId="0CF886DF"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4.7</w:t>
            </w:r>
            <w:r w:rsidR="00896C08" w:rsidRPr="007E3631">
              <w:rPr>
                <w:rFonts w:ascii="Arial Narrow" w:hAnsi="Arial Narrow"/>
                <w:color w:val="000000"/>
                <w:sz w:val="20"/>
                <w:szCs w:val="20"/>
              </w:rPr>
              <w:t>%</w:t>
            </w:r>
          </w:p>
        </w:tc>
      </w:tr>
      <w:tr w:rsidR="00896C08" w:rsidRPr="0011042D" w14:paraId="129063B1" w14:textId="77777777" w:rsidTr="0011042D">
        <w:trPr>
          <w:trHeight w:val="1095"/>
          <w:tblCellSpacing w:w="20" w:type="dxa"/>
        </w:trPr>
        <w:tc>
          <w:tcPr>
            <w:tcW w:w="453" w:type="dxa"/>
            <w:noWrap/>
            <w:vAlign w:val="center"/>
          </w:tcPr>
          <w:p w14:paraId="3E74C47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7</w:t>
            </w:r>
          </w:p>
        </w:tc>
        <w:tc>
          <w:tcPr>
            <w:tcW w:w="1400" w:type="dxa"/>
            <w:vAlign w:val="center"/>
          </w:tcPr>
          <w:p w14:paraId="20A11E29"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Localit.Măciuca Jud.Vâlcea</w:t>
            </w:r>
          </w:p>
        </w:tc>
        <w:tc>
          <w:tcPr>
            <w:tcW w:w="1040" w:type="dxa"/>
            <w:vAlign w:val="center"/>
          </w:tcPr>
          <w:p w14:paraId="600ECF1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Mărcoianu Mugurel</w:t>
            </w:r>
          </w:p>
        </w:tc>
        <w:tc>
          <w:tcPr>
            <w:tcW w:w="1130" w:type="dxa"/>
            <w:vAlign w:val="center"/>
          </w:tcPr>
          <w:p w14:paraId="332B1758"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Rafailă Viorel</w:t>
            </w:r>
          </w:p>
        </w:tc>
        <w:tc>
          <w:tcPr>
            <w:tcW w:w="950" w:type="dxa"/>
            <w:vAlign w:val="center"/>
          </w:tcPr>
          <w:p w14:paraId="172B6616"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4446 ha                Intravilan: 477 ha Extravilan3969  ha</w:t>
            </w:r>
          </w:p>
        </w:tc>
        <w:tc>
          <w:tcPr>
            <w:tcW w:w="860" w:type="dxa"/>
            <w:noWrap/>
            <w:vAlign w:val="center"/>
          </w:tcPr>
          <w:p w14:paraId="76F808A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1,982</w:t>
            </w:r>
          </w:p>
        </w:tc>
        <w:tc>
          <w:tcPr>
            <w:tcW w:w="1220" w:type="dxa"/>
            <w:noWrap/>
            <w:vAlign w:val="center"/>
          </w:tcPr>
          <w:p w14:paraId="24718E8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1,022</w:t>
            </w:r>
          </w:p>
        </w:tc>
        <w:tc>
          <w:tcPr>
            <w:tcW w:w="1222" w:type="dxa"/>
            <w:noWrap/>
            <w:vAlign w:val="center"/>
          </w:tcPr>
          <w:p w14:paraId="33763F3E"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603</w:t>
            </w:r>
          </w:p>
        </w:tc>
        <w:tc>
          <w:tcPr>
            <w:tcW w:w="802" w:type="dxa"/>
            <w:noWrap/>
            <w:vAlign w:val="center"/>
          </w:tcPr>
          <w:p w14:paraId="5A64F1B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9.8</w:t>
            </w:r>
          </w:p>
        </w:tc>
        <w:tc>
          <w:tcPr>
            <w:tcW w:w="1197" w:type="dxa"/>
            <w:vAlign w:val="center"/>
          </w:tcPr>
          <w:p w14:paraId="6D9991D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 +Pădure</w:t>
            </w:r>
          </w:p>
        </w:tc>
        <w:tc>
          <w:tcPr>
            <w:tcW w:w="841" w:type="dxa"/>
            <w:noWrap/>
            <w:vAlign w:val="center"/>
          </w:tcPr>
          <w:p w14:paraId="377C737E"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648" w:type="dxa"/>
            <w:noWrap/>
            <w:vAlign w:val="center"/>
          </w:tcPr>
          <w:p w14:paraId="3C677DD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1350" w:type="dxa"/>
            <w:noWrap/>
            <w:vAlign w:val="center"/>
          </w:tcPr>
          <w:p w14:paraId="69529AFB" w14:textId="355AD52E"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48</w:t>
            </w:r>
          </w:p>
        </w:tc>
        <w:tc>
          <w:tcPr>
            <w:tcW w:w="1380" w:type="dxa"/>
            <w:noWrap/>
            <w:vAlign w:val="center"/>
          </w:tcPr>
          <w:p w14:paraId="21108A25" w14:textId="78B11A14"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7.9</w:t>
            </w:r>
            <w:r w:rsidR="00896C08" w:rsidRPr="007E3631">
              <w:rPr>
                <w:rFonts w:ascii="Arial Narrow" w:hAnsi="Arial Narrow"/>
                <w:color w:val="000000"/>
                <w:sz w:val="20"/>
                <w:szCs w:val="20"/>
              </w:rPr>
              <w:t>%</w:t>
            </w:r>
          </w:p>
        </w:tc>
      </w:tr>
      <w:tr w:rsidR="00896C08" w:rsidRPr="0011042D" w14:paraId="3C6A0CC1" w14:textId="77777777" w:rsidTr="0011042D">
        <w:trPr>
          <w:trHeight w:val="722"/>
          <w:tblCellSpacing w:w="20" w:type="dxa"/>
        </w:trPr>
        <w:tc>
          <w:tcPr>
            <w:tcW w:w="453" w:type="dxa"/>
            <w:noWrap/>
            <w:vAlign w:val="center"/>
          </w:tcPr>
          <w:p w14:paraId="484D444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8</w:t>
            </w:r>
          </w:p>
        </w:tc>
        <w:tc>
          <w:tcPr>
            <w:tcW w:w="1400" w:type="dxa"/>
            <w:vAlign w:val="center"/>
          </w:tcPr>
          <w:p w14:paraId="57407257" w14:textId="77777777" w:rsidR="00896C08" w:rsidRPr="0011042D"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w:t>
            </w:r>
          </w:p>
          <w:p w14:paraId="5E6F4FB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Turcinești  Jud.Gorj</w:t>
            </w:r>
          </w:p>
        </w:tc>
        <w:tc>
          <w:tcPr>
            <w:tcW w:w="1040" w:type="dxa"/>
            <w:vAlign w:val="center"/>
          </w:tcPr>
          <w:p w14:paraId="6F511C3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Modrea Dumitru</w:t>
            </w:r>
          </w:p>
        </w:tc>
        <w:tc>
          <w:tcPr>
            <w:tcW w:w="1130" w:type="dxa"/>
            <w:vAlign w:val="center"/>
          </w:tcPr>
          <w:p w14:paraId="15B3EE1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Craioveanu Grigore</w:t>
            </w:r>
          </w:p>
        </w:tc>
        <w:tc>
          <w:tcPr>
            <w:tcW w:w="950" w:type="dxa"/>
            <w:vAlign w:val="center"/>
          </w:tcPr>
          <w:p w14:paraId="32C234F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 xml:space="preserve">3019  ha </w:t>
            </w:r>
          </w:p>
        </w:tc>
        <w:tc>
          <w:tcPr>
            <w:tcW w:w="860" w:type="dxa"/>
            <w:noWrap/>
            <w:vAlign w:val="center"/>
          </w:tcPr>
          <w:p w14:paraId="5F7783B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2,213</w:t>
            </w:r>
          </w:p>
        </w:tc>
        <w:tc>
          <w:tcPr>
            <w:tcW w:w="1220" w:type="dxa"/>
            <w:noWrap/>
            <w:vAlign w:val="center"/>
          </w:tcPr>
          <w:p w14:paraId="0704A0A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1,300</w:t>
            </w:r>
          </w:p>
        </w:tc>
        <w:tc>
          <w:tcPr>
            <w:tcW w:w="1222" w:type="dxa"/>
            <w:noWrap/>
            <w:vAlign w:val="center"/>
          </w:tcPr>
          <w:p w14:paraId="57930D3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12</w:t>
            </w:r>
          </w:p>
        </w:tc>
        <w:tc>
          <w:tcPr>
            <w:tcW w:w="802" w:type="dxa"/>
            <w:noWrap/>
            <w:vAlign w:val="center"/>
          </w:tcPr>
          <w:p w14:paraId="3F6ED0D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13.3</w:t>
            </w:r>
          </w:p>
        </w:tc>
        <w:tc>
          <w:tcPr>
            <w:tcW w:w="1197" w:type="dxa"/>
            <w:vAlign w:val="center"/>
          </w:tcPr>
          <w:p w14:paraId="194DD9F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 +Pădure</w:t>
            </w:r>
          </w:p>
        </w:tc>
        <w:tc>
          <w:tcPr>
            <w:tcW w:w="841" w:type="dxa"/>
            <w:noWrap/>
            <w:vAlign w:val="center"/>
          </w:tcPr>
          <w:p w14:paraId="5AAF8BC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DA</w:t>
            </w:r>
          </w:p>
        </w:tc>
        <w:tc>
          <w:tcPr>
            <w:tcW w:w="648" w:type="dxa"/>
            <w:noWrap/>
            <w:vAlign w:val="center"/>
          </w:tcPr>
          <w:p w14:paraId="1B915FB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DA</w:t>
            </w:r>
          </w:p>
        </w:tc>
        <w:tc>
          <w:tcPr>
            <w:tcW w:w="1350" w:type="dxa"/>
            <w:noWrap/>
            <w:vAlign w:val="center"/>
          </w:tcPr>
          <w:p w14:paraId="33114825" w14:textId="3D425F56"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35</w:t>
            </w:r>
          </w:p>
        </w:tc>
        <w:tc>
          <w:tcPr>
            <w:tcW w:w="1380" w:type="dxa"/>
            <w:noWrap/>
            <w:vAlign w:val="center"/>
          </w:tcPr>
          <w:p w14:paraId="39097F6B" w14:textId="365039A3"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100</w:t>
            </w:r>
            <w:r w:rsidR="00896C08" w:rsidRPr="007E3631">
              <w:rPr>
                <w:rFonts w:ascii="Arial Narrow" w:hAnsi="Arial Narrow"/>
                <w:color w:val="000000"/>
                <w:sz w:val="20"/>
                <w:szCs w:val="20"/>
              </w:rPr>
              <w:t>%</w:t>
            </w:r>
          </w:p>
        </w:tc>
      </w:tr>
      <w:tr w:rsidR="00896C08" w:rsidRPr="0011042D" w14:paraId="79CEA855" w14:textId="77777777" w:rsidTr="0011042D">
        <w:trPr>
          <w:trHeight w:val="1095"/>
          <w:tblCellSpacing w:w="20" w:type="dxa"/>
        </w:trPr>
        <w:tc>
          <w:tcPr>
            <w:tcW w:w="453" w:type="dxa"/>
            <w:noWrap/>
            <w:vAlign w:val="center"/>
          </w:tcPr>
          <w:p w14:paraId="4B781CA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9</w:t>
            </w:r>
          </w:p>
        </w:tc>
        <w:tc>
          <w:tcPr>
            <w:tcW w:w="1400" w:type="dxa"/>
            <w:vAlign w:val="center"/>
          </w:tcPr>
          <w:p w14:paraId="59EF487E"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Localit.Totești Jud.Hunedoara</w:t>
            </w:r>
          </w:p>
        </w:tc>
        <w:tc>
          <w:tcPr>
            <w:tcW w:w="1040" w:type="dxa"/>
            <w:vAlign w:val="center"/>
          </w:tcPr>
          <w:p w14:paraId="4BBCFB3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Pasconi Tiberiu</w:t>
            </w:r>
          </w:p>
        </w:tc>
        <w:tc>
          <w:tcPr>
            <w:tcW w:w="1130" w:type="dxa"/>
            <w:vAlign w:val="center"/>
          </w:tcPr>
          <w:p w14:paraId="2BFE46F9"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Gherasimoaie Vasile</w:t>
            </w:r>
          </w:p>
        </w:tc>
        <w:tc>
          <w:tcPr>
            <w:tcW w:w="950" w:type="dxa"/>
            <w:vAlign w:val="center"/>
          </w:tcPr>
          <w:p w14:paraId="54F577B4"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2237  ha Intravilan: 609 ha Extravilan1628  ha</w:t>
            </w:r>
          </w:p>
        </w:tc>
        <w:tc>
          <w:tcPr>
            <w:tcW w:w="860" w:type="dxa"/>
            <w:noWrap/>
            <w:vAlign w:val="center"/>
          </w:tcPr>
          <w:p w14:paraId="67FE0589"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1,869</w:t>
            </w:r>
          </w:p>
        </w:tc>
        <w:tc>
          <w:tcPr>
            <w:tcW w:w="1220" w:type="dxa"/>
            <w:noWrap/>
            <w:vAlign w:val="center"/>
          </w:tcPr>
          <w:p w14:paraId="17274E1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523</w:t>
            </w:r>
          </w:p>
        </w:tc>
        <w:tc>
          <w:tcPr>
            <w:tcW w:w="1222" w:type="dxa"/>
            <w:noWrap/>
            <w:vAlign w:val="center"/>
          </w:tcPr>
          <w:p w14:paraId="59EC4CE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109</w:t>
            </w:r>
          </w:p>
        </w:tc>
        <w:tc>
          <w:tcPr>
            <w:tcW w:w="802" w:type="dxa"/>
            <w:noWrap/>
            <w:vAlign w:val="center"/>
          </w:tcPr>
          <w:p w14:paraId="594E433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9.2</w:t>
            </w:r>
          </w:p>
        </w:tc>
        <w:tc>
          <w:tcPr>
            <w:tcW w:w="1197" w:type="dxa"/>
            <w:vAlign w:val="center"/>
          </w:tcPr>
          <w:p w14:paraId="2A761310"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w:t>
            </w:r>
          </w:p>
        </w:tc>
        <w:tc>
          <w:tcPr>
            <w:tcW w:w="841" w:type="dxa"/>
            <w:noWrap/>
            <w:vAlign w:val="center"/>
          </w:tcPr>
          <w:p w14:paraId="0EC6247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648" w:type="dxa"/>
            <w:noWrap/>
            <w:vAlign w:val="center"/>
          </w:tcPr>
          <w:p w14:paraId="62724A1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1350" w:type="dxa"/>
            <w:noWrap/>
            <w:vAlign w:val="center"/>
          </w:tcPr>
          <w:p w14:paraId="5591322A" w14:textId="3EC0026C"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44</w:t>
            </w:r>
          </w:p>
        </w:tc>
        <w:tc>
          <w:tcPr>
            <w:tcW w:w="1380" w:type="dxa"/>
            <w:noWrap/>
            <w:vAlign w:val="center"/>
          </w:tcPr>
          <w:p w14:paraId="3E3E5EFB" w14:textId="5BC7023E"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4</w:t>
            </w:r>
            <w:r w:rsidR="00E95F35">
              <w:rPr>
                <w:rFonts w:ascii="Arial Narrow" w:hAnsi="Arial Narrow"/>
                <w:color w:val="000000"/>
                <w:sz w:val="20"/>
                <w:szCs w:val="20"/>
              </w:rPr>
              <w:t>0.4</w:t>
            </w:r>
            <w:r w:rsidRPr="007E3631">
              <w:rPr>
                <w:rFonts w:ascii="Arial Narrow" w:hAnsi="Arial Narrow"/>
                <w:color w:val="000000"/>
                <w:sz w:val="20"/>
                <w:szCs w:val="20"/>
              </w:rPr>
              <w:t>%</w:t>
            </w:r>
          </w:p>
        </w:tc>
      </w:tr>
      <w:tr w:rsidR="00896C08" w:rsidRPr="0011042D" w14:paraId="2C19266B" w14:textId="77777777" w:rsidTr="0011042D">
        <w:trPr>
          <w:trHeight w:val="1262"/>
          <w:tblCellSpacing w:w="20" w:type="dxa"/>
        </w:trPr>
        <w:tc>
          <w:tcPr>
            <w:tcW w:w="453" w:type="dxa"/>
            <w:noWrap/>
            <w:vAlign w:val="center"/>
          </w:tcPr>
          <w:p w14:paraId="081CCD5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10</w:t>
            </w:r>
          </w:p>
        </w:tc>
        <w:tc>
          <w:tcPr>
            <w:tcW w:w="1400" w:type="dxa"/>
            <w:vAlign w:val="center"/>
          </w:tcPr>
          <w:p w14:paraId="53FDBA2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Localit.Băuțar Jud.Caraș Severin</w:t>
            </w:r>
          </w:p>
        </w:tc>
        <w:tc>
          <w:tcPr>
            <w:tcW w:w="1040" w:type="dxa"/>
            <w:vAlign w:val="center"/>
          </w:tcPr>
          <w:p w14:paraId="47DB2B3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Bărbescu Romulus</w:t>
            </w:r>
          </w:p>
        </w:tc>
        <w:tc>
          <w:tcPr>
            <w:tcW w:w="1130" w:type="dxa"/>
            <w:noWrap/>
            <w:vAlign w:val="center"/>
          </w:tcPr>
          <w:p w14:paraId="3E155D3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Bărșilă Daniel</w:t>
            </w:r>
          </w:p>
        </w:tc>
        <w:tc>
          <w:tcPr>
            <w:tcW w:w="950" w:type="dxa"/>
            <w:vAlign w:val="center"/>
          </w:tcPr>
          <w:p w14:paraId="54A582A2" w14:textId="77777777" w:rsidR="00896C08" w:rsidRPr="007E3631" w:rsidRDefault="00896C08" w:rsidP="0011042D">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352  ha                    Intravilan: - ha Extravilan</w:t>
            </w:r>
          </w:p>
        </w:tc>
        <w:tc>
          <w:tcPr>
            <w:tcW w:w="860" w:type="dxa"/>
            <w:noWrap/>
            <w:vAlign w:val="center"/>
          </w:tcPr>
          <w:p w14:paraId="6C916C8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2,577</w:t>
            </w:r>
          </w:p>
        </w:tc>
        <w:tc>
          <w:tcPr>
            <w:tcW w:w="1220" w:type="dxa"/>
            <w:noWrap/>
            <w:vAlign w:val="center"/>
          </w:tcPr>
          <w:p w14:paraId="21FD2B3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891</w:t>
            </w:r>
          </w:p>
        </w:tc>
        <w:tc>
          <w:tcPr>
            <w:tcW w:w="1222" w:type="dxa"/>
            <w:noWrap/>
            <w:vAlign w:val="center"/>
          </w:tcPr>
          <w:p w14:paraId="086EE0D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107</w:t>
            </w:r>
          </w:p>
        </w:tc>
        <w:tc>
          <w:tcPr>
            <w:tcW w:w="802" w:type="dxa"/>
            <w:noWrap/>
            <w:vAlign w:val="center"/>
          </w:tcPr>
          <w:p w14:paraId="20B3D95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13.5</w:t>
            </w:r>
          </w:p>
        </w:tc>
        <w:tc>
          <w:tcPr>
            <w:tcW w:w="1197" w:type="dxa"/>
            <w:noWrap/>
            <w:vAlign w:val="center"/>
          </w:tcPr>
          <w:p w14:paraId="2EA4CA0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Pădure</w:t>
            </w:r>
          </w:p>
        </w:tc>
        <w:tc>
          <w:tcPr>
            <w:tcW w:w="841" w:type="dxa"/>
            <w:noWrap/>
            <w:vAlign w:val="center"/>
          </w:tcPr>
          <w:p w14:paraId="02E71A9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DA</w:t>
            </w:r>
          </w:p>
        </w:tc>
        <w:tc>
          <w:tcPr>
            <w:tcW w:w="648" w:type="dxa"/>
            <w:noWrap/>
            <w:vAlign w:val="center"/>
          </w:tcPr>
          <w:p w14:paraId="76F4584A"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DA</w:t>
            </w:r>
          </w:p>
        </w:tc>
        <w:tc>
          <w:tcPr>
            <w:tcW w:w="1350" w:type="dxa"/>
            <w:noWrap/>
            <w:vAlign w:val="center"/>
          </w:tcPr>
          <w:p w14:paraId="16EC00A1" w14:textId="6729CBC3"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43</w:t>
            </w:r>
          </w:p>
        </w:tc>
        <w:tc>
          <w:tcPr>
            <w:tcW w:w="1380" w:type="dxa"/>
            <w:noWrap/>
            <w:vAlign w:val="center"/>
          </w:tcPr>
          <w:p w14:paraId="76E0E0B3" w14:textId="497AF292"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40.2</w:t>
            </w:r>
            <w:r w:rsidR="00896C08" w:rsidRPr="007E3631">
              <w:rPr>
                <w:rFonts w:ascii="Arial Narrow" w:hAnsi="Arial Narrow"/>
                <w:color w:val="000000"/>
                <w:sz w:val="20"/>
                <w:szCs w:val="20"/>
              </w:rPr>
              <w:t>%</w:t>
            </w:r>
          </w:p>
        </w:tc>
      </w:tr>
      <w:tr w:rsidR="00896C08" w:rsidRPr="0011042D" w14:paraId="09EC539D" w14:textId="77777777" w:rsidTr="0011042D">
        <w:trPr>
          <w:trHeight w:val="1080"/>
          <w:tblCellSpacing w:w="20" w:type="dxa"/>
        </w:trPr>
        <w:tc>
          <w:tcPr>
            <w:tcW w:w="453" w:type="dxa"/>
            <w:noWrap/>
            <w:vAlign w:val="center"/>
          </w:tcPr>
          <w:p w14:paraId="5BE3A638"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11</w:t>
            </w:r>
          </w:p>
        </w:tc>
        <w:tc>
          <w:tcPr>
            <w:tcW w:w="1400" w:type="dxa"/>
            <w:vAlign w:val="center"/>
          </w:tcPr>
          <w:p w14:paraId="476C99E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Localit.Obreja Jud. Caraș Severin</w:t>
            </w:r>
          </w:p>
        </w:tc>
        <w:tc>
          <w:tcPr>
            <w:tcW w:w="1040" w:type="dxa"/>
            <w:vAlign w:val="center"/>
          </w:tcPr>
          <w:p w14:paraId="2C58C11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Peia Ioan</w:t>
            </w:r>
          </w:p>
        </w:tc>
        <w:tc>
          <w:tcPr>
            <w:tcW w:w="1130" w:type="dxa"/>
            <w:vAlign w:val="center"/>
          </w:tcPr>
          <w:p w14:paraId="63F402C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Gheorghevici Nicolar</w:t>
            </w:r>
          </w:p>
        </w:tc>
        <w:tc>
          <w:tcPr>
            <w:tcW w:w="950" w:type="dxa"/>
            <w:vAlign w:val="center"/>
          </w:tcPr>
          <w:p w14:paraId="231B05A0"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12633 ha   Intravilan: 255 ha Extravilan12408 ha</w:t>
            </w:r>
          </w:p>
        </w:tc>
        <w:tc>
          <w:tcPr>
            <w:tcW w:w="860" w:type="dxa"/>
            <w:noWrap/>
            <w:vAlign w:val="center"/>
          </w:tcPr>
          <w:p w14:paraId="5EB39E98"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3,287</w:t>
            </w:r>
          </w:p>
        </w:tc>
        <w:tc>
          <w:tcPr>
            <w:tcW w:w="1220" w:type="dxa"/>
            <w:noWrap/>
            <w:vAlign w:val="center"/>
          </w:tcPr>
          <w:p w14:paraId="2BD8146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1,012</w:t>
            </w:r>
          </w:p>
        </w:tc>
        <w:tc>
          <w:tcPr>
            <w:tcW w:w="1222" w:type="dxa"/>
            <w:noWrap/>
            <w:vAlign w:val="center"/>
          </w:tcPr>
          <w:p w14:paraId="1B93451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250</w:t>
            </w:r>
          </w:p>
        </w:tc>
        <w:tc>
          <w:tcPr>
            <w:tcW w:w="802" w:type="dxa"/>
            <w:noWrap/>
            <w:vAlign w:val="center"/>
          </w:tcPr>
          <w:p w14:paraId="7BCECB30"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8.8</w:t>
            </w:r>
          </w:p>
        </w:tc>
        <w:tc>
          <w:tcPr>
            <w:tcW w:w="1197" w:type="dxa"/>
            <w:vAlign w:val="center"/>
          </w:tcPr>
          <w:p w14:paraId="4755DAF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w:t>
            </w:r>
          </w:p>
        </w:tc>
        <w:tc>
          <w:tcPr>
            <w:tcW w:w="841" w:type="dxa"/>
            <w:noWrap/>
            <w:vAlign w:val="center"/>
          </w:tcPr>
          <w:p w14:paraId="43BEDAC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648" w:type="dxa"/>
            <w:noWrap/>
            <w:vAlign w:val="center"/>
          </w:tcPr>
          <w:p w14:paraId="0BDBC6F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DA</w:t>
            </w:r>
          </w:p>
        </w:tc>
        <w:tc>
          <w:tcPr>
            <w:tcW w:w="1350" w:type="dxa"/>
            <w:noWrap/>
            <w:vAlign w:val="center"/>
          </w:tcPr>
          <w:p w14:paraId="096D57FD" w14:textId="0CB8B91D"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49</w:t>
            </w:r>
          </w:p>
        </w:tc>
        <w:tc>
          <w:tcPr>
            <w:tcW w:w="1380" w:type="dxa"/>
            <w:noWrap/>
            <w:vAlign w:val="center"/>
          </w:tcPr>
          <w:p w14:paraId="42D53F5B" w14:textId="25A23A7E" w:rsidR="00896C08" w:rsidRPr="007E3631" w:rsidRDefault="00D65EDE"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19.6</w:t>
            </w:r>
            <w:r w:rsidR="00896C08" w:rsidRPr="007E3631">
              <w:rPr>
                <w:rFonts w:ascii="Arial Narrow" w:hAnsi="Arial Narrow"/>
                <w:color w:val="000000"/>
                <w:sz w:val="20"/>
                <w:szCs w:val="20"/>
              </w:rPr>
              <w:t>%</w:t>
            </w:r>
          </w:p>
        </w:tc>
      </w:tr>
      <w:tr w:rsidR="00896C08" w:rsidRPr="0011042D" w14:paraId="0332C791" w14:textId="77777777" w:rsidTr="0011042D">
        <w:trPr>
          <w:trHeight w:val="1050"/>
          <w:tblCellSpacing w:w="20" w:type="dxa"/>
        </w:trPr>
        <w:tc>
          <w:tcPr>
            <w:tcW w:w="453" w:type="dxa"/>
            <w:noWrap/>
            <w:vAlign w:val="center"/>
          </w:tcPr>
          <w:p w14:paraId="4A506170"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12</w:t>
            </w:r>
          </w:p>
        </w:tc>
        <w:tc>
          <w:tcPr>
            <w:tcW w:w="1400" w:type="dxa"/>
            <w:vAlign w:val="center"/>
          </w:tcPr>
          <w:p w14:paraId="08B6D06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Localit.Coșteiu Jud. Timiș</w:t>
            </w:r>
          </w:p>
        </w:tc>
        <w:tc>
          <w:tcPr>
            <w:tcW w:w="1040" w:type="dxa"/>
            <w:vAlign w:val="center"/>
          </w:tcPr>
          <w:p w14:paraId="686569D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Carebia Petru</w:t>
            </w:r>
          </w:p>
        </w:tc>
        <w:tc>
          <w:tcPr>
            <w:tcW w:w="1130" w:type="dxa"/>
            <w:vAlign w:val="center"/>
          </w:tcPr>
          <w:p w14:paraId="159A2AF5"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Benjamin Marton</w:t>
            </w:r>
          </w:p>
        </w:tc>
        <w:tc>
          <w:tcPr>
            <w:tcW w:w="950" w:type="dxa"/>
            <w:vAlign w:val="center"/>
          </w:tcPr>
          <w:p w14:paraId="566EC847" w14:textId="77777777" w:rsidR="00896C08" w:rsidRPr="00B3596A"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lang w:val="it-IT"/>
              </w:rPr>
            </w:pPr>
            <w:r w:rsidRPr="00B3596A">
              <w:rPr>
                <w:rFonts w:ascii="Arial Narrow" w:hAnsi="Arial Narrow"/>
                <w:color w:val="000000"/>
                <w:sz w:val="20"/>
                <w:szCs w:val="20"/>
                <w:lang w:val="it-IT"/>
              </w:rPr>
              <w:t>8411,5ha   Intravilan: 546 ha Extravilan7865,5ha</w:t>
            </w:r>
          </w:p>
        </w:tc>
        <w:tc>
          <w:tcPr>
            <w:tcW w:w="860" w:type="dxa"/>
            <w:noWrap/>
            <w:vAlign w:val="center"/>
          </w:tcPr>
          <w:p w14:paraId="73062C5F"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3,422</w:t>
            </w:r>
          </w:p>
        </w:tc>
        <w:tc>
          <w:tcPr>
            <w:tcW w:w="1220" w:type="dxa"/>
            <w:noWrap/>
            <w:vAlign w:val="center"/>
          </w:tcPr>
          <w:p w14:paraId="4EE13DE2"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1,287</w:t>
            </w:r>
          </w:p>
        </w:tc>
        <w:tc>
          <w:tcPr>
            <w:tcW w:w="1222" w:type="dxa"/>
            <w:noWrap/>
            <w:vAlign w:val="center"/>
          </w:tcPr>
          <w:p w14:paraId="320FED3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183</w:t>
            </w:r>
          </w:p>
        </w:tc>
        <w:tc>
          <w:tcPr>
            <w:tcW w:w="802" w:type="dxa"/>
            <w:noWrap/>
            <w:vAlign w:val="center"/>
          </w:tcPr>
          <w:p w14:paraId="280CBA04"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7</w:t>
            </w:r>
          </w:p>
        </w:tc>
        <w:tc>
          <w:tcPr>
            <w:tcW w:w="1197" w:type="dxa"/>
            <w:vAlign w:val="center"/>
          </w:tcPr>
          <w:p w14:paraId="0B48ED2B"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Alte culturi</w:t>
            </w:r>
          </w:p>
        </w:tc>
        <w:tc>
          <w:tcPr>
            <w:tcW w:w="841" w:type="dxa"/>
            <w:noWrap/>
            <w:vAlign w:val="center"/>
          </w:tcPr>
          <w:p w14:paraId="07BF499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648" w:type="dxa"/>
            <w:noWrap/>
            <w:vAlign w:val="center"/>
          </w:tcPr>
          <w:p w14:paraId="5075E2F7"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sidRPr="007E3631">
              <w:rPr>
                <w:rFonts w:ascii="Arial Narrow" w:hAnsi="Arial Narrow"/>
                <w:color w:val="000000"/>
                <w:sz w:val="20"/>
                <w:szCs w:val="20"/>
              </w:rPr>
              <w:t>NU</w:t>
            </w:r>
          </w:p>
        </w:tc>
        <w:tc>
          <w:tcPr>
            <w:tcW w:w="1350" w:type="dxa"/>
            <w:noWrap/>
            <w:vAlign w:val="center"/>
          </w:tcPr>
          <w:p w14:paraId="55910CC6" w14:textId="5BAACD03"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29</w:t>
            </w:r>
          </w:p>
        </w:tc>
        <w:tc>
          <w:tcPr>
            <w:tcW w:w="1380" w:type="dxa"/>
            <w:noWrap/>
            <w:vAlign w:val="center"/>
          </w:tcPr>
          <w:p w14:paraId="38A3E91D" w14:textId="4287D2BE" w:rsidR="00896C08" w:rsidRPr="007E3631" w:rsidRDefault="00D65EDE"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color w:val="000000"/>
                <w:sz w:val="20"/>
                <w:szCs w:val="20"/>
              </w:rPr>
            </w:pPr>
            <w:r>
              <w:rPr>
                <w:rFonts w:ascii="Arial Narrow" w:hAnsi="Arial Narrow"/>
                <w:color w:val="000000"/>
                <w:sz w:val="20"/>
                <w:szCs w:val="20"/>
              </w:rPr>
              <w:t>15.8</w:t>
            </w:r>
            <w:r w:rsidR="00896C08" w:rsidRPr="007E3631">
              <w:rPr>
                <w:rFonts w:ascii="Arial Narrow" w:hAnsi="Arial Narrow"/>
                <w:color w:val="000000"/>
                <w:sz w:val="20"/>
                <w:szCs w:val="20"/>
              </w:rPr>
              <w:t>%</w:t>
            </w:r>
          </w:p>
        </w:tc>
      </w:tr>
      <w:tr w:rsidR="00896C08" w:rsidRPr="0011042D" w14:paraId="5FA73AB8" w14:textId="77777777" w:rsidTr="0011042D">
        <w:trPr>
          <w:trHeight w:val="315"/>
          <w:tblCellSpacing w:w="20" w:type="dxa"/>
        </w:trPr>
        <w:tc>
          <w:tcPr>
            <w:tcW w:w="453" w:type="dxa"/>
            <w:shd w:val="clear" w:color="auto" w:fill="F2F2F2"/>
            <w:noWrap/>
            <w:vAlign w:val="bottom"/>
          </w:tcPr>
          <w:p w14:paraId="4E1ECAD6" w14:textId="625D0250" w:rsidR="00896C08" w:rsidRPr="007E3631" w:rsidRDefault="00896C08" w:rsidP="00217E17">
            <w:pPr>
              <w:pBdr>
                <w:top w:val="none" w:sz="0" w:space="0" w:color="auto"/>
                <w:left w:val="none" w:sz="0" w:space="0" w:color="auto"/>
                <w:bottom w:val="none" w:sz="0" w:space="0" w:color="auto"/>
                <w:right w:val="none" w:sz="0" w:space="0" w:color="auto"/>
                <w:bar w:val="none" w:sz="0" w:color="auto"/>
              </w:pBdr>
              <w:rPr>
                <w:rFonts w:ascii="Arial Narrow" w:hAnsi="Arial Narrow"/>
                <w:b/>
                <w:bCs/>
                <w:color w:val="000000"/>
                <w:sz w:val="20"/>
                <w:szCs w:val="20"/>
              </w:rPr>
            </w:pPr>
          </w:p>
        </w:tc>
        <w:tc>
          <w:tcPr>
            <w:tcW w:w="1400" w:type="dxa"/>
            <w:shd w:val="clear" w:color="auto" w:fill="F2F2F2"/>
            <w:vAlign w:val="center"/>
          </w:tcPr>
          <w:p w14:paraId="0E584053"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b/>
                <w:bCs/>
                <w:color w:val="000000"/>
                <w:sz w:val="20"/>
                <w:szCs w:val="20"/>
              </w:rPr>
            </w:pPr>
            <w:r w:rsidRPr="007E3631">
              <w:rPr>
                <w:rFonts w:ascii="Arial Narrow" w:hAnsi="Arial Narrow"/>
                <w:b/>
                <w:bCs/>
                <w:color w:val="000000"/>
                <w:sz w:val="20"/>
                <w:szCs w:val="20"/>
              </w:rPr>
              <w:t>total</w:t>
            </w:r>
          </w:p>
        </w:tc>
        <w:tc>
          <w:tcPr>
            <w:tcW w:w="1040" w:type="dxa"/>
            <w:shd w:val="clear" w:color="auto" w:fill="F2F2F2"/>
            <w:noWrap/>
            <w:vAlign w:val="bottom"/>
          </w:tcPr>
          <w:p w14:paraId="6AA86CB1"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rPr>
                <w:rFonts w:ascii="Arial Narrow" w:hAnsi="Arial Narrow"/>
                <w:b/>
                <w:bCs/>
                <w:color w:val="000000"/>
                <w:sz w:val="20"/>
                <w:szCs w:val="20"/>
              </w:rPr>
            </w:pPr>
            <w:r w:rsidRPr="007E3631">
              <w:rPr>
                <w:rFonts w:ascii="Arial Narrow" w:hAnsi="Arial Narrow"/>
                <w:b/>
                <w:bCs/>
                <w:color w:val="000000"/>
                <w:sz w:val="20"/>
                <w:szCs w:val="20"/>
              </w:rPr>
              <w:t> </w:t>
            </w:r>
          </w:p>
        </w:tc>
        <w:tc>
          <w:tcPr>
            <w:tcW w:w="1130" w:type="dxa"/>
            <w:shd w:val="clear" w:color="auto" w:fill="F2F2F2"/>
            <w:noWrap/>
            <w:vAlign w:val="bottom"/>
          </w:tcPr>
          <w:p w14:paraId="5A5EB983"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rPr>
                <w:rFonts w:ascii="Arial Narrow" w:hAnsi="Arial Narrow"/>
                <w:b/>
                <w:bCs/>
                <w:color w:val="000000"/>
                <w:sz w:val="20"/>
                <w:szCs w:val="20"/>
              </w:rPr>
            </w:pPr>
            <w:r w:rsidRPr="007E3631">
              <w:rPr>
                <w:rFonts w:ascii="Arial Narrow" w:hAnsi="Arial Narrow"/>
                <w:b/>
                <w:bCs/>
                <w:color w:val="000000"/>
                <w:sz w:val="20"/>
                <w:szCs w:val="20"/>
              </w:rPr>
              <w:t> </w:t>
            </w:r>
          </w:p>
        </w:tc>
        <w:tc>
          <w:tcPr>
            <w:tcW w:w="950" w:type="dxa"/>
            <w:shd w:val="clear" w:color="auto" w:fill="F2F2F2"/>
            <w:noWrap/>
            <w:vAlign w:val="bottom"/>
          </w:tcPr>
          <w:p w14:paraId="7EFFB00D"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rPr>
                <w:rFonts w:ascii="Arial Narrow" w:hAnsi="Arial Narrow"/>
                <w:b/>
                <w:bCs/>
                <w:color w:val="000000"/>
                <w:sz w:val="20"/>
                <w:szCs w:val="20"/>
              </w:rPr>
            </w:pPr>
            <w:r w:rsidRPr="007E3631">
              <w:rPr>
                <w:rFonts w:ascii="Arial Narrow" w:hAnsi="Arial Narrow"/>
                <w:b/>
                <w:bCs/>
                <w:color w:val="000000"/>
                <w:sz w:val="20"/>
                <w:szCs w:val="20"/>
              </w:rPr>
              <w:t> </w:t>
            </w:r>
          </w:p>
        </w:tc>
        <w:tc>
          <w:tcPr>
            <w:tcW w:w="860" w:type="dxa"/>
            <w:shd w:val="clear" w:color="auto" w:fill="F2F2F2"/>
            <w:noWrap/>
            <w:vAlign w:val="bottom"/>
          </w:tcPr>
          <w:p w14:paraId="3211DE48"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b/>
                <w:bCs/>
                <w:color w:val="000000"/>
                <w:sz w:val="20"/>
                <w:szCs w:val="20"/>
              </w:rPr>
            </w:pPr>
            <w:r w:rsidRPr="007E3631">
              <w:rPr>
                <w:rFonts w:ascii="Arial Narrow" w:hAnsi="Arial Narrow"/>
                <w:b/>
                <w:bCs/>
                <w:color w:val="000000"/>
                <w:sz w:val="20"/>
                <w:szCs w:val="20"/>
              </w:rPr>
              <w:t>36,801</w:t>
            </w:r>
          </w:p>
        </w:tc>
        <w:tc>
          <w:tcPr>
            <w:tcW w:w="1220" w:type="dxa"/>
            <w:shd w:val="clear" w:color="auto" w:fill="F2F2F2"/>
            <w:noWrap/>
            <w:vAlign w:val="bottom"/>
          </w:tcPr>
          <w:p w14:paraId="728937D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b/>
                <w:bCs/>
                <w:color w:val="000000"/>
                <w:sz w:val="20"/>
                <w:szCs w:val="20"/>
              </w:rPr>
            </w:pPr>
            <w:r w:rsidRPr="007E3631">
              <w:rPr>
                <w:rFonts w:ascii="Arial Narrow" w:hAnsi="Arial Narrow"/>
                <w:b/>
                <w:bCs/>
                <w:color w:val="000000"/>
                <w:sz w:val="20"/>
                <w:szCs w:val="20"/>
              </w:rPr>
              <w:t>16,431</w:t>
            </w:r>
          </w:p>
        </w:tc>
        <w:tc>
          <w:tcPr>
            <w:tcW w:w="1222" w:type="dxa"/>
            <w:shd w:val="clear" w:color="auto" w:fill="F2F2F2"/>
            <w:noWrap/>
            <w:vAlign w:val="bottom"/>
          </w:tcPr>
          <w:p w14:paraId="1530EC9C"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b/>
                <w:bCs/>
                <w:color w:val="000000"/>
                <w:sz w:val="20"/>
                <w:szCs w:val="20"/>
              </w:rPr>
            </w:pPr>
            <w:r w:rsidRPr="007E3631">
              <w:rPr>
                <w:rFonts w:ascii="Arial Narrow" w:hAnsi="Arial Narrow"/>
                <w:b/>
                <w:bCs/>
                <w:color w:val="000000"/>
                <w:sz w:val="20"/>
                <w:szCs w:val="20"/>
              </w:rPr>
              <w:t>3,893</w:t>
            </w:r>
          </w:p>
        </w:tc>
        <w:tc>
          <w:tcPr>
            <w:tcW w:w="802" w:type="dxa"/>
            <w:shd w:val="clear" w:color="auto" w:fill="F2F2F2"/>
            <w:noWrap/>
            <w:vAlign w:val="bottom"/>
          </w:tcPr>
          <w:p w14:paraId="10F1CF8D"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b/>
                <w:bCs/>
                <w:color w:val="000000"/>
                <w:sz w:val="20"/>
                <w:szCs w:val="20"/>
              </w:rPr>
            </w:pPr>
            <w:r w:rsidRPr="007E3631">
              <w:rPr>
                <w:rFonts w:ascii="Arial Narrow" w:hAnsi="Arial Narrow"/>
                <w:b/>
                <w:bCs/>
                <w:color w:val="000000"/>
                <w:sz w:val="20"/>
                <w:szCs w:val="20"/>
              </w:rPr>
              <w:t>111.10</w:t>
            </w:r>
          </w:p>
        </w:tc>
        <w:tc>
          <w:tcPr>
            <w:tcW w:w="1197" w:type="dxa"/>
            <w:shd w:val="clear" w:color="auto" w:fill="F2F2F2"/>
            <w:noWrap/>
            <w:vAlign w:val="bottom"/>
          </w:tcPr>
          <w:p w14:paraId="27B41483"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rPr>
                <w:rFonts w:ascii="Arial Narrow" w:hAnsi="Arial Narrow"/>
                <w:b/>
                <w:bCs/>
                <w:color w:val="000000"/>
                <w:sz w:val="20"/>
                <w:szCs w:val="20"/>
              </w:rPr>
            </w:pPr>
            <w:r w:rsidRPr="007E3631">
              <w:rPr>
                <w:rFonts w:ascii="Arial Narrow" w:hAnsi="Arial Narrow"/>
                <w:b/>
                <w:bCs/>
                <w:color w:val="000000"/>
                <w:sz w:val="20"/>
                <w:szCs w:val="20"/>
              </w:rPr>
              <w:t> </w:t>
            </w:r>
          </w:p>
        </w:tc>
        <w:tc>
          <w:tcPr>
            <w:tcW w:w="841" w:type="dxa"/>
            <w:shd w:val="clear" w:color="auto" w:fill="F2F2F2"/>
            <w:noWrap/>
            <w:vAlign w:val="bottom"/>
          </w:tcPr>
          <w:p w14:paraId="4283B996"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rPr>
                <w:rFonts w:ascii="Arial Narrow" w:hAnsi="Arial Narrow"/>
                <w:b/>
                <w:bCs/>
                <w:color w:val="000000"/>
                <w:sz w:val="20"/>
                <w:szCs w:val="20"/>
              </w:rPr>
            </w:pPr>
            <w:r w:rsidRPr="007E3631">
              <w:rPr>
                <w:rFonts w:ascii="Arial Narrow" w:hAnsi="Arial Narrow"/>
                <w:b/>
                <w:bCs/>
                <w:color w:val="000000"/>
                <w:sz w:val="20"/>
                <w:szCs w:val="20"/>
              </w:rPr>
              <w:t> </w:t>
            </w:r>
          </w:p>
        </w:tc>
        <w:tc>
          <w:tcPr>
            <w:tcW w:w="648" w:type="dxa"/>
            <w:shd w:val="clear" w:color="auto" w:fill="F2F2F2"/>
            <w:noWrap/>
            <w:vAlign w:val="bottom"/>
          </w:tcPr>
          <w:p w14:paraId="52737AB8" w14:textId="77777777" w:rsidR="00896C08" w:rsidRPr="007E3631" w:rsidRDefault="00896C08" w:rsidP="00217E17">
            <w:pPr>
              <w:pBdr>
                <w:top w:val="none" w:sz="0" w:space="0" w:color="auto"/>
                <w:left w:val="none" w:sz="0" w:space="0" w:color="auto"/>
                <w:bottom w:val="none" w:sz="0" w:space="0" w:color="auto"/>
                <w:right w:val="none" w:sz="0" w:space="0" w:color="auto"/>
                <w:bar w:val="none" w:sz="0" w:color="auto"/>
              </w:pBdr>
              <w:rPr>
                <w:rFonts w:ascii="Arial Narrow" w:hAnsi="Arial Narrow"/>
                <w:b/>
                <w:bCs/>
                <w:color w:val="000000"/>
                <w:sz w:val="20"/>
                <w:szCs w:val="20"/>
              </w:rPr>
            </w:pPr>
            <w:r w:rsidRPr="007E3631">
              <w:rPr>
                <w:rFonts w:ascii="Arial Narrow" w:hAnsi="Arial Narrow"/>
                <w:b/>
                <w:bCs/>
                <w:color w:val="000000"/>
                <w:sz w:val="20"/>
                <w:szCs w:val="20"/>
              </w:rPr>
              <w:t> </w:t>
            </w:r>
          </w:p>
        </w:tc>
        <w:tc>
          <w:tcPr>
            <w:tcW w:w="1350" w:type="dxa"/>
            <w:shd w:val="clear" w:color="auto" w:fill="F2F2F2"/>
            <w:noWrap/>
            <w:vAlign w:val="bottom"/>
          </w:tcPr>
          <w:p w14:paraId="3337CCC5" w14:textId="6FAC9704" w:rsidR="00896C08" w:rsidRPr="007E3631" w:rsidRDefault="00E95F35"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b/>
                <w:bCs/>
                <w:color w:val="000000"/>
                <w:sz w:val="20"/>
                <w:szCs w:val="20"/>
              </w:rPr>
            </w:pPr>
            <w:r>
              <w:rPr>
                <w:rFonts w:ascii="Arial Narrow" w:hAnsi="Arial Narrow"/>
                <w:b/>
                <w:bCs/>
                <w:color w:val="000000"/>
                <w:sz w:val="20"/>
                <w:szCs w:val="20"/>
              </w:rPr>
              <w:t>509</w:t>
            </w:r>
          </w:p>
        </w:tc>
        <w:tc>
          <w:tcPr>
            <w:tcW w:w="1380" w:type="dxa"/>
            <w:shd w:val="clear" w:color="auto" w:fill="F2F2F2"/>
            <w:noWrap/>
            <w:vAlign w:val="center"/>
          </w:tcPr>
          <w:p w14:paraId="7EB778EE" w14:textId="4B2A660B" w:rsidR="00896C08" w:rsidRPr="007E3631" w:rsidRDefault="00D65EDE" w:rsidP="00217E17">
            <w:pPr>
              <w:pBdr>
                <w:top w:val="none" w:sz="0" w:space="0" w:color="auto"/>
                <w:left w:val="none" w:sz="0" w:space="0" w:color="auto"/>
                <w:bottom w:val="none" w:sz="0" w:space="0" w:color="auto"/>
                <w:right w:val="none" w:sz="0" w:space="0" w:color="auto"/>
                <w:bar w:val="none" w:sz="0" w:color="auto"/>
              </w:pBdr>
              <w:jc w:val="center"/>
              <w:rPr>
                <w:rFonts w:ascii="Arial Narrow" w:hAnsi="Arial Narrow"/>
                <w:b/>
                <w:bCs/>
                <w:color w:val="000000"/>
                <w:sz w:val="20"/>
                <w:szCs w:val="20"/>
              </w:rPr>
            </w:pPr>
            <w:r>
              <w:rPr>
                <w:rFonts w:ascii="Arial Narrow" w:hAnsi="Arial Narrow"/>
                <w:b/>
                <w:bCs/>
                <w:color w:val="000000"/>
                <w:sz w:val="20"/>
                <w:szCs w:val="20"/>
              </w:rPr>
              <w:t>13.1</w:t>
            </w:r>
            <w:r w:rsidR="00896C08" w:rsidRPr="007E3631">
              <w:rPr>
                <w:rFonts w:ascii="Arial Narrow" w:hAnsi="Arial Narrow"/>
                <w:b/>
                <w:bCs/>
                <w:color w:val="000000"/>
                <w:sz w:val="20"/>
                <w:szCs w:val="20"/>
              </w:rPr>
              <w:t>%</w:t>
            </w:r>
          </w:p>
        </w:tc>
      </w:tr>
    </w:tbl>
    <w:p w14:paraId="52764241" w14:textId="77777777" w:rsidR="00447BA1" w:rsidRDefault="00447BA1" w:rsidP="00455058">
      <w:pPr>
        <w:pBdr>
          <w:top w:val="none" w:sz="0" w:space="0" w:color="auto"/>
          <w:left w:val="none" w:sz="0" w:space="0" w:color="auto"/>
          <w:bottom w:val="none" w:sz="0" w:space="0" w:color="auto"/>
          <w:right w:val="none" w:sz="0" w:space="0" w:color="auto"/>
          <w:bar w:val="none" w:sz="0" w:color="auto"/>
        </w:pBdr>
        <w:contextualSpacing/>
        <w:jc w:val="both"/>
        <w:rPr>
          <w:rFonts w:ascii="Arial Narrow" w:hAnsi="Arial Narrow"/>
          <w:b/>
          <w:lang w:val="fr-FR"/>
        </w:rPr>
        <w:sectPr w:rsidR="00447BA1" w:rsidSect="00612E76">
          <w:pgSz w:w="16840" w:h="11900" w:orient="landscape" w:code="9"/>
          <w:pgMar w:top="1440" w:right="1440" w:bottom="1440" w:left="1440" w:header="708" w:footer="708" w:gutter="0"/>
          <w:cols w:space="708"/>
          <w:rtlGutter/>
          <w:docGrid w:linePitch="326"/>
        </w:sectPr>
      </w:pPr>
    </w:p>
    <w:p w14:paraId="2D849337" w14:textId="77777777" w:rsidR="00896C08" w:rsidRPr="00B3596A" w:rsidRDefault="00896C08" w:rsidP="00455058">
      <w:pPr>
        <w:pBdr>
          <w:top w:val="none" w:sz="0" w:space="0" w:color="auto"/>
          <w:left w:val="none" w:sz="0" w:space="0" w:color="auto"/>
          <w:bottom w:val="none" w:sz="0" w:space="0" w:color="auto"/>
          <w:right w:val="none" w:sz="0" w:space="0" w:color="auto"/>
          <w:bar w:val="none" w:sz="0" w:color="auto"/>
        </w:pBdr>
        <w:contextualSpacing/>
        <w:jc w:val="both"/>
        <w:rPr>
          <w:rFonts w:ascii="Arial Narrow" w:hAnsi="Arial Narrow"/>
          <w:b/>
          <w:lang w:val="fr-FR"/>
        </w:rPr>
      </w:pPr>
      <w:r w:rsidRPr="00B3596A">
        <w:rPr>
          <w:rFonts w:ascii="Arial Narrow" w:hAnsi="Arial Narrow"/>
          <w:b/>
          <w:lang w:val="fr-FR"/>
        </w:rPr>
        <w:lastRenderedPageBreak/>
        <w:t>Întrebările adresate au vizat, în principal:</w:t>
      </w:r>
    </w:p>
    <w:p w14:paraId="52106DCF" w14:textId="77777777" w:rsidR="00896C08" w:rsidRPr="00B3596A" w:rsidRDefault="00896C08" w:rsidP="00F731A4">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450"/>
        <w:jc w:val="both"/>
        <w:rPr>
          <w:rFonts w:ascii="Arial Narrow" w:hAnsi="Arial Narrow"/>
          <w:b/>
          <w:sz w:val="24"/>
          <w:szCs w:val="24"/>
          <w:lang w:val="fr-FR"/>
        </w:rPr>
      </w:pPr>
      <w:r w:rsidRPr="00B3596A">
        <w:rPr>
          <w:rFonts w:ascii="Arial Narrow" w:hAnsi="Arial Narrow"/>
          <w:b/>
          <w:sz w:val="24"/>
          <w:szCs w:val="24"/>
          <w:lang w:val="fr-FR"/>
        </w:rPr>
        <w:t xml:space="preserve"> </w:t>
      </w:r>
    </w:p>
    <w:p w14:paraId="5B518D51" w14:textId="77777777" w:rsidR="00896C08" w:rsidRPr="00E01442"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rPr>
      </w:pPr>
      <w:r>
        <w:rPr>
          <w:rFonts w:ascii="Arial Narrow" w:hAnsi="Arial Narrow"/>
        </w:rPr>
        <w:t>cuantumul despăgubirilor;</w:t>
      </w:r>
    </w:p>
    <w:p w14:paraId="62A74493" w14:textId="77777777" w:rsidR="00896C08" w:rsidRPr="00B3596A"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it-IT"/>
        </w:rPr>
      </w:pPr>
      <w:r w:rsidRPr="00B3596A">
        <w:rPr>
          <w:rFonts w:ascii="Arial Narrow" w:hAnsi="Arial Narrow"/>
          <w:lang w:val="it-IT"/>
        </w:rPr>
        <w:t>modul de subtraversare al conductei - dacă traversează râuri, ce drumuri jude</w:t>
      </w:r>
      <w:r>
        <w:rPr>
          <w:rFonts w:ascii="Arial Narrow" w:hAnsi="Arial Narrow"/>
          <w:lang w:val="it-IT"/>
        </w:rPr>
        <w:t>ț</w:t>
      </w:r>
      <w:r w:rsidRPr="00B3596A">
        <w:rPr>
          <w:rFonts w:ascii="Arial Narrow" w:hAnsi="Arial Narrow"/>
          <w:lang w:val="it-IT"/>
        </w:rPr>
        <w:t xml:space="preserve">ene se vor moderniza cu ocazia acestui proiect, </w:t>
      </w:r>
    </w:p>
    <w:p w14:paraId="45FEA7AC" w14:textId="77777777" w:rsidR="00896C08" w:rsidRPr="00E01442"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rPr>
      </w:pPr>
      <w:r w:rsidRPr="00FC210E">
        <w:rPr>
          <w:rFonts w:ascii="Arial Narrow" w:hAnsi="Arial Narrow"/>
        </w:rPr>
        <w:t xml:space="preserve">modalitățile de despăgubire a proprietarilor de terenuri și dacă se produc pagube cu ocazia lucrărilor, </w:t>
      </w:r>
    </w:p>
    <w:p w14:paraId="55735D61" w14:textId="77777777" w:rsidR="00896C08" w:rsidRPr="00B3596A"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pt-BR"/>
        </w:rPr>
      </w:pPr>
      <w:r w:rsidRPr="00B3596A">
        <w:rPr>
          <w:rFonts w:ascii="Arial Narrow" w:hAnsi="Arial Narrow"/>
          <w:lang w:val="pt-BR"/>
        </w:rPr>
        <w:t xml:space="preserve">cadrul legal pentru proiectul BRUA;  </w:t>
      </w:r>
    </w:p>
    <w:p w14:paraId="45D241A8" w14:textId="77777777" w:rsidR="00896C08" w:rsidRPr="00E01442"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rPr>
      </w:pPr>
      <w:r>
        <w:rPr>
          <w:rFonts w:ascii="Arial Narrow" w:hAnsi="Arial Narrow"/>
        </w:rPr>
        <w:t>decopertarea terenului;</w:t>
      </w:r>
    </w:p>
    <w:p w14:paraId="2E2DA7B1" w14:textId="77777777" w:rsidR="00896C08" w:rsidRPr="00B3596A"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pt-BR"/>
        </w:rPr>
      </w:pPr>
      <w:r w:rsidRPr="00B3596A">
        <w:rPr>
          <w:rFonts w:ascii="Arial Narrow" w:hAnsi="Arial Narrow"/>
          <w:lang w:val="pt-BR"/>
        </w:rPr>
        <w:t>materialul lemnos ob</w:t>
      </w:r>
      <w:r>
        <w:rPr>
          <w:rFonts w:ascii="Arial Narrow" w:hAnsi="Arial Narrow"/>
          <w:lang w:val="pt-BR"/>
        </w:rPr>
        <w:t>ț</w:t>
      </w:r>
      <w:r w:rsidRPr="00B3596A">
        <w:rPr>
          <w:rFonts w:ascii="Arial Narrow" w:hAnsi="Arial Narrow"/>
          <w:lang w:val="pt-BR"/>
        </w:rPr>
        <w:t>inut în urma defri</w:t>
      </w:r>
      <w:r>
        <w:rPr>
          <w:rFonts w:ascii="Arial Narrow" w:hAnsi="Arial Narrow"/>
          <w:lang w:val="pt-BR"/>
        </w:rPr>
        <w:t>ș</w:t>
      </w:r>
      <w:r w:rsidRPr="00B3596A">
        <w:rPr>
          <w:rFonts w:ascii="Arial Narrow" w:hAnsi="Arial Narrow"/>
          <w:lang w:val="pt-BR"/>
        </w:rPr>
        <w:t>ărilor;</w:t>
      </w:r>
    </w:p>
    <w:p w14:paraId="28870D17" w14:textId="77777777" w:rsidR="00896C08" w:rsidRPr="00B3596A"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pt-BR"/>
        </w:rPr>
      </w:pPr>
      <w:r w:rsidRPr="00B3596A">
        <w:rPr>
          <w:rFonts w:ascii="Arial Narrow" w:hAnsi="Arial Narrow"/>
          <w:lang w:val="pt-BR"/>
        </w:rPr>
        <w:t>reîmpădurirea culoarului de pădure defri</w:t>
      </w:r>
      <w:r>
        <w:rPr>
          <w:rFonts w:ascii="Arial Narrow" w:hAnsi="Arial Narrow"/>
          <w:lang w:val="pt-BR"/>
        </w:rPr>
        <w:t>ș</w:t>
      </w:r>
      <w:r w:rsidRPr="00B3596A">
        <w:rPr>
          <w:rFonts w:ascii="Arial Narrow" w:hAnsi="Arial Narrow"/>
          <w:lang w:val="pt-BR"/>
        </w:rPr>
        <w:t>at;</w:t>
      </w:r>
    </w:p>
    <w:p w14:paraId="600DF263" w14:textId="77777777" w:rsidR="00896C08" w:rsidRPr="00E01442"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rPr>
      </w:pPr>
      <w:r w:rsidRPr="00FC210E">
        <w:rPr>
          <w:rFonts w:ascii="Arial Narrow" w:hAnsi="Arial Narrow"/>
        </w:rPr>
        <w:t>despăgu</w:t>
      </w:r>
      <w:r>
        <w:rPr>
          <w:rFonts w:ascii="Arial Narrow" w:hAnsi="Arial Narrow"/>
        </w:rPr>
        <w:t>birile pentru teren intravilan;</w:t>
      </w:r>
    </w:p>
    <w:p w14:paraId="1218A14D" w14:textId="77777777" w:rsidR="00896C08" w:rsidRPr="00B3596A"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pt-BR"/>
        </w:rPr>
      </w:pPr>
      <w:r w:rsidRPr="00B3596A">
        <w:rPr>
          <w:rFonts w:ascii="Arial Narrow" w:hAnsi="Arial Narrow"/>
          <w:lang w:val="pt-BR"/>
        </w:rPr>
        <w:t xml:space="preserve">punctul de începere a lucrărilor pe raza comunei; </w:t>
      </w:r>
    </w:p>
    <w:p w14:paraId="55F0B893" w14:textId="77777777" w:rsidR="00896C08" w:rsidRPr="00B3596A" w:rsidRDefault="00896C08" w:rsidP="00F731A4">
      <w:pPr>
        <w:pStyle w:val="ListParagraph"/>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pt-BR"/>
        </w:rPr>
      </w:pPr>
      <w:r w:rsidRPr="00B3596A">
        <w:rPr>
          <w:rFonts w:ascii="Arial Narrow" w:hAnsi="Arial Narrow"/>
          <w:lang w:val="pt-BR"/>
        </w:rPr>
        <w:t>despăgubirile pentru terenul arabil inclusiv despre modul în care se vor face despăgubirile dacă terenul respectiv se află în litigiu;</w:t>
      </w:r>
    </w:p>
    <w:p w14:paraId="0EE5C2B0" w14:textId="77777777" w:rsidR="00896C08" w:rsidRPr="00D8036C" w:rsidRDefault="00896C08" w:rsidP="00F731A4">
      <w:pPr>
        <w:pStyle w:val="ListParagraph"/>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rPr>
      </w:pPr>
      <w:r w:rsidRPr="003214DB">
        <w:rPr>
          <w:rFonts w:ascii="Arial Narrow" w:hAnsi="Arial Narrow"/>
        </w:rPr>
        <w:t>modalitatea de despăgubire a moștenitorilor cu sau fără acte de proprietar, la momentul despagubirilo</w:t>
      </w:r>
      <w:r>
        <w:rPr>
          <w:rFonts w:ascii="Arial Narrow" w:hAnsi="Arial Narrow"/>
        </w:rPr>
        <w:t>r;</w:t>
      </w:r>
    </w:p>
    <w:p w14:paraId="1F6A80E7" w14:textId="77777777" w:rsidR="00896C08" w:rsidRPr="00455058" w:rsidRDefault="00896C08" w:rsidP="00455058">
      <w:pPr>
        <w:pStyle w:val="ListParagraph"/>
        <w:numPr>
          <w:ilvl w:val="0"/>
          <w:numId w:val="11"/>
        </w:num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Arial Narrow" w:hAnsi="Arial Narrow"/>
        </w:rPr>
      </w:pPr>
      <w:r w:rsidRPr="00DC02ED">
        <w:rPr>
          <w:rFonts w:ascii="Arial Narrow" w:hAnsi="Arial Narrow"/>
        </w:rPr>
        <w:t>ce fel de utilaje se vor folosi in momentul d</w:t>
      </w:r>
      <w:r>
        <w:rPr>
          <w:rFonts w:ascii="Arial Narrow" w:hAnsi="Arial Narrow"/>
        </w:rPr>
        <w:t>efrisării terenurilor;</w:t>
      </w:r>
    </w:p>
    <w:p w14:paraId="53DFE2C7" w14:textId="77777777" w:rsidR="00896C08" w:rsidRPr="00B3596A" w:rsidRDefault="00896C08" w:rsidP="00F731A4">
      <w:pPr>
        <w:pStyle w:val="ListParagraph"/>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it-IT"/>
        </w:rPr>
      </w:pPr>
      <w:r w:rsidRPr="00B3596A">
        <w:rPr>
          <w:rFonts w:ascii="Arial Narrow" w:hAnsi="Arial Narrow"/>
          <w:lang w:val="it-IT"/>
        </w:rPr>
        <w:t>distan</w:t>
      </w:r>
      <w:r>
        <w:rPr>
          <w:rFonts w:ascii="Arial Narrow" w:hAnsi="Arial Narrow"/>
          <w:lang w:val="it-IT"/>
        </w:rPr>
        <w:t>ț</w:t>
      </w:r>
      <w:r w:rsidRPr="00B3596A">
        <w:rPr>
          <w:rFonts w:ascii="Arial Narrow" w:hAnsi="Arial Narrow"/>
          <w:lang w:val="it-IT"/>
        </w:rPr>
        <w:t xml:space="preserve">a la care se poate construi </w:t>
      </w:r>
      <w:r>
        <w:rPr>
          <w:rFonts w:ascii="Arial Narrow" w:hAnsi="Arial Narrow"/>
          <w:lang w:val="it-IT"/>
        </w:rPr>
        <w:t>ș</w:t>
      </w:r>
      <w:r w:rsidRPr="00B3596A">
        <w:rPr>
          <w:rFonts w:ascii="Arial Narrow" w:hAnsi="Arial Narrow"/>
          <w:lang w:val="it-IT"/>
        </w:rPr>
        <w:t>i posibilitatea racordării comunei la re</w:t>
      </w:r>
      <w:r>
        <w:rPr>
          <w:rFonts w:ascii="Arial Narrow" w:hAnsi="Arial Narrow"/>
          <w:lang w:val="it-IT"/>
        </w:rPr>
        <w:t>ț</w:t>
      </w:r>
      <w:r w:rsidRPr="00B3596A">
        <w:rPr>
          <w:rFonts w:ascii="Arial Narrow" w:hAnsi="Arial Narrow"/>
          <w:lang w:val="it-IT"/>
        </w:rPr>
        <w:t>eaua de distribu</w:t>
      </w:r>
      <w:r>
        <w:rPr>
          <w:rFonts w:ascii="Arial Narrow" w:hAnsi="Arial Narrow"/>
          <w:lang w:val="it-IT"/>
        </w:rPr>
        <w:t>ț</w:t>
      </w:r>
      <w:r w:rsidRPr="00B3596A">
        <w:rPr>
          <w:rFonts w:ascii="Arial Narrow" w:hAnsi="Arial Narrow"/>
          <w:lang w:val="it-IT"/>
        </w:rPr>
        <w:t>ie a gazelor naturale;</w:t>
      </w:r>
    </w:p>
    <w:p w14:paraId="4F0BC35C" w14:textId="77777777" w:rsidR="00896C08" w:rsidRPr="00FA1329" w:rsidRDefault="00896C08" w:rsidP="00F731A4">
      <w:pPr>
        <w:pStyle w:val="ListParagraph"/>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rPr>
      </w:pPr>
      <w:r w:rsidRPr="00DC02ED">
        <w:rPr>
          <w:rFonts w:ascii="Arial Narrow" w:hAnsi="Arial Narrow"/>
        </w:rPr>
        <w:t>cuantumul despăgubirilor pentru arendașii și proprietarii de terenuri</w:t>
      </w:r>
      <w:r>
        <w:rPr>
          <w:rFonts w:ascii="Arial Narrow" w:hAnsi="Arial Narrow"/>
        </w:rPr>
        <w:t>;</w:t>
      </w:r>
    </w:p>
    <w:p w14:paraId="11527CD0" w14:textId="34999BEC" w:rsidR="00896C08" w:rsidRPr="00B3596A" w:rsidRDefault="00896C08" w:rsidP="00F731A4">
      <w:pPr>
        <w:pStyle w:val="ListParagraph"/>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it-IT"/>
        </w:rPr>
      </w:pPr>
      <w:r w:rsidRPr="00B3596A">
        <w:rPr>
          <w:rFonts w:ascii="Arial Narrow" w:hAnsi="Arial Narrow"/>
          <w:lang w:val="it-IT"/>
        </w:rPr>
        <w:t>întrebări legate de siturile NATURA 2000,</w:t>
      </w:r>
    </w:p>
    <w:p w14:paraId="248AE99E" w14:textId="77777777" w:rsidR="00896C08" w:rsidRPr="00B3596A" w:rsidRDefault="00896C08" w:rsidP="00F731A4">
      <w:pPr>
        <w:pStyle w:val="ListParagraph"/>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pt-BR"/>
        </w:rPr>
      </w:pPr>
      <w:r w:rsidRPr="00B3596A">
        <w:rPr>
          <w:rFonts w:ascii="Arial Narrow" w:hAnsi="Arial Narrow"/>
          <w:lang w:val="pt-BR"/>
        </w:rPr>
        <w:t>Legea BRUA</w:t>
      </w:r>
      <w:r>
        <w:rPr>
          <w:rFonts w:ascii="Arial Narrow" w:hAnsi="Arial Narrow"/>
          <w:lang w:val="pt-BR"/>
        </w:rPr>
        <w:t>:</w:t>
      </w:r>
    </w:p>
    <w:p w14:paraId="003112C4" w14:textId="2F6916E7" w:rsidR="00896C08" w:rsidRPr="00B3596A" w:rsidRDefault="00896C08" w:rsidP="00F731A4">
      <w:pPr>
        <w:pStyle w:val="ListParagraph"/>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Arial Narrow" w:hAnsi="Arial Narrow"/>
          <w:b/>
          <w:sz w:val="24"/>
          <w:szCs w:val="24"/>
          <w:lang w:val="pt-BR"/>
        </w:rPr>
      </w:pPr>
      <w:r>
        <w:rPr>
          <w:rFonts w:ascii="Arial Narrow" w:hAnsi="Arial Narrow"/>
          <w:lang w:val="pt-BR"/>
        </w:rPr>
        <w:t>sursele</w:t>
      </w:r>
      <w:r w:rsidRPr="00B3596A">
        <w:rPr>
          <w:rFonts w:ascii="Arial Narrow" w:hAnsi="Arial Narrow"/>
          <w:lang w:val="pt-BR"/>
        </w:rPr>
        <w:t xml:space="preserve"> de finantare</w:t>
      </w:r>
      <w:r>
        <w:rPr>
          <w:rFonts w:ascii="Arial Narrow" w:hAnsi="Arial Narrow"/>
          <w:lang w:val="pt-BR"/>
        </w:rPr>
        <w:t xml:space="preserve"> </w:t>
      </w:r>
      <w:r w:rsidRPr="00B3596A">
        <w:rPr>
          <w:rFonts w:ascii="Arial Narrow" w:hAnsi="Arial Narrow"/>
          <w:lang w:val="pt-BR"/>
        </w:rPr>
        <w:t>a proiectului BRUA.</w:t>
      </w:r>
    </w:p>
    <w:p w14:paraId="75A99DCD" w14:textId="77777777" w:rsidR="00896C08" w:rsidRPr="00B3596A" w:rsidRDefault="00896C08" w:rsidP="00F731A4">
      <w:pPr>
        <w:pBdr>
          <w:top w:val="none" w:sz="0" w:space="0" w:color="auto"/>
          <w:left w:val="none" w:sz="0" w:space="0" w:color="auto"/>
          <w:bottom w:val="none" w:sz="0" w:space="0" w:color="auto"/>
          <w:right w:val="none" w:sz="0" w:space="0" w:color="auto"/>
          <w:bar w:val="none" w:sz="0" w:color="auto"/>
        </w:pBdr>
        <w:rPr>
          <w:rFonts w:ascii="Arial Narrow" w:hAnsi="Arial Narrow"/>
          <w:i/>
          <w:lang w:val="pt-BR"/>
        </w:rPr>
      </w:pPr>
    </w:p>
    <w:p w14:paraId="0717AEF3" w14:textId="77777777"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0"/>
          <w:szCs w:val="20"/>
          <w:lang w:val="pt-BR"/>
        </w:rPr>
      </w:pPr>
    </w:p>
    <w:p w14:paraId="329F4A50" w14:textId="77777777"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lang w:val="pt-BR"/>
        </w:rPr>
      </w:pPr>
      <w:r w:rsidRPr="00B3596A">
        <w:rPr>
          <w:rFonts w:ascii="Arial Narrow" w:hAnsi="Arial Narrow" w:cs="Arial Narrow"/>
          <w:sz w:val="24"/>
          <w:szCs w:val="24"/>
          <w:lang w:val="pt-BR"/>
        </w:rPr>
        <w:t>Prezentul Raport este întocmit în conformitate cu prevederile art.9 alin.(4) din Regulamentul (UE) nr.347/ 2013 şi sintetizează rezultatele activităţilor legate de participarea publicului. în cadrul Consultării Publice pentru Proiectul BRUA Faza 1 desfăşurată în perioada 24 octombrie -8 noiembrie 2016. Activităţile privind participarea publicului, efectuate înainte de demararea procedurii de autorizare sunt cuprinse în rapoartele întocmite în acest scop. Prezentul  raport se va prezenta odată cu dosarul de candidatură.</w:t>
      </w:r>
    </w:p>
    <w:p w14:paraId="23F2B515" w14:textId="77777777"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both"/>
        <w:rPr>
          <w:rFonts w:ascii="Arial Narrow" w:hAnsi="Arial Narrow" w:cs="Arial Narrow"/>
          <w:sz w:val="24"/>
          <w:szCs w:val="24"/>
          <w:lang w:val="pt-BR"/>
        </w:rPr>
      </w:pPr>
    </w:p>
    <w:p w14:paraId="1DD89188" w14:textId="77777777" w:rsidR="00447BA1" w:rsidRDefault="00447BA1">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sz w:val="24"/>
          <w:szCs w:val="24"/>
          <w:lang w:val="pt-BR"/>
        </w:rPr>
      </w:pPr>
      <w:bookmarkStart w:id="1" w:name="_GoBack"/>
      <w:bookmarkEnd w:id="1"/>
    </w:p>
    <w:p w14:paraId="1853C0B0" w14:textId="77777777" w:rsidR="00447BA1" w:rsidRDefault="00447BA1">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sz w:val="24"/>
          <w:szCs w:val="24"/>
          <w:lang w:val="pt-BR"/>
        </w:rPr>
      </w:pPr>
    </w:p>
    <w:p w14:paraId="22EA104E" w14:textId="77777777" w:rsidR="00447BA1" w:rsidRDefault="00447BA1">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sz w:val="24"/>
          <w:szCs w:val="24"/>
          <w:lang w:val="pt-BR"/>
        </w:rPr>
      </w:pPr>
    </w:p>
    <w:p w14:paraId="08803CCF" w14:textId="77777777" w:rsidR="00447BA1" w:rsidRDefault="00447BA1">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sz w:val="24"/>
          <w:szCs w:val="24"/>
          <w:lang w:val="pt-BR"/>
        </w:rPr>
      </w:pPr>
    </w:p>
    <w:p w14:paraId="3C9055C5" w14:textId="77777777"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sz w:val="24"/>
          <w:szCs w:val="24"/>
          <w:lang w:val="pt-BR"/>
        </w:rPr>
      </w:pPr>
      <w:r w:rsidRPr="00B3596A">
        <w:rPr>
          <w:rFonts w:ascii="Arial Narrow" w:hAnsi="Arial Narrow" w:cs="Arial Narrow"/>
          <w:b/>
          <w:bCs/>
          <w:sz w:val="24"/>
          <w:szCs w:val="24"/>
          <w:lang w:val="pt-BR"/>
        </w:rPr>
        <w:t>Director General</w:t>
      </w:r>
    </w:p>
    <w:p w14:paraId="08374C79" w14:textId="77777777" w:rsidR="00896C08" w:rsidRPr="00B3596A" w:rsidRDefault="00896C08">
      <w:pPr>
        <w:pStyle w:val="Corp"/>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Narrow" w:hAnsi="Arial Narrow" w:cs="Arial Narrow"/>
          <w:b/>
          <w:bCs/>
          <w:sz w:val="24"/>
          <w:szCs w:val="24"/>
          <w:lang w:val="pt-BR"/>
        </w:rPr>
      </w:pPr>
      <w:r w:rsidRPr="00B3596A">
        <w:rPr>
          <w:rFonts w:ascii="Arial Narrow" w:hAnsi="Arial Narrow" w:cs="Arial Narrow"/>
          <w:b/>
          <w:bCs/>
          <w:sz w:val="24"/>
          <w:szCs w:val="24"/>
          <w:lang w:val="pt-BR"/>
        </w:rPr>
        <w:t>PETRU VĂDUVA</w:t>
      </w:r>
    </w:p>
    <w:p w14:paraId="4C7D72A2" w14:textId="77777777" w:rsidR="00896C08" w:rsidRPr="00B3596A" w:rsidRDefault="00896C08" w:rsidP="00455058">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b/>
          <w:bCs/>
          <w:sz w:val="24"/>
          <w:szCs w:val="24"/>
          <w:lang w:val="pt-BR"/>
        </w:rPr>
      </w:pPr>
    </w:p>
    <w:p w14:paraId="6013CED7" w14:textId="77777777" w:rsidR="00447BA1" w:rsidRDefault="00447BA1" w:rsidP="00455058">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b/>
          <w:bCs/>
          <w:sz w:val="24"/>
          <w:szCs w:val="24"/>
          <w:lang w:val="pt-BR"/>
        </w:rPr>
      </w:pPr>
    </w:p>
    <w:p w14:paraId="72F30311" w14:textId="77777777" w:rsidR="00447BA1" w:rsidRDefault="00447BA1" w:rsidP="00455058">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b/>
          <w:bCs/>
          <w:sz w:val="24"/>
          <w:szCs w:val="24"/>
          <w:lang w:val="pt-BR"/>
        </w:rPr>
      </w:pPr>
    </w:p>
    <w:p w14:paraId="6FC991C4" w14:textId="77777777" w:rsidR="00447BA1" w:rsidRDefault="00447BA1" w:rsidP="00455058">
      <w:pPr>
        <w:pStyle w:val="Corp"/>
        <w:pBdr>
          <w:top w:val="none" w:sz="0" w:space="0" w:color="auto"/>
          <w:left w:val="none" w:sz="0" w:space="0" w:color="auto"/>
          <w:bottom w:val="none" w:sz="0" w:space="0" w:color="auto"/>
          <w:right w:val="none" w:sz="0" w:space="0" w:color="auto"/>
          <w:bar w:val="none" w:sz="0" w:color="auto"/>
        </w:pBdr>
        <w:spacing w:after="0" w:line="240" w:lineRule="auto"/>
        <w:rPr>
          <w:rFonts w:ascii="Arial Narrow" w:hAnsi="Arial Narrow" w:cs="Arial Narrow"/>
          <w:b/>
          <w:bCs/>
          <w:sz w:val="24"/>
          <w:szCs w:val="24"/>
          <w:lang w:val="pt-BR"/>
        </w:rPr>
      </w:pPr>
    </w:p>
    <w:sectPr w:rsidR="00447BA1" w:rsidSect="00447BA1">
      <w:pgSz w:w="11900" w:h="16840" w:code="9"/>
      <w:pgMar w:top="1440" w:right="1440" w:bottom="1440" w:left="1440" w:header="708" w:footer="708"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FF836" w14:textId="77777777" w:rsidR="00E41CC0" w:rsidRDefault="00E41CC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26E4BB1D" w14:textId="77777777" w:rsidR="00E41CC0" w:rsidRDefault="00E41CC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A308E" w14:textId="77777777" w:rsidR="00585A4B" w:rsidRPr="00217E17" w:rsidRDefault="00585A4B">
    <w:pPr>
      <w:pStyle w:val="Footer"/>
      <w:pBdr>
        <w:top w:val="none" w:sz="0" w:space="0" w:color="auto"/>
        <w:left w:val="none" w:sz="0" w:space="0" w:color="auto"/>
        <w:bottom w:val="none" w:sz="0" w:space="0" w:color="auto"/>
        <w:right w:val="none" w:sz="0" w:space="0" w:color="auto"/>
        <w:bar w:val="none" w:sz="0" w:color="auto"/>
      </w:pBdr>
      <w:jc w:val="center"/>
      <w:rPr>
        <w:rFonts w:ascii="Arial Narrow" w:hAnsi="Arial Narrow"/>
      </w:rPr>
    </w:pPr>
    <w:r w:rsidRPr="00217E17">
      <w:rPr>
        <w:rFonts w:ascii="Arial Narrow" w:hAnsi="Arial Narrow"/>
      </w:rPr>
      <w:fldChar w:fldCharType="begin"/>
    </w:r>
    <w:r w:rsidRPr="00217E17">
      <w:rPr>
        <w:rFonts w:ascii="Arial Narrow" w:hAnsi="Arial Narrow"/>
      </w:rPr>
      <w:instrText xml:space="preserve"> PAGE   \* MERGEFORMAT </w:instrText>
    </w:r>
    <w:r w:rsidRPr="00217E17">
      <w:rPr>
        <w:rFonts w:ascii="Arial Narrow" w:hAnsi="Arial Narrow"/>
      </w:rPr>
      <w:fldChar w:fldCharType="separate"/>
    </w:r>
    <w:r w:rsidR="00691C48">
      <w:rPr>
        <w:rFonts w:ascii="Arial Narrow" w:hAnsi="Arial Narrow"/>
        <w:noProof/>
      </w:rPr>
      <w:t>19</w:t>
    </w:r>
    <w:r w:rsidRPr="00217E17">
      <w:rPr>
        <w:rFonts w:ascii="Arial Narrow" w:hAnsi="Arial Narrow"/>
      </w:rPr>
      <w:fldChar w:fldCharType="end"/>
    </w:r>
  </w:p>
  <w:p w14:paraId="04B5A06A" w14:textId="77777777" w:rsidR="00585A4B" w:rsidRDefault="00585A4B">
    <w:pPr>
      <w:pStyle w:val="Antetisubsol"/>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731A9" w14:textId="77777777" w:rsidR="00E41CC0" w:rsidRDefault="00E41CC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143C4E7A" w14:textId="77777777" w:rsidR="00E41CC0" w:rsidRDefault="00E41CC0">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573"/>
    <w:multiLevelType w:val="hybridMultilevel"/>
    <w:tmpl w:val="200E0F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7C665E"/>
    <w:multiLevelType w:val="hybridMultilevel"/>
    <w:tmpl w:val="F11E8CCC"/>
    <w:lvl w:ilvl="0" w:tplc="10C46E4C">
      <w:start w:val="1"/>
      <w:numFmt w:val="bullet"/>
      <w:lvlText w:val="-"/>
      <w:lvlJc w:val="left"/>
      <w:pPr>
        <w:ind w:left="360" w:hanging="360"/>
      </w:pPr>
      <w:rPr>
        <w:rFonts w:ascii="Arial" w:eastAsia="Times New Roman" w:hAnsi="Arial"/>
        <w:b w:val="0"/>
        <w:i w:val="0"/>
        <w:caps w:val="0"/>
        <w:smallCaps w:val="0"/>
        <w:strike w:val="0"/>
        <w:dstrike w:val="0"/>
        <w:spacing w:val="0"/>
        <w:w w:val="100"/>
        <w:kern w:val="0"/>
        <w:position w:val="0"/>
        <w:vertAlign w:val="baseline"/>
      </w:rPr>
    </w:lvl>
    <w:lvl w:ilvl="1" w:tplc="EC32BFCA">
      <w:start w:val="1"/>
      <w:numFmt w:val="bullet"/>
      <w:lvlText w:val="o"/>
      <w:lvlJc w:val="left"/>
      <w:pPr>
        <w:ind w:left="1080" w:hanging="360"/>
      </w:pPr>
      <w:rPr>
        <w:rFonts w:ascii="Arial" w:eastAsia="Times New Roman" w:hAnsi="Arial"/>
        <w:b w:val="0"/>
        <w:i w:val="0"/>
        <w:caps w:val="0"/>
        <w:smallCaps w:val="0"/>
        <w:strike w:val="0"/>
        <w:dstrike w:val="0"/>
        <w:spacing w:val="0"/>
        <w:w w:val="100"/>
        <w:kern w:val="0"/>
        <w:position w:val="0"/>
        <w:vertAlign w:val="baseline"/>
      </w:rPr>
    </w:lvl>
    <w:lvl w:ilvl="2" w:tplc="641268DC">
      <w:start w:val="1"/>
      <w:numFmt w:val="bullet"/>
      <w:lvlText w:val="▪"/>
      <w:lvlJc w:val="left"/>
      <w:pPr>
        <w:ind w:left="1800" w:hanging="360"/>
      </w:pPr>
      <w:rPr>
        <w:rFonts w:ascii="Arial" w:eastAsia="Times New Roman" w:hAnsi="Arial"/>
        <w:b w:val="0"/>
        <w:i w:val="0"/>
        <w:caps w:val="0"/>
        <w:smallCaps w:val="0"/>
        <w:strike w:val="0"/>
        <w:dstrike w:val="0"/>
        <w:spacing w:val="0"/>
        <w:w w:val="100"/>
        <w:kern w:val="0"/>
        <w:position w:val="0"/>
        <w:vertAlign w:val="baseline"/>
      </w:rPr>
    </w:lvl>
    <w:lvl w:ilvl="3" w:tplc="354042AC">
      <w:start w:val="1"/>
      <w:numFmt w:val="bullet"/>
      <w:lvlText w:val="•"/>
      <w:lvlJc w:val="left"/>
      <w:pPr>
        <w:ind w:left="2520" w:hanging="360"/>
      </w:pPr>
      <w:rPr>
        <w:rFonts w:ascii="Arial" w:eastAsia="Times New Roman" w:hAnsi="Arial"/>
        <w:b w:val="0"/>
        <w:i w:val="0"/>
        <w:caps w:val="0"/>
        <w:smallCaps w:val="0"/>
        <w:strike w:val="0"/>
        <w:dstrike w:val="0"/>
        <w:spacing w:val="0"/>
        <w:w w:val="100"/>
        <w:kern w:val="0"/>
        <w:position w:val="0"/>
        <w:vertAlign w:val="baseline"/>
      </w:rPr>
    </w:lvl>
    <w:lvl w:ilvl="4" w:tplc="2CBA4D74">
      <w:start w:val="1"/>
      <w:numFmt w:val="bullet"/>
      <w:lvlText w:val="o"/>
      <w:lvlJc w:val="left"/>
      <w:pPr>
        <w:ind w:left="3240" w:hanging="360"/>
      </w:pPr>
      <w:rPr>
        <w:rFonts w:ascii="Arial" w:eastAsia="Times New Roman" w:hAnsi="Arial"/>
        <w:b w:val="0"/>
        <w:i w:val="0"/>
        <w:caps w:val="0"/>
        <w:smallCaps w:val="0"/>
        <w:strike w:val="0"/>
        <w:dstrike w:val="0"/>
        <w:spacing w:val="0"/>
        <w:w w:val="100"/>
        <w:kern w:val="0"/>
        <w:position w:val="0"/>
        <w:vertAlign w:val="baseline"/>
      </w:rPr>
    </w:lvl>
    <w:lvl w:ilvl="5" w:tplc="C0D66F7C">
      <w:start w:val="1"/>
      <w:numFmt w:val="bullet"/>
      <w:lvlText w:val="▪"/>
      <w:lvlJc w:val="left"/>
      <w:pPr>
        <w:ind w:left="3960" w:hanging="360"/>
      </w:pPr>
      <w:rPr>
        <w:rFonts w:ascii="Arial" w:eastAsia="Times New Roman" w:hAnsi="Arial"/>
        <w:b w:val="0"/>
        <w:i w:val="0"/>
        <w:caps w:val="0"/>
        <w:smallCaps w:val="0"/>
        <w:strike w:val="0"/>
        <w:dstrike w:val="0"/>
        <w:spacing w:val="0"/>
        <w:w w:val="100"/>
        <w:kern w:val="0"/>
        <w:position w:val="0"/>
        <w:vertAlign w:val="baseline"/>
      </w:rPr>
    </w:lvl>
    <w:lvl w:ilvl="6" w:tplc="590EF93E">
      <w:start w:val="1"/>
      <w:numFmt w:val="bullet"/>
      <w:lvlText w:val="•"/>
      <w:lvlJc w:val="left"/>
      <w:pPr>
        <w:ind w:left="4680" w:hanging="360"/>
      </w:pPr>
      <w:rPr>
        <w:rFonts w:ascii="Arial" w:eastAsia="Times New Roman" w:hAnsi="Arial"/>
        <w:b w:val="0"/>
        <w:i w:val="0"/>
        <w:caps w:val="0"/>
        <w:smallCaps w:val="0"/>
        <w:strike w:val="0"/>
        <w:dstrike w:val="0"/>
        <w:spacing w:val="0"/>
        <w:w w:val="100"/>
        <w:kern w:val="0"/>
        <w:position w:val="0"/>
        <w:vertAlign w:val="baseline"/>
      </w:rPr>
    </w:lvl>
    <w:lvl w:ilvl="7" w:tplc="77A22386">
      <w:start w:val="1"/>
      <w:numFmt w:val="bullet"/>
      <w:lvlText w:val="o"/>
      <w:lvlJc w:val="left"/>
      <w:pPr>
        <w:ind w:left="5400" w:hanging="360"/>
      </w:pPr>
      <w:rPr>
        <w:rFonts w:ascii="Arial" w:eastAsia="Times New Roman" w:hAnsi="Arial"/>
        <w:b w:val="0"/>
        <w:i w:val="0"/>
        <w:caps w:val="0"/>
        <w:smallCaps w:val="0"/>
        <w:strike w:val="0"/>
        <w:dstrike w:val="0"/>
        <w:spacing w:val="0"/>
        <w:w w:val="100"/>
        <w:kern w:val="0"/>
        <w:position w:val="0"/>
        <w:vertAlign w:val="baseline"/>
      </w:rPr>
    </w:lvl>
    <w:lvl w:ilvl="8" w:tplc="340C0D04">
      <w:start w:val="1"/>
      <w:numFmt w:val="bullet"/>
      <w:lvlText w:val="▪"/>
      <w:lvlJc w:val="left"/>
      <w:pPr>
        <w:ind w:left="6120" w:hanging="360"/>
      </w:pPr>
      <w:rPr>
        <w:rFonts w:ascii="Arial" w:eastAsia="Times New Roman" w:hAnsi="Arial"/>
        <w:b w:val="0"/>
        <w:i w:val="0"/>
        <w:caps w:val="0"/>
        <w:smallCaps w:val="0"/>
        <w:strike w:val="0"/>
        <w:dstrike w:val="0"/>
        <w:spacing w:val="0"/>
        <w:w w:val="100"/>
        <w:kern w:val="0"/>
        <w:position w:val="0"/>
        <w:vertAlign w:val="baseline"/>
      </w:rPr>
    </w:lvl>
  </w:abstractNum>
  <w:abstractNum w:abstractNumId="2" w15:restartNumberingAfterBreak="0">
    <w:nsid w:val="08875315"/>
    <w:multiLevelType w:val="hybridMultilevel"/>
    <w:tmpl w:val="078AB834"/>
    <w:lvl w:ilvl="0" w:tplc="195C3A64">
      <w:start w:val="1"/>
      <w:numFmt w:val="bullet"/>
      <w:lvlText w:val="-"/>
      <w:lvlJc w:val="left"/>
      <w:pPr>
        <w:ind w:left="360" w:hanging="360"/>
      </w:pPr>
      <w:rPr>
        <w:rFonts w:ascii="Arial" w:eastAsia="Times New Roman" w:hAnsi="Arial"/>
        <w:b w:val="0"/>
        <w:i w:val="0"/>
        <w:caps w:val="0"/>
        <w:smallCaps w:val="0"/>
        <w:strike w:val="0"/>
        <w:dstrike w:val="0"/>
        <w:spacing w:val="0"/>
        <w:w w:val="100"/>
        <w:kern w:val="0"/>
        <w:position w:val="0"/>
        <w:vertAlign w:val="baseline"/>
      </w:rPr>
    </w:lvl>
    <w:lvl w:ilvl="1" w:tplc="6D84CA02">
      <w:start w:val="1"/>
      <w:numFmt w:val="bullet"/>
      <w:lvlText w:val="o"/>
      <w:lvlJc w:val="left"/>
      <w:pPr>
        <w:ind w:left="1080" w:hanging="360"/>
      </w:pPr>
      <w:rPr>
        <w:rFonts w:ascii="Arial" w:eastAsia="Times New Roman" w:hAnsi="Arial"/>
        <w:b w:val="0"/>
        <w:i w:val="0"/>
        <w:caps w:val="0"/>
        <w:smallCaps w:val="0"/>
        <w:strike w:val="0"/>
        <w:dstrike w:val="0"/>
        <w:spacing w:val="0"/>
        <w:w w:val="100"/>
        <w:kern w:val="0"/>
        <w:position w:val="0"/>
        <w:vertAlign w:val="baseline"/>
      </w:rPr>
    </w:lvl>
    <w:lvl w:ilvl="2" w:tplc="549EA376">
      <w:start w:val="1"/>
      <w:numFmt w:val="bullet"/>
      <w:lvlText w:val="▪"/>
      <w:lvlJc w:val="left"/>
      <w:pPr>
        <w:ind w:left="1800" w:hanging="360"/>
      </w:pPr>
      <w:rPr>
        <w:rFonts w:ascii="Arial" w:eastAsia="Times New Roman" w:hAnsi="Arial"/>
        <w:b w:val="0"/>
        <w:i w:val="0"/>
        <w:caps w:val="0"/>
        <w:smallCaps w:val="0"/>
        <w:strike w:val="0"/>
        <w:dstrike w:val="0"/>
        <w:spacing w:val="0"/>
        <w:w w:val="100"/>
        <w:kern w:val="0"/>
        <w:position w:val="0"/>
        <w:vertAlign w:val="baseline"/>
      </w:rPr>
    </w:lvl>
    <w:lvl w:ilvl="3" w:tplc="5546C90C">
      <w:start w:val="1"/>
      <w:numFmt w:val="bullet"/>
      <w:lvlText w:val="•"/>
      <w:lvlJc w:val="left"/>
      <w:pPr>
        <w:ind w:left="2520" w:hanging="360"/>
      </w:pPr>
      <w:rPr>
        <w:rFonts w:ascii="Arial" w:eastAsia="Times New Roman" w:hAnsi="Arial"/>
        <w:b w:val="0"/>
        <w:i w:val="0"/>
        <w:caps w:val="0"/>
        <w:smallCaps w:val="0"/>
        <w:strike w:val="0"/>
        <w:dstrike w:val="0"/>
        <w:spacing w:val="0"/>
        <w:w w:val="100"/>
        <w:kern w:val="0"/>
        <w:position w:val="0"/>
        <w:vertAlign w:val="baseline"/>
      </w:rPr>
    </w:lvl>
    <w:lvl w:ilvl="4" w:tplc="8E28F626">
      <w:start w:val="1"/>
      <w:numFmt w:val="bullet"/>
      <w:lvlText w:val="o"/>
      <w:lvlJc w:val="left"/>
      <w:pPr>
        <w:ind w:left="3240" w:hanging="360"/>
      </w:pPr>
      <w:rPr>
        <w:rFonts w:ascii="Arial" w:eastAsia="Times New Roman" w:hAnsi="Arial"/>
        <w:b w:val="0"/>
        <w:i w:val="0"/>
        <w:caps w:val="0"/>
        <w:smallCaps w:val="0"/>
        <w:strike w:val="0"/>
        <w:dstrike w:val="0"/>
        <w:spacing w:val="0"/>
        <w:w w:val="100"/>
        <w:kern w:val="0"/>
        <w:position w:val="0"/>
        <w:vertAlign w:val="baseline"/>
      </w:rPr>
    </w:lvl>
    <w:lvl w:ilvl="5" w:tplc="92845282">
      <w:start w:val="1"/>
      <w:numFmt w:val="bullet"/>
      <w:lvlText w:val="▪"/>
      <w:lvlJc w:val="left"/>
      <w:pPr>
        <w:ind w:left="3960" w:hanging="360"/>
      </w:pPr>
      <w:rPr>
        <w:rFonts w:ascii="Arial" w:eastAsia="Times New Roman" w:hAnsi="Arial"/>
        <w:b w:val="0"/>
        <w:i w:val="0"/>
        <w:caps w:val="0"/>
        <w:smallCaps w:val="0"/>
        <w:strike w:val="0"/>
        <w:dstrike w:val="0"/>
        <w:spacing w:val="0"/>
        <w:w w:val="100"/>
        <w:kern w:val="0"/>
        <w:position w:val="0"/>
        <w:vertAlign w:val="baseline"/>
      </w:rPr>
    </w:lvl>
    <w:lvl w:ilvl="6" w:tplc="BADC08C6">
      <w:start w:val="1"/>
      <w:numFmt w:val="bullet"/>
      <w:lvlText w:val="•"/>
      <w:lvlJc w:val="left"/>
      <w:pPr>
        <w:ind w:left="4680" w:hanging="360"/>
      </w:pPr>
      <w:rPr>
        <w:rFonts w:ascii="Arial" w:eastAsia="Times New Roman" w:hAnsi="Arial"/>
        <w:b w:val="0"/>
        <w:i w:val="0"/>
        <w:caps w:val="0"/>
        <w:smallCaps w:val="0"/>
        <w:strike w:val="0"/>
        <w:dstrike w:val="0"/>
        <w:spacing w:val="0"/>
        <w:w w:val="100"/>
        <w:kern w:val="0"/>
        <w:position w:val="0"/>
        <w:vertAlign w:val="baseline"/>
      </w:rPr>
    </w:lvl>
    <w:lvl w:ilvl="7" w:tplc="E19A960E">
      <w:start w:val="1"/>
      <w:numFmt w:val="bullet"/>
      <w:lvlText w:val="o"/>
      <w:lvlJc w:val="left"/>
      <w:pPr>
        <w:ind w:left="5400" w:hanging="360"/>
      </w:pPr>
      <w:rPr>
        <w:rFonts w:ascii="Arial" w:eastAsia="Times New Roman" w:hAnsi="Arial"/>
        <w:b w:val="0"/>
        <w:i w:val="0"/>
        <w:caps w:val="0"/>
        <w:smallCaps w:val="0"/>
        <w:strike w:val="0"/>
        <w:dstrike w:val="0"/>
        <w:spacing w:val="0"/>
        <w:w w:val="100"/>
        <w:kern w:val="0"/>
        <w:position w:val="0"/>
        <w:vertAlign w:val="baseline"/>
      </w:rPr>
    </w:lvl>
    <w:lvl w:ilvl="8" w:tplc="15861D00">
      <w:start w:val="1"/>
      <w:numFmt w:val="bullet"/>
      <w:lvlText w:val="▪"/>
      <w:lvlJc w:val="left"/>
      <w:pPr>
        <w:ind w:left="6120" w:hanging="360"/>
      </w:pPr>
      <w:rPr>
        <w:rFonts w:ascii="Arial" w:eastAsia="Times New Roman" w:hAnsi="Arial"/>
        <w:b w:val="0"/>
        <w:i w:val="0"/>
        <w:caps w:val="0"/>
        <w:smallCaps w:val="0"/>
        <w:strike w:val="0"/>
        <w:dstrike w:val="0"/>
        <w:spacing w:val="0"/>
        <w:w w:val="100"/>
        <w:kern w:val="0"/>
        <w:position w:val="0"/>
        <w:vertAlign w:val="baseline"/>
      </w:rPr>
    </w:lvl>
  </w:abstractNum>
  <w:abstractNum w:abstractNumId="3" w15:restartNumberingAfterBreak="0">
    <w:nsid w:val="264027C6"/>
    <w:multiLevelType w:val="hybridMultilevel"/>
    <w:tmpl w:val="364A0428"/>
    <w:styleLink w:val="Stilimportat1"/>
    <w:lvl w:ilvl="0" w:tplc="EC5C2968">
      <w:start w:val="1"/>
      <w:numFmt w:val="upperLetter"/>
      <w:lvlText w:val="%1."/>
      <w:lvlJc w:val="left"/>
      <w:pPr>
        <w:ind w:left="360" w:hanging="360"/>
      </w:pPr>
      <w:rPr>
        <w:rFonts w:hAnsi="Arial Unicode MS" w:cs="Times New Roman"/>
        <w:b/>
        <w:bCs/>
        <w:caps w:val="0"/>
        <w:smallCaps w:val="0"/>
        <w:strike w:val="0"/>
        <w:dstrike w:val="0"/>
        <w:spacing w:val="0"/>
        <w:w w:val="100"/>
        <w:kern w:val="0"/>
        <w:position w:val="0"/>
        <w:vertAlign w:val="baseline"/>
      </w:rPr>
    </w:lvl>
    <w:lvl w:ilvl="1" w:tplc="DFDE05A8">
      <w:start w:val="1"/>
      <w:numFmt w:val="lowerLetter"/>
      <w:lvlText w:val="%2."/>
      <w:lvlJc w:val="left"/>
      <w:pPr>
        <w:ind w:left="1080" w:hanging="360"/>
      </w:pPr>
      <w:rPr>
        <w:rFonts w:hAnsi="Arial Unicode MS" w:cs="Times New Roman"/>
        <w:b/>
        <w:bCs/>
        <w:caps w:val="0"/>
        <w:smallCaps w:val="0"/>
        <w:strike w:val="0"/>
        <w:dstrike w:val="0"/>
        <w:spacing w:val="0"/>
        <w:w w:val="100"/>
        <w:kern w:val="0"/>
        <w:position w:val="0"/>
        <w:vertAlign w:val="baseline"/>
      </w:rPr>
    </w:lvl>
    <w:lvl w:ilvl="2" w:tplc="7AB0208E">
      <w:start w:val="1"/>
      <w:numFmt w:val="lowerRoman"/>
      <w:lvlText w:val="%3."/>
      <w:lvlJc w:val="left"/>
      <w:pPr>
        <w:ind w:left="1800" w:hanging="295"/>
      </w:pPr>
      <w:rPr>
        <w:rFonts w:hAnsi="Arial Unicode MS" w:cs="Times New Roman"/>
        <w:b/>
        <w:bCs/>
        <w:caps w:val="0"/>
        <w:smallCaps w:val="0"/>
        <w:strike w:val="0"/>
        <w:dstrike w:val="0"/>
        <w:spacing w:val="0"/>
        <w:w w:val="100"/>
        <w:kern w:val="0"/>
        <w:position w:val="0"/>
        <w:vertAlign w:val="baseline"/>
      </w:rPr>
    </w:lvl>
    <w:lvl w:ilvl="3" w:tplc="6106A324">
      <w:start w:val="1"/>
      <w:numFmt w:val="decimal"/>
      <w:lvlText w:val="%4."/>
      <w:lvlJc w:val="left"/>
      <w:pPr>
        <w:ind w:left="2520" w:hanging="360"/>
      </w:pPr>
      <w:rPr>
        <w:rFonts w:hAnsi="Arial Unicode MS" w:cs="Times New Roman"/>
        <w:b/>
        <w:bCs/>
        <w:caps w:val="0"/>
        <w:smallCaps w:val="0"/>
        <w:strike w:val="0"/>
        <w:dstrike w:val="0"/>
        <w:spacing w:val="0"/>
        <w:w w:val="100"/>
        <w:kern w:val="0"/>
        <w:position w:val="0"/>
        <w:vertAlign w:val="baseline"/>
      </w:rPr>
    </w:lvl>
    <w:lvl w:ilvl="4" w:tplc="1CCC374E">
      <w:start w:val="1"/>
      <w:numFmt w:val="lowerLetter"/>
      <w:lvlText w:val="%5."/>
      <w:lvlJc w:val="left"/>
      <w:pPr>
        <w:ind w:left="3240" w:hanging="360"/>
      </w:pPr>
      <w:rPr>
        <w:rFonts w:hAnsi="Arial Unicode MS" w:cs="Times New Roman"/>
        <w:b/>
        <w:bCs/>
        <w:caps w:val="0"/>
        <w:smallCaps w:val="0"/>
        <w:strike w:val="0"/>
        <w:dstrike w:val="0"/>
        <w:spacing w:val="0"/>
        <w:w w:val="100"/>
        <w:kern w:val="0"/>
        <w:position w:val="0"/>
        <w:vertAlign w:val="baseline"/>
      </w:rPr>
    </w:lvl>
    <w:lvl w:ilvl="5" w:tplc="F4669D04">
      <w:start w:val="1"/>
      <w:numFmt w:val="lowerRoman"/>
      <w:lvlText w:val="%6."/>
      <w:lvlJc w:val="left"/>
      <w:pPr>
        <w:ind w:left="3960" w:hanging="295"/>
      </w:pPr>
      <w:rPr>
        <w:rFonts w:hAnsi="Arial Unicode MS" w:cs="Times New Roman"/>
        <w:b/>
        <w:bCs/>
        <w:caps w:val="0"/>
        <w:smallCaps w:val="0"/>
        <w:strike w:val="0"/>
        <w:dstrike w:val="0"/>
        <w:spacing w:val="0"/>
        <w:w w:val="100"/>
        <w:kern w:val="0"/>
        <w:position w:val="0"/>
        <w:vertAlign w:val="baseline"/>
      </w:rPr>
    </w:lvl>
    <w:lvl w:ilvl="6" w:tplc="128CCCE0">
      <w:start w:val="1"/>
      <w:numFmt w:val="decimal"/>
      <w:lvlText w:val="%7."/>
      <w:lvlJc w:val="left"/>
      <w:pPr>
        <w:ind w:left="4680" w:hanging="360"/>
      </w:pPr>
      <w:rPr>
        <w:rFonts w:hAnsi="Arial Unicode MS" w:cs="Times New Roman"/>
        <w:b/>
        <w:bCs/>
        <w:caps w:val="0"/>
        <w:smallCaps w:val="0"/>
        <w:strike w:val="0"/>
        <w:dstrike w:val="0"/>
        <w:spacing w:val="0"/>
        <w:w w:val="100"/>
        <w:kern w:val="0"/>
        <w:position w:val="0"/>
        <w:vertAlign w:val="baseline"/>
      </w:rPr>
    </w:lvl>
    <w:lvl w:ilvl="7" w:tplc="61CA13B4">
      <w:start w:val="1"/>
      <w:numFmt w:val="lowerLetter"/>
      <w:lvlText w:val="%8."/>
      <w:lvlJc w:val="left"/>
      <w:pPr>
        <w:ind w:left="5400" w:hanging="360"/>
      </w:pPr>
      <w:rPr>
        <w:rFonts w:hAnsi="Arial Unicode MS" w:cs="Times New Roman"/>
        <w:b/>
        <w:bCs/>
        <w:caps w:val="0"/>
        <w:smallCaps w:val="0"/>
        <w:strike w:val="0"/>
        <w:dstrike w:val="0"/>
        <w:spacing w:val="0"/>
        <w:w w:val="100"/>
        <w:kern w:val="0"/>
        <w:position w:val="0"/>
        <w:vertAlign w:val="baseline"/>
      </w:rPr>
    </w:lvl>
    <w:lvl w:ilvl="8" w:tplc="5CF48D60">
      <w:start w:val="1"/>
      <w:numFmt w:val="lowerRoman"/>
      <w:lvlText w:val="%9."/>
      <w:lvlJc w:val="left"/>
      <w:pPr>
        <w:ind w:left="6120" w:hanging="295"/>
      </w:pPr>
      <w:rPr>
        <w:rFonts w:hAnsi="Arial Unicode MS" w:cs="Times New Roman"/>
        <w:b/>
        <w:bCs/>
        <w:caps w:val="0"/>
        <w:smallCaps w:val="0"/>
        <w:strike w:val="0"/>
        <w:dstrike w:val="0"/>
        <w:spacing w:val="0"/>
        <w:w w:val="100"/>
        <w:kern w:val="0"/>
        <w:position w:val="0"/>
        <w:vertAlign w:val="baseline"/>
      </w:rPr>
    </w:lvl>
  </w:abstractNum>
  <w:abstractNum w:abstractNumId="4" w15:restartNumberingAfterBreak="0">
    <w:nsid w:val="2EDA246F"/>
    <w:multiLevelType w:val="hybridMultilevel"/>
    <w:tmpl w:val="364A0428"/>
    <w:numStyleLink w:val="Stilimportat1"/>
  </w:abstractNum>
  <w:abstractNum w:abstractNumId="5" w15:restartNumberingAfterBreak="0">
    <w:nsid w:val="342A610D"/>
    <w:multiLevelType w:val="hybridMultilevel"/>
    <w:tmpl w:val="DB527280"/>
    <w:lvl w:ilvl="0" w:tplc="25826C92">
      <w:start w:val="1"/>
      <w:numFmt w:val="bullet"/>
      <w:lvlText w:val="-"/>
      <w:lvlJc w:val="left"/>
      <w:pPr>
        <w:ind w:left="360" w:hanging="360"/>
      </w:pPr>
      <w:rPr>
        <w:rFonts w:ascii="Arial" w:eastAsia="Times New Roman" w:hAnsi="Arial"/>
        <w:b w:val="0"/>
        <w:i w:val="0"/>
        <w:caps w:val="0"/>
        <w:smallCaps w:val="0"/>
        <w:strike w:val="0"/>
        <w:dstrike w:val="0"/>
        <w:spacing w:val="0"/>
        <w:w w:val="100"/>
        <w:kern w:val="0"/>
        <w:position w:val="0"/>
        <w:vertAlign w:val="baseline"/>
      </w:rPr>
    </w:lvl>
    <w:lvl w:ilvl="1" w:tplc="B0CACB32">
      <w:start w:val="1"/>
      <w:numFmt w:val="bullet"/>
      <w:lvlText w:val="o"/>
      <w:lvlJc w:val="left"/>
      <w:pPr>
        <w:ind w:left="1080" w:hanging="360"/>
      </w:pPr>
      <w:rPr>
        <w:rFonts w:ascii="Arial" w:eastAsia="Times New Roman" w:hAnsi="Arial"/>
        <w:b w:val="0"/>
        <w:i w:val="0"/>
        <w:caps w:val="0"/>
        <w:smallCaps w:val="0"/>
        <w:strike w:val="0"/>
        <w:dstrike w:val="0"/>
        <w:spacing w:val="0"/>
        <w:w w:val="100"/>
        <w:kern w:val="0"/>
        <w:position w:val="0"/>
        <w:vertAlign w:val="baseline"/>
      </w:rPr>
    </w:lvl>
    <w:lvl w:ilvl="2" w:tplc="BC70B7F6">
      <w:start w:val="1"/>
      <w:numFmt w:val="bullet"/>
      <w:lvlText w:val="▪"/>
      <w:lvlJc w:val="left"/>
      <w:pPr>
        <w:ind w:left="1800" w:hanging="360"/>
      </w:pPr>
      <w:rPr>
        <w:rFonts w:ascii="Arial" w:eastAsia="Times New Roman" w:hAnsi="Arial"/>
        <w:b w:val="0"/>
        <w:i w:val="0"/>
        <w:caps w:val="0"/>
        <w:smallCaps w:val="0"/>
        <w:strike w:val="0"/>
        <w:dstrike w:val="0"/>
        <w:spacing w:val="0"/>
        <w:w w:val="100"/>
        <w:kern w:val="0"/>
        <w:position w:val="0"/>
        <w:vertAlign w:val="baseline"/>
      </w:rPr>
    </w:lvl>
    <w:lvl w:ilvl="3" w:tplc="ED300A84">
      <w:start w:val="1"/>
      <w:numFmt w:val="bullet"/>
      <w:lvlText w:val="•"/>
      <w:lvlJc w:val="left"/>
      <w:pPr>
        <w:ind w:left="2520" w:hanging="360"/>
      </w:pPr>
      <w:rPr>
        <w:rFonts w:ascii="Arial" w:eastAsia="Times New Roman" w:hAnsi="Arial"/>
        <w:b w:val="0"/>
        <w:i w:val="0"/>
        <w:caps w:val="0"/>
        <w:smallCaps w:val="0"/>
        <w:strike w:val="0"/>
        <w:dstrike w:val="0"/>
        <w:spacing w:val="0"/>
        <w:w w:val="100"/>
        <w:kern w:val="0"/>
        <w:position w:val="0"/>
        <w:vertAlign w:val="baseline"/>
      </w:rPr>
    </w:lvl>
    <w:lvl w:ilvl="4" w:tplc="A3429348">
      <w:start w:val="1"/>
      <w:numFmt w:val="bullet"/>
      <w:lvlText w:val="o"/>
      <w:lvlJc w:val="left"/>
      <w:pPr>
        <w:ind w:left="3240" w:hanging="360"/>
      </w:pPr>
      <w:rPr>
        <w:rFonts w:ascii="Arial" w:eastAsia="Times New Roman" w:hAnsi="Arial"/>
        <w:b w:val="0"/>
        <w:i w:val="0"/>
        <w:caps w:val="0"/>
        <w:smallCaps w:val="0"/>
        <w:strike w:val="0"/>
        <w:dstrike w:val="0"/>
        <w:spacing w:val="0"/>
        <w:w w:val="100"/>
        <w:kern w:val="0"/>
        <w:position w:val="0"/>
        <w:vertAlign w:val="baseline"/>
      </w:rPr>
    </w:lvl>
    <w:lvl w:ilvl="5" w:tplc="D7AC9438">
      <w:start w:val="1"/>
      <w:numFmt w:val="bullet"/>
      <w:lvlText w:val="▪"/>
      <w:lvlJc w:val="left"/>
      <w:pPr>
        <w:ind w:left="3960" w:hanging="360"/>
      </w:pPr>
      <w:rPr>
        <w:rFonts w:ascii="Arial" w:eastAsia="Times New Roman" w:hAnsi="Arial"/>
        <w:b w:val="0"/>
        <w:i w:val="0"/>
        <w:caps w:val="0"/>
        <w:smallCaps w:val="0"/>
        <w:strike w:val="0"/>
        <w:dstrike w:val="0"/>
        <w:spacing w:val="0"/>
        <w:w w:val="100"/>
        <w:kern w:val="0"/>
        <w:position w:val="0"/>
        <w:vertAlign w:val="baseline"/>
      </w:rPr>
    </w:lvl>
    <w:lvl w:ilvl="6" w:tplc="BB7627C0">
      <w:start w:val="1"/>
      <w:numFmt w:val="bullet"/>
      <w:lvlText w:val="•"/>
      <w:lvlJc w:val="left"/>
      <w:pPr>
        <w:ind w:left="4680" w:hanging="360"/>
      </w:pPr>
      <w:rPr>
        <w:rFonts w:ascii="Arial" w:eastAsia="Times New Roman" w:hAnsi="Arial"/>
        <w:b w:val="0"/>
        <w:i w:val="0"/>
        <w:caps w:val="0"/>
        <w:smallCaps w:val="0"/>
        <w:strike w:val="0"/>
        <w:dstrike w:val="0"/>
        <w:spacing w:val="0"/>
        <w:w w:val="100"/>
        <w:kern w:val="0"/>
        <w:position w:val="0"/>
        <w:vertAlign w:val="baseline"/>
      </w:rPr>
    </w:lvl>
    <w:lvl w:ilvl="7" w:tplc="4F587934">
      <w:start w:val="1"/>
      <w:numFmt w:val="bullet"/>
      <w:lvlText w:val="o"/>
      <w:lvlJc w:val="left"/>
      <w:pPr>
        <w:ind w:left="5400" w:hanging="360"/>
      </w:pPr>
      <w:rPr>
        <w:rFonts w:ascii="Arial" w:eastAsia="Times New Roman" w:hAnsi="Arial"/>
        <w:b w:val="0"/>
        <w:i w:val="0"/>
        <w:caps w:val="0"/>
        <w:smallCaps w:val="0"/>
        <w:strike w:val="0"/>
        <w:dstrike w:val="0"/>
        <w:spacing w:val="0"/>
        <w:w w:val="100"/>
        <w:kern w:val="0"/>
        <w:position w:val="0"/>
        <w:vertAlign w:val="baseline"/>
      </w:rPr>
    </w:lvl>
    <w:lvl w:ilvl="8" w:tplc="3878B942">
      <w:start w:val="1"/>
      <w:numFmt w:val="bullet"/>
      <w:lvlText w:val="▪"/>
      <w:lvlJc w:val="left"/>
      <w:pPr>
        <w:ind w:left="6120" w:hanging="360"/>
      </w:pPr>
      <w:rPr>
        <w:rFonts w:ascii="Arial" w:eastAsia="Times New Roman" w:hAnsi="Arial"/>
        <w:b w:val="0"/>
        <w:i w:val="0"/>
        <w:caps w:val="0"/>
        <w:smallCaps w:val="0"/>
        <w:strike w:val="0"/>
        <w:dstrike w:val="0"/>
        <w:spacing w:val="0"/>
        <w:w w:val="100"/>
        <w:kern w:val="0"/>
        <w:position w:val="0"/>
        <w:vertAlign w:val="baseline"/>
      </w:rPr>
    </w:lvl>
  </w:abstractNum>
  <w:abstractNum w:abstractNumId="6" w15:restartNumberingAfterBreak="0">
    <w:nsid w:val="46421228"/>
    <w:multiLevelType w:val="hybridMultilevel"/>
    <w:tmpl w:val="644A00A8"/>
    <w:lvl w:ilvl="0" w:tplc="842038B8">
      <w:start w:val="1"/>
      <w:numFmt w:val="bullet"/>
      <w:lvlText w:val="-"/>
      <w:lvlJc w:val="left"/>
      <w:pPr>
        <w:ind w:left="1440" w:hanging="360"/>
      </w:pPr>
      <w:rPr>
        <w:rFonts w:ascii="Cambria" w:hAnsi="Cambria"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4FC3430F"/>
    <w:multiLevelType w:val="hybridMultilevel"/>
    <w:tmpl w:val="B600CFFA"/>
    <w:lvl w:ilvl="0" w:tplc="47A2966E">
      <w:start w:val="1"/>
      <w:numFmt w:val="bullet"/>
      <w:lvlText w:val="-"/>
      <w:lvlJc w:val="left"/>
      <w:pPr>
        <w:ind w:left="360" w:hanging="360"/>
      </w:pPr>
      <w:rPr>
        <w:rFonts w:ascii="Arial" w:eastAsia="Times New Roman" w:hAnsi="Arial"/>
        <w:b w:val="0"/>
        <w:i w:val="0"/>
        <w:caps w:val="0"/>
        <w:smallCaps w:val="0"/>
        <w:strike w:val="0"/>
        <w:dstrike w:val="0"/>
        <w:spacing w:val="0"/>
        <w:w w:val="100"/>
        <w:kern w:val="0"/>
        <w:position w:val="0"/>
        <w:vertAlign w:val="baseline"/>
      </w:rPr>
    </w:lvl>
    <w:lvl w:ilvl="1" w:tplc="A3DE1264">
      <w:start w:val="1"/>
      <w:numFmt w:val="bullet"/>
      <w:lvlText w:val="o"/>
      <w:lvlJc w:val="left"/>
      <w:pPr>
        <w:ind w:left="1080" w:hanging="360"/>
      </w:pPr>
      <w:rPr>
        <w:rFonts w:ascii="Arial" w:eastAsia="Times New Roman" w:hAnsi="Arial"/>
        <w:b w:val="0"/>
        <w:i w:val="0"/>
        <w:caps w:val="0"/>
        <w:smallCaps w:val="0"/>
        <w:strike w:val="0"/>
        <w:dstrike w:val="0"/>
        <w:spacing w:val="0"/>
        <w:w w:val="100"/>
        <w:kern w:val="0"/>
        <w:position w:val="0"/>
        <w:vertAlign w:val="baseline"/>
      </w:rPr>
    </w:lvl>
    <w:lvl w:ilvl="2" w:tplc="09EE6D16">
      <w:start w:val="1"/>
      <w:numFmt w:val="bullet"/>
      <w:lvlText w:val="▪"/>
      <w:lvlJc w:val="left"/>
      <w:pPr>
        <w:ind w:left="1800" w:hanging="360"/>
      </w:pPr>
      <w:rPr>
        <w:rFonts w:ascii="Arial" w:eastAsia="Times New Roman" w:hAnsi="Arial"/>
        <w:b w:val="0"/>
        <w:i w:val="0"/>
        <w:caps w:val="0"/>
        <w:smallCaps w:val="0"/>
        <w:strike w:val="0"/>
        <w:dstrike w:val="0"/>
        <w:spacing w:val="0"/>
        <w:w w:val="100"/>
        <w:kern w:val="0"/>
        <w:position w:val="0"/>
        <w:vertAlign w:val="baseline"/>
      </w:rPr>
    </w:lvl>
    <w:lvl w:ilvl="3" w:tplc="5EA0A186">
      <w:start w:val="1"/>
      <w:numFmt w:val="bullet"/>
      <w:lvlText w:val="•"/>
      <w:lvlJc w:val="left"/>
      <w:pPr>
        <w:ind w:left="2520" w:hanging="360"/>
      </w:pPr>
      <w:rPr>
        <w:rFonts w:ascii="Arial" w:eastAsia="Times New Roman" w:hAnsi="Arial"/>
        <w:b w:val="0"/>
        <w:i w:val="0"/>
        <w:caps w:val="0"/>
        <w:smallCaps w:val="0"/>
        <w:strike w:val="0"/>
        <w:dstrike w:val="0"/>
        <w:spacing w:val="0"/>
        <w:w w:val="100"/>
        <w:kern w:val="0"/>
        <w:position w:val="0"/>
        <w:vertAlign w:val="baseline"/>
      </w:rPr>
    </w:lvl>
    <w:lvl w:ilvl="4" w:tplc="0E02E6B4">
      <w:start w:val="1"/>
      <w:numFmt w:val="bullet"/>
      <w:lvlText w:val="o"/>
      <w:lvlJc w:val="left"/>
      <w:pPr>
        <w:ind w:left="3240" w:hanging="360"/>
      </w:pPr>
      <w:rPr>
        <w:rFonts w:ascii="Arial" w:eastAsia="Times New Roman" w:hAnsi="Arial"/>
        <w:b w:val="0"/>
        <w:i w:val="0"/>
        <w:caps w:val="0"/>
        <w:smallCaps w:val="0"/>
        <w:strike w:val="0"/>
        <w:dstrike w:val="0"/>
        <w:spacing w:val="0"/>
        <w:w w:val="100"/>
        <w:kern w:val="0"/>
        <w:position w:val="0"/>
        <w:vertAlign w:val="baseline"/>
      </w:rPr>
    </w:lvl>
    <w:lvl w:ilvl="5" w:tplc="14E048E8">
      <w:start w:val="1"/>
      <w:numFmt w:val="bullet"/>
      <w:lvlText w:val="▪"/>
      <w:lvlJc w:val="left"/>
      <w:pPr>
        <w:ind w:left="3960" w:hanging="360"/>
      </w:pPr>
      <w:rPr>
        <w:rFonts w:ascii="Arial" w:eastAsia="Times New Roman" w:hAnsi="Arial"/>
        <w:b w:val="0"/>
        <w:i w:val="0"/>
        <w:caps w:val="0"/>
        <w:smallCaps w:val="0"/>
        <w:strike w:val="0"/>
        <w:dstrike w:val="0"/>
        <w:spacing w:val="0"/>
        <w:w w:val="100"/>
        <w:kern w:val="0"/>
        <w:position w:val="0"/>
        <w:vertAlign w:val="baseline"/>
      </w:rPr>
    </w:lvl>
    <w:lvl w:ilvl="6" w:tplc="6D12C918">
      <w:start w:val="1"/>
      <w:numFmt w:val="bullet"/>
      <w:lvlText w:val="•"/>
      <w:lvlJc w:val="left"/>
      <w:pPr>
        <w:ind w:left="4680" w:hanging="360"/>
      </w:pPr>
      <w:rPr>
        <w:rFonts w:ascii="Arial" w:eastAsia="Times New Roman" w:hAnsi="Arial"/>
        <w:b w:val="0"/>
        <w:i w:val="0"/>
        <w:caps w:val="0"/>
        <w:smallCaps w:val="0"/>
        <w:strike w:val="0"/>
        <w:dstrike w:val="0"/>
        <w:spacing w:val="0"/>
        <w:w w:val="100"/>
        <w:kern w:val="0"/>
        <w:position w:val="0"/>
        <w:vertAlign w:val="baseline"/>
      </w:rPr>
    </w:lvl>
    <w:lvl w:ilvl="7" w:tplc="4FBA1EC6">
      <w:start w:val="1"/>
      <w:numFmt w:val="bullet"/>
      <w:lvlText w:val="o"/>
      <w:lvlJc w:val="left"/>
      <w:pPr>
        <w:ind w:left="5400" w:hanging="360"/>
      </w:pPr>
      <w:rPr>
        <w:rFonts w:ascii="Arial" w:eastAsia="Times New Roman" w:hAnsi="Arial"/>
        <w:b w:val="0"/>
        <w:i w:val="0"/>
        <w:caps w:val="0"/>
        <w:smallCaps w:val="0"/>
        <w:strike w:val="0"/>
        <w:dstrike w:val="0"/>
        <w:spacing w:val="0"/>
        <w:w w:val="100"/>
        <w:kern w:val="0"/>
        <w:position w:val="0"/>
        <w:vertAlign w:val="baseline"/>
      </w:rPr>
    </w:lvl>
    <w:lvl w:ilvl="8" w:tplc="DC60CEAE">
      <w:start w:val="1"/>
      <w:numFmt w:val="bullet"/>
      <w:lvlText w:val="▪"/>
      <w:lvlJc w:val="left"/>
      <w:pPr>
        <w:ind w:left="6120" w:hanging="360"/>
      </w:pPr>
      <w:rPr>
        <w:rFonts w:ascii="Arial" w:eastAsia="Times New Roman" w:hAnsi="Arial"/>
        <w:b w:val="0"/>
        <w:i w:val="0"/>
        <w:caps w:val="0"/>
        <w:smallCaps w:val="0"/>
        <w:strike w:val="0"/>
        <w:dstrike w:val="0"/>
        <w:spacing w:val="0"/>
        <w:w w:val="100"/>
        <w:kern w:val="0"/>
        <w:position w:val="0"/>
        <w:vertAlign w:val="baseline"/>
      </w:rPr>
    </w:lvl>
  </w:abstractNum>
  <w:abstractNum w:abstractNumId="8" w15:restartNumberingAfterBreak="0">
    <w:nsid w:val="53854AD9"/>
    <w:multiLevelType w:val="hybridMultilevel"/>
    <w:tmpl w:val="7256BB3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A0360AB"/>
    <w:multiLevelType w:val="hybridMultilevel"/>
    <w:tmpl w:val="9CDE5BF4"/>
    <w:lvl w:ilvl="0" w:tplc="00480A10">
      <w:start w:val="1"/>
      <w:numFmt w:val="bullet"/>
      <w:lvlText w:val="-"/>
      <w:lvlJc w:val="left"/>
      <w:pPr>
        <w:ind w:left="360" w:hanging="360"/>
      </w:pPr>
      <w:rPr>
        <w:rFonts w:ascii="Arial" w:eastAsia="Times New Roman" w:hAnsi="Arial"/>
        <w:b w:val="0"/>
        <w:i w:val="0"/>
        <w:caps w:val="0"/>
        <w:smallCaps w:val="0"/>
        <w:strike w:val="0"/>
        <w:dstrike w:val="0"/>
        <w:spacing w:val="0"/>
        <w:w w:val="100"/>
        <w:kern w:val="0"/>
        <w:position w:val="0"/>
        <w:vertAlign w:val="baseline"/>
      </w:rPr>
    </w:lvl>
    <w:lvl w:ilvl="1" w:tplc="622EFB9A">
      <w:start w:val="1"/>
      <w:numFmt w:val="bullet"/>
      <w:lvlText w:val="o"/>
      <w:lvlJc w:val="left"/>
      <w:pPr>
        <w:ind w:left="1080" w:hanging="360"/>
      </w:pPr>
      <w:rPr>
        <w:rFonts w:ascii="Arial" w:eastAsia="Times New Roman" w:hAnsi="Arial"/>
        <w:b w:val="0"/>
        <w:i w:val="0"/>
        <w:caps w:val="0"/>
        <w:smallCaps w:val="0"/>
        <w:strike w:val="0"/>
        <w:dstrike w:val="0"/>
        <w:spacing w:val="0"/>
        <w:w w:val="100"/>
        <w:kern w:val="0"/>
        <w:position w:val="0"/>
        <w:vertAlign w:val="baseline"/>
      </w:rPr>
    </w:lvl>
    <w:lvl w:ilvl="2" w:tplc="095EBE04">
      <w:start w:val="1"/>
      <w:numFmt w:val="bullet"/>
      <w:lvlText w:val="▪"/>
      <w:lvlJc w:val="left"/>
      <w:pPr>
        <w:ind w:left="1800" w:hanging="360"/>
      </w:pPr>
      <w:rPr>
        <w:rFonts w:ascii="Arial" w:eastAsia="Times New Roman" w:hAnsi="Arial"/>
        <w:b w:val="0"/>
        <w:i w:val="0"/>
        <w:caps w:val="0"/>
        <w:smallCaps w:val="0"/>
        <w:strike w:val="0"/>
        <w:dstrike w:val="0"/>
        <w:spacing w:val="0"/>
        <w:w w:val="100"/>
        <w:kern w:val="0"/>
        <w:position w:val="0"/>
        <w:vertAlign w:val="baseline"/>
      </w:rPr>
    </w:lvl>
    <w:lvl w:ilvl="3" w:tplc="50DA3544">
      <w:start w:val="1"/>
      <w:numFmt w:val="bullet"/>
      <w:lvlText w:val="•"/>
      <w:lvlJc w:val="left"/>
      <w:pPr>
        <w:ind w:left="2520" w:hanging="360"/>
      </w:pPr>
      <w:rPr>
        <w:rFonts w:ascii="Arial" w:eastAsia="Times New Roman" w:hAnsi="Arial"/>
        <w:b w:val="0"/>
        <w:i w:val="0"/>
        <w:caps w:val="0"/>
        <w:smallCaps w:val="0"/>
        <w:strike w:val="0"/>
        <w:dstrike w:val="0"/>
        <w:spacing w:val="0"/>
        <w:w w:val="100"/>
        <w:kern w:val="0"/>
        <w:position w:val="0"/>
        <w:vertAlign w:val="baseline"/>
      </w:rPr>
    </w:lvl>
    <w:lvl w:ilvl="4" w:tplc="F8684E8C">
      <w:start w:val="1"/>
      <w:numFmt w:val="bullet"/>
      <w:lvlText w:val="o"/>
      <w:lvlJc w:val="left"/>
      <w:pPr>
        <w:ind w:left="3240" w:hanging="360"/>
      </w:pPr>
      <w:rPr>
        <w:rFonts w:ascii="Arial" w:eastAsia="Times New Roman" w:hAnsi="Arial"/>
        <w:b w:val="0"/>
        <w:i w:val="0"/>
        <w:caps w:val="0"/>
        <w:smallCaps w:val="0"/>
        <w:strike w:val="0"/>
        <w:dstrike w:val="0"/>
        <w:spacing w:val="0"/>
        <w:w w:val="100"/>
        <w:kern w:val="0"/>
        <w:position w:val="0"/>
        <w:vertAlign w:val="baseline"/>
      </w:rPr>
    </w:lvl>
    <w:lvl w:ilvl="5" w:tplc="ACE8D5EC">
      <w:start w:val="1"/>
      <w:numFmt w:val="bullet"/>
      <w:lvlText w:val="▪"/>
      <w:lvlJc w:val="left"/>
      <w:pPr>
        <w:ind w:left="3960" w:hanging="360"/>
      </w:pPr>
      <w:rPr>
        <w:rFonts w:ascii="Arial" w:eastAsia="Times New Roman" w:hAnsi="Arial"/>
        <w:b w:val="0"/>
        <w:i w:val="0"/>
        <w:caps w:val="0"/>
        <w:smallCaps w:val="0"/>
        <w:strike w:val="0"/>
        <w:dstrike w:val="0"/>
        <w:spacing w:val="0"/>
        <w:w w:val="100"/>
        <w:kern w:val="0"/>
        <w:position w:val="0"/>
        <w:vertAlign w:val="baseline"/>
      </w:rPr>
    </w:lvl>
    <w:lvl w:ilvl="6" w:tplc="58E6E244">
      <w:start w:val="1"/>
      <w:numFmt w:val="bullet"/>
      <w:lvlText w:val="•"/>
      <w:lvlJc w:val="left"/>
      <w:pPr>
        <w:ind w:left="4680" w:hanging="360"/>
      </w:pPr>
      <w:rPr>
        <w:rFonts w:ascii="Arial" w:eastAsia="Times New Roman" w:hAnsi="Arial"/>
        <w:b w:val="0"/>
        <w:i w:val="0"/>
        <w:caps w:val="0"/>
        <w:smallCaps w:val="0"/>
        <w:strike w:val="0"/>
        <w:dstrike w:val="0"/>
        <w:spacing w:val="0"/>
        <w:w w:val="100"/>
        <w:kern w:val="0"/>
        <w:position w:val="0"/>
        <w:vertAlign w:val="baseline"/>
      </w:rPr>
    </w:lvl>
    <w:lvl w:ilvl="7" w:tplc="F02A04AE">
      <w:start w:val="1"/>
      <w:numFmt w:val="bullet"/>
      <w:lvlText w:val="o"/>
      <w:lvlJc w:val="left"/>
      <w:pPr>
        <w:ind w:left="5400" w:hanging="360"/>
      </w:pPr>
      <w:rPr>
        <w:rFonts w:ascii="Arial" w:eastAsia="Times New Roman" w:hAnsi="Arial"/>
        <w:b w:val="0"/>
        <w:i w:val="0"/>
        <w:caps w:val="0"/>
        <w:smallCaps w:val="0"/>
        <w:strike w:val="0"/>
        <w:dstrike w:val="0"/>
        <w:spacing w:val="0"/>
        <w:w w:val="100"/>
        <w:kern w:val="0"/>
        <w:position w:val="0"/>
        <w:vertAlign w:val="baseline"/>
      </w:rPr>
    </w:lvl>
    <w:lvl w:ilvl="8" w:tplc="D28019BA">
      <w:start w:val="1"/>
      <w:numFmt w:val="bullet"/>
      <w:lvlText w:val="▪"/>
      <w:lvlJc w:val="left"/>
      <w:pPr>
        <w:ind w:left="6120" w:hanging="360"/>
      </w:pPr>
      <w:rPr>
        <w:rFonts w:ascii="Arial" w:eastAsia="Times New Roman" w:hAnsi="Arial"/>
        <w:b w:val="0"/>
        <w:i w:val="0"/>
        <w:caps w:val="0"/>
        <w:smallCaps w:val="0"/>
        <w:strike w:val="0"/>
        <w:dstrike w:val="0"/>
        <w:spacing w:val="0"/>
        <w:w w:val="100"/>
        <w:kern w:val="0"/>
        <w:position w:val="0"/>
        <w:vertAlign w:val="baseline"/>
      </w:rPr>
    </w:lvl>
  </w:abstractNum>
  <w:abstractNum w:abstractNumId="10" w15:restartNumberingAfterBreak="0">
    <w:nsid w:val="5FD6639E"/>
    <w:multiLevelType w:val="hybridMultilevel"/>
    <w:tmpl w:val="CCC417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4113BA4"/>
    <w:multiLevelType w:val="hybridMultilevel"/>
    <w:tmpl w:val="A7223E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F3D59B5"/>
    <w:multiLevelType w:val="hybridMultilevel"/>
    <w:tmpl w:val="D0A296AA"/>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7B7B21"/>
    <w:multiLevelType w:val="hybridMultilevel"/>
    <w:tmpl w:val="ECB0C61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7E31A86"/>
    <w:multiLevelType w:val="hybridMultilevel"/>
    <w:tmpl w:val="AB66E4C8"/>
    <w:lvl w:ilvl="0" w:tplc="7EBA117C">
      <w:start w:val="1"/>
      <w:numFmt w:val="bullet"/>
      <w:lvlText w:val=""/>
      <w:lvlJc w:val="left"/>
      <w:pPr>
        <w:ind w:left="450" w:hanging="360"/>
      </w:pPr>
      <w:rPr>
        <w:rFonts w:ascii="Wingdings" w:hAnsi="Wingdings" w:hint="default"/>
        <w:sz w:val="22"/>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A2409DE"/>
    <w:multiLevelType w:val="hybridMultilevel"/>
    <w:tmpl w:val="F0DE0922"/>
    <w:lvl w:ilvl="0" w:tplc="BAEA2B00">
      <w:numFmt w:val="bullet"/>
      <w:lvlText w:val="-"/>
      <w:lvlJc w:val="left"/>
      <w:pPr>
        <w:ind w:left="360" w:hanging="360"/>
      </w:pPr>
      <w:rPr>
        <w:rFonts w:ascii="Arial Narrow" w:eastAsia="Times New Roman" w:hAnsi="Arial Narro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9"/>
  </w:num>
  <w:num w:numId="6">
    <w:abstractNumId w:val="5"/>
  </w:num>
  <w:num w:numId="7">
    <w:abstractNumId w:val="7"/>
  </w:num>
  <w:num w:numId="8">
    <w:abstractNumId w:val="15"/>
  </w:num>
  <w:num w:numId="9">
    <w:abstractNumId w:val="14"/>
  </w:num>
  <w:num w:numId="10">
    <w:abstractNumId w:val="13"/>
  </w:num>
  <w:num w:numId="11">
    <w:abstractNumId w:val="8"/>
  </w:num>
  <w:num w:numId="12">
    <w:abstractNumId w:val="12"/>
  </w:num>
  <w:num w:numId="13">
    <w:abstractNumId w:val="6"/>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78"/>
    <w:rsid w:val="00000BA7"/>
    <w:rsid w:val="00057AD3"/>
    <w:rsid w:val="00060517"/>
    <w:rsid w:val="00067ACF"/>
    <w:rsid w:val="00070897"/>
    <w:rsid w:val="000977A6"/>
    <w:rsid w:val="000A3A1B"/>
    <w:rsid w:val="000A5186"/>
    <w:rsid w:val="000B14A4"/>
    <w:rsid w:val="000D2F52"/>
    <w:rsid w:val="000D3B77"/>
    <w:rsid w:val="0010567D"/>
    <w:rsid w:val="00106B47"/>
    <w:rsid w:val="0011042D"/>
    <w:rsid w:val="00115104"/>
    <w:rsid w:val="00122560"/>
    <w:rsid w:val="0012561B"/>
    <w:rsid w:val="0014358C"/>
    <w:rsid w:val="001437A8"/>
    <w:rsid w:val="00150873"/>
    <w:rsid w:val="00154901"/>
    <w:rsid w:val="001662DC"/>
    <w:rsid w:val="00172A5D"/>
    <w:rsid w:val="001939C5"/>
    <w:rsid w:val="00193A32"/>
    <w:rsid w:val="001947FD"/>
    <w:rsid w:val="001A01E5"/>
    <w:rsid w:val="001B0789"/>
    <w:rsid w:val="001B1C19"/>
    <w:rsid w:val="001B679B"/>
    <w:rsid w:val="001C18FD"/>
    <w:rsid w:val="001C1929"/>
    <w:rsid w:val="001C22A1"/>
    <w:rsid w:val="001C2E52"/>
    <w:rsid w:val="001D3E83"/>
    <w:rsid w:val="001E57FF"/>
    <w:rsid w:val="001E69CA"/>
    <w:rsid w:val="00207ED6"/>
    <w:rsid w:val="002146BD"/>
    <w:rsid w:val="00217E17"/>
    <w:rsid w:val="00226534"/>
    <w:rsid w:val="002347B5"/>
    <w:rsid w:val="00234C5C"/>
    <w:rsid w:val="00242CC1"/>
    <w:rsid w:val="002509DB"/>
    <w:rsid w:val="00250F69"/>
    <w:rsid w:val="0028185C"/>
    <w:rsid w:val="00286566"/>
    <w:rsid w:val="002956A0"/>
    <w:rsid w:val="002A0DCE"/>
    <w:rsid w:val="002A3F5E"/>
    <w:rsid w:val="002B31CC"/>
    <w:rsid w:val="002D7711"/>
    <w:rsid w:val="002E585B"/>
    <w:rsid w:val="002F4F9E"/>
    <w:rsid w:val="0031103E"/>
    <w:rsid w:val="00314D0C"/>
    <w:rsid w:val="003151A0"/>
    <w:rsid w:val="00317713"/>
    <w:rsid w:val="003214DB"/>
    <w:rsid w:val="00327BC1"/>
    <w:rsid w:val="00331F52"/>
    <w:rsid w:val="00344779"/>
    <w:rsid w:val="00345DE3"/>
    <w:rsid w:val="00353504"/>
    <w:rsid w:val="00363863"/>
    <w:rsid w:val="00382C43"/>
    <w:rsid w:val="003B370D"/>
    <w:rsid w:val="003D2519"/>
    <w:rsid w:val="003F11E1"/>
    <w:rsid w:val="003F28AA"/>
    <w:rsid w:val="0041253A"/>
    <w:rsid w:val="0041428B"/>
    <w:rsid w:val="0042019D"/>
    <w:rsid w:val="004325D4"/>
    <w:rsid w:val="00444402"/>
    <w:rsid w:val="00447BA1"/>
    <w:rsid w:val="00452EE1"/>
    <w:rsid w:val="00455058"/>
    <w:rsid w:val="00456B3F"/>
    <w:rsid w:val="004717D3"/>
    <w:rsid w:val="0049583E"/>
    <w:rsid w:val="0049738C"/>
    <w:rsid w:val="004A6A8B"/>
    <w:rsid w:val="004B4230"/>
    <w:rsid w:val="004B6A9E"/>
    <w:rsid w:val="004D0280"/>
    <w:rsid w:val="004F63DC"/>
    <w:rsid w:val="005123D1"/>
    <w:rsid w:val="0051759A"/>
    <w:rsid w:val="00544A6E"/>
    <w:rsid w:val="00560DE7"/>
    <w:rsid w:val="0057661E"/>
    <w:rsid w:val="00583521"/>
    <w:rsid w:val="00585A4B"/>
    <w:rsid w:val="005C125C"/>
    <w:rsid w:val="005C676D"/>
    <w:rsid w:val="005D5E40"/>
    <w:rsid w:val="005E446E"/>
    <w:rsid w:val="005E7537"/>
    <w:rsid w:val="005F7AD4"/>
    <w:rsid w:val="005F7F58"/>
    <w:rsid w:val="006003C4"/>
    <w:rsid w:val="00612E76"/>
    <w:rsid w:val="006131ED"/>
    <w:rsid w:val="00614220"/>
    <w:rsid w:val="006342C7"/>
    <w:rsid w:val="00635D78"/>
    <w:rsid w:val="00663605"/>
    <w:rsid w:val="0066452C"/>
    <w:rsid w:val="00672913"/>
    <w:rsid w:val="006749BF"/>
    <w:rsid w:val="00680A83"/>
    <w:rsid w:val="00685A5B"/>
    <w:rsid w:val="00686AAD"/>
    <w:rsid w:val="00691C48"/>
    <w:rsid w:val="006B5331"/>
    <w:rsid w:val="006B6109"/>
    <w:rsid w:val="006C7F04"/>
    <w:rsid w:val="006D2C91"/>
    <w:rsid w:val="006F4C21"/>
    <w:rsid w:val="006F67B3"/>
    <w:rsid w:val="006F78DB"/>
    <w:rsid w:val="0070670A"/>
    <w:rsid w:val="00710871"/>
    <w:rsid w:val="007158BE"/>
    <w:rsid w:val="00721DEE"/>
    <w:rsid w:val="0073142A"/>
    <w:rsid w:val="00735900"/>
    <w:rsid w:val="00736592"/>
    <w:rsid w:val="00740D5B"/>
    <w:rsid w:val="00740D89"/>
    <w:rsid w:val="00750404"/>
    <w:rsid w:val="00751186"/>
    <w:rsid w:val="00755833"/>
    <w:rsid w:val="007622B1"/>
    <w:rsid w:val="007675A5"/>
    <w:rsid w:val="00784B66"/>
    <w:rsid w:val="0079031F"/>
    <w:rsid w:val="0079456E"/>
    <w:rsid w:val="007A4F7A"/>
    <w:rsid w:val="007A5B08"/>
    <w:rsid w:val="007B0C6F"/>
    <w:rsid w:val="007C3389"/>
    <w:rsid w:val="007D5ADE"/>
    <w:rsid w:val="007D74DC"/>
    <w:rsid w:val="007E3631"/>
    <w:rsid w:val="007E4989"/>
    <w:rsid w:val="007F05AC"/>
    <w:rsid w:val="007F1EAC"/>
    <w:rsid w:val="008019B0"/>
    <w:rsid w:val="0080278B"/>
    <w:rsid w:val="00803EF0"/>
    <w:rsid w:val="00807C50"/>
    <w:rsid w:val="00827893"/>
    <w:rsid w:val="0083030B"/>
    <w:rsid w:val="008317ED"/>
    <w:rsid w:val="00856B6E"/>
    <w:rsid w:val="00857430"/>
    <w:rsid w:val="008950B0"/>
    <w:rsid w:val="00895425"/>
    <w:rsid w:val="00896C08"/>
    <w:rsid w:val="008970C0"/>
    <w:rsid w:val="008A4C18"/>
    <w:rsid w:val="008A50A1"/>
    <w:rsid w:val="008B0F97"/>
    <w:rsid w:val="008B7EC1"/>
    <w:rsid w:val="008C697B"/>
    <w:rsid w:val="008D1B6B"/>
    <w:rsid w:val="008E50F7"/>
    <w:rsid w:val="008F73AF"/>
    <w:rsid w:val="009047EE"/>
    <w:rsid w:val="00910E4D"/>
    <w:rsid w:val="0092141C"/>
    <w:rsid w:val="00921828"/>
    <w:rsid w:val="00934912"/>
    <w:rsid w:val="00963389"/>
    <w:rsid w:val="00974453"/>
    <w:rsid w:val="009979A1"/>
    <w:rsid w:val="009A1ED3"/>
    <w:rsid w:val="009A55C6"/>
    <w:rsid w:val="009A73E8"/>
    <w:rsid w:val="009B1F72"/>
    <w:rsid w:val="009B75FA"/>
    <w:rsid w:val="009E13FE"/>
    <w:rsid w:val="009E3034"/>
    <w:rsid w:val="00A0641B"/>
    <w:rsid w:val="00A5013D"/>
    <w:rsid w:val="00A53227"/>
    <w:rsid w:val="00A61280"/>
    <w:rsid w:val="00A772D2"/>
    <w:rsid w:val="00A84B89"/>
    <w:rsid w:val="00AA4DA3"/>
    <w:rsid w:val="00AA5725"/>
    <w:rsid w:val="00AB64C1"/>
    <w:rsid w:val="00AC141A"/>
    <w:rsid w:val="00AC4E97"/>
    <w:rsid w:val="00AD2366"/>
    <w:rsid w:val="00AE4212"/>
    <w:rsid w:val="00AF64AE"/>
    <w:rsid w:val="00B0188E"/>
    <w:rsid w:val="00B02CD9"/>
    <w:rsid w:val="00B14E9F"/>
    <w:rsid w:val="00B167BD"/>
    <w:rsid w:val="00B3596A"/>
    <w:rsid w:val="00B464CC"/>
    <w:rsid w:val="00B705BF"/>
    <w:rsid w:val="00B946BE"/>
    <w:rsid w:val="00B951DA"/>
    <w:rsid w:val="00B97784"/>
    <w:rsid w:val="00BA55FF"/>
    <w:rsid w:val="00BB3176"/>
    <w:rsid w:val="00BD40BA"/>
    <w:rsid w:val="00BE5AD7"/>
    <w:rsid w:val="00BF2020"/>
    <w:rsid w:val="00BF7822"/>
    <w:rsid w:val="00C113E8"/>
    <w:rsid w:val="00C11B95"/>
    <w:rsid w:val="00C13A90"/>
    <w:rsid w:val="00C35A21"/>
    <w:rsid w:val="00C636C1"/>
    <w:rsid w:val="00C6466D"/>
    <w:rsid w:val="00C76B8C"/>
    <w:rsid w:val="00C80A35"/>
    <w:rsid w:val="00C91C52"/>
    <w:rsid w:val="00C96EB5"/>
    <w:rsid w:val="00CA197D"/>
    <w:rsid w:val="00CB0643"/>
    <w:rsid w:val="00CC2040"/>
    <w:rsid w:val="00CF52FE"/>
    <w:rsid w:val="00D001AF"/>
    <w:rsid w:val="00D15489"/>
    <w:rsid w:val="00D32CED"/>
    <w:rsid w:val="00D34759"/>
    <w:rsid w:val="00D55419"/>
    <w:rsid w:val="00D63DA0"/>
    <w:rsid w:val="00D65EDE"/>
    <w:rsid w:val="00D7781B"/>
    <w:rsid w:val="00D8036C"/>
    <w:rsid w:val="00D84421"/>
    <w:rsid w:val="00D878E0"/>
    <w:rsid w:val="00D92CFC"/>
    <w:rsid w:val="00D93C40"/>
    <w:rsid w:val="00DA58BD"/>
    <w:rsid w:val="00DB6C8C"/>
    <w:rsid w:val="00DC02ED"/>
    <w:rsid w:val="00DD63BB"/>
    <w:rsid w:val="00DE044E"/>
    <w:rsid w:val="00DE507A"/>
    <w:rsid w:val="00DE7E19"/>
    <w:rsid w:val="00E01442"/>
    <w:rsid w:val="00E04039"/>
    <w:rsid w:val="00E078E8"/>
    <w:rsid w:val="00E156B5"/>
    <w:rsid w:val="00E16189"/>
    <w:rsid w:val="00E22195"/>
    <w:rsid w:val="00E2231C"/>
    <w:rsid w:val="00E2340A"/>
    <w:rsid w:val="00E250C2"/>
    <w:rsid w:val="00E25F29"/>
    <w:rsid w:val="00E2654D"/>
    <w:rsid w:val="00E37C63"/>
    <w:rsid w:val="00E41CC0"/>
    <w:rsid w:val="00E50424"/>
    <w:rsid w:val="00E54258"/>
    <w:rsid w:val="00E85D20"/>
    <w:rsid w:val="00E95F35"/>
    <w:rsid w:val="00E96392"/>
    <w:rsid w:val="00EB4664"/>
    <w:rsid w:val="00EB68F4"/>
    <w:rsid w:val="00EC28AD"/>
    <w:rsid w:val="00EC5CE4"/>
    <w:rsid w:val="00EC6A0C"/>
    <w:rsid w:val="00EF063E"/>
    <w:rsid w:val="00F03CEB"/>
    <w:rsid w:val="00F16FE7"/>
    <w:rsid w:val="00F20308"/>
    <w:rsid w:val="00F20460"/>
    <w:rsid w:val="00F27259"/>
    <w:rsid w:val="00F52A66"/>
    <w:rsid w:val="00F61913"/>
    <w:rsid w:val="00F63A4A"/>
    <w:rsid w:val="00F6730C"/>
    <w:rsid w:val="00F731A4"/>
    <w:rsid w:val="00F75DF6"/>
    <w:rsid w:val="00F762D2"/>
    <w:rsid w:val="00F80B93"/>
    <w:rsid w:val="00F9121C"/>
    <w:rsid w:val="00F97A03"/>
    <w:rsid w:val="00FA1329"/>
    <w:rsid w:val="00FA37D9"/>
    <w:rsid w:val="00FA5171"/>
    <w:rsid w:val="00FA5EC2"/>
    <w:rsid w:val="00FC210E"/>
    <w:rsid w:val="00FC5F4D"/>
    <w:rsid w:val="00FD0679"/>
    <w:rsid w:val="00FD450F"/>
    <w:rsid w:val="00FE0047"/>
    <w:rsid w:val="00FE2AE7"/>
    <w:rsid w:val="00FF5CBB"/>
    <w:rsid w:val="00FF65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97F2B"/>
  <w15:docId w15:val="{0F842F2C-5E3B-4EBA-991B-ADF10EE4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80"/>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C14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141A"/>
    <w:rPr>
      <w:rFonts w:ascii="Tahoma" w:hAnsi="Tahoma" w:cs="Tahoma"/>
      <w:sz w:val="16"/>
      <w:szCs w:val="16"/>
    </w:rPr>
  </w:style>
  <w:style w:type="character" w:styleId="Hyperlink">
    <w:name w:val="Hyperlink"/>
    <w:basedOn w:val="DefaultParagraphFont"/>
    <w:uiPriority w:val="99"/>
    <w:rsid w:val="00A61280"/>
    <w:rPr>
      <w:rFonts w:cs="Times New Roman"/>
      <w:u w:val="single"/>
    </w:rPr>
  </w:style>
  <w:style w:type="paragraph" w:customStyle="1" w:styleId="Antetisubsol">
    <w:name w:val="Antet și subsol"/>
    <w:uiPriority w:val="99"/>
    <w:rsid w:val="00A6128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en-US" w:eastAsia="en-US"/>
    </w:rPr>
  </w:style>
  <w:style w:type="paragraph" w:customStyle="1" w:styleId="Corp">
    <w:name w:val="Corp"/>
    <w:uiPriority w:val="99"/>
    <w:rsid w:val="00A6128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lang w:val="en-US" w:eastAsia="en-US"/>
    </w:rPr>
  </w:style>
  <w:style w:type="paragraph" w:styleId="ListParagraph">
    <w:name w:val="List Paragraph"/>
    <w:aliases w:val="Heading1"/>
    <w:basedOn w:val="Normal"/>
    <w:link w:val="ListParagraphChar"/>
    <w:uiPriority w:val="99"/>
    <w:qFormat/>
    <w:rsid w:val="00A61280"/>
    <w:pPr>
      <w:spacing w:after="200" w:line="276" w:lineRule="auto"/>
      <w:ind w:left="720"/>
    </w:pPr>
    <w:rPr>
      <w:rFonts w:ascii="Calibri" w:hAnsi="Calibri"/>
      <w:color w:val="000000"/>
      <w:sz w:val="22"/>
      <w:szCs w:val="20"/>
      <w:u w:color="000000"/>
      <w:lang w:val="ro-RO" w:eastAsia="ro-RO"/>
    </w:rPr>
  </w:style>
  <w:style w:type="paragraph" w:styleId="Header">
    <w:name w:val="header"/>
    <w:basedOn w:val="Normal"/>
    <w:link w:val="HeaderChar"/>
    <w:uiPriority w:val="99"/>
    <w:rsid w:val="006342C7"/>
    <w:pPr>
      <w:tabs>
        <w:tab w:val="center" w:pos="4680"/>
        <w:tab w:val="right" w:pos="9360"/>
      </w:tabs>
    </w:pPr>
  </w:style>
  <w:style w:type="character" w:customStyle="1" w:styleId="HeaderChar">
    <w:name w:val="Header Char"/>
    <w:basedOn w:val="DefaultParagraphFont"/>
    <w:link w:val="Header"/>
    <w:uiPriority w:val="99"/>
    <w:locked/>
    <w:rsid w:val="006342C7"/>
    <w:rPr>
      <w:rFonts w:cs="Times New Roman"/>
      <w:sz w:val="24"/>
      <w:szCs w:val="24"/>
    </w:rPr>
  </w:style>
  <w:style w:type="paragraph" w:styleId="Footer">
    <w:name w:val="footer"/>
    <w:basedOn w:val="Normal"/>
    <w:link w:val="FooterChar"/>
    <w:uiPriority w:val="99"/>
    <w:rsid w:val="006342C7"/>
    <w:pPr>
      <w:tabs>
        <w:tab w:val="center" w:pos="4680"/>
        <w:tab w:val="right" w:pos="9360"/>
      </w:tabs>
    </w:pPr>
  </w:style>
  <w:style w:type="character" w:customStyle="1" w:styleId="FooterChar">
    <w:name w:val="Footer Char"/>
    <w:basedOn w:val="DefaultParagraphFont"/>
    <w:link w:val="Footer"/>
    <w:uiPriority w:val="99"/>
    <w:locked/>
    <w:rsid w:val="006342C7"/>
    <w:rPr>
      <w:rFonts w:cs="Times New Roman"/>
      <w:sz w:val="24"/>
      <w:szCs w:val="24"/>
    </w:rPr>
  </w:style>
  <w:style w:type="table" w:styleId="TableGrid">
    <w:name w:val="Table Grid"/>
    <w:basedOn w:val="TableNormal"/>
    <w:uiPriority w:val="99"/>
    <w:rsid w:val="00DE7E19"/>
    <w:rPr>
      <w:rFonts w:ascii="Calibri" w:eastAsia="SimSu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
    <w:link w:val="ListParagraph"/>
    <w:uiPriority w:val="99"/>
    <w:locked/>
    <w:rsid w:val="00DE7E19"/>
    <w:rPr>
      <w:rFonts w:ascii="Calibri" w:hAnsi="Calibri"/>
      <w:color w:val="000000"/>
      <w:sz w:val="22"/>
      <w:u w:color="000000"/>
    </w:rPr>
  </w:style>
  <w:style w:type="character" w:styleId="CommentReference">
    <w:name w:val="annotation reference"/>
    <w:basedOn w:val="DefaultParagraphFont"/>
    <w:uiPriority w:val="99"/>
    <w:semiHidden/>
    <w:rsid w:val="00686AAD"/>
    <w:rPr>
      <w:rFonts w:cs="Times New Roman"/>
      <w:sz w:val="16"/>
      <w:szCs w:val="16"/>
    </w:rPr>
  </w:style>
  <w:style w:type="paragraph" w:styleId="CommentText">
    <w:name w:val="annotation text"/>
    <w:basedOn w:val="Normal"/>
    <w:link w:val="CommentTextChar"/>
    <w:uiPriority w:val="99"/>
    <w:semiHidden/>
    <w:rsid w:val="00686AAD"/>
    <w:rPr>
      <w:sz w:val="20"/>
      <w:szCs w:val="20"/>
    </w:rPr>
  </w:style>
  <w:style w:type="character" w:customStyle="1" w:styleId="CommentTextChar">
    <w:name w:val="Comment Text Char"/>
    <w:basedOn w:val="DefaultParagraphFont"/>
    <w:link w:val="CommentText"/>
    <w:uiPriority w:val="99"/>
    <w:semiHidden/>
    <w:locked/>
    <w:rsid w:val="00686AAD"/>
    <w:rPr>
      <w:rFonts w:cs="Times New Roman"/>
    </w:rPr>
  </w:style>
  <w:style w:type="paragraph" w:styleId="CommentSubject">
    <w:name w:val="annotation subject"/>
    <w:basedOn w:val="CommentText"/>
    <w:next w:val="CommentText"/>
    <w:link w:val="CommentSubjectChar"/>
    <w:uiPriority w:val="99"/>
    <w:semiHidden/>
    <w:rsid w:val="00686AAD"/>
    <w:rPr>
      <w:b/>
      <w:bCs/>
    </w:rPr>
  </w:style>
  <w:style w:type="character" w:customStyle="1" w:styleId="CommentSubjectChar">
    <w:name w:val="Comment Subject Char"/>
    <w:basedOn w:val="CommentTextChar"/>
    <w:link w:val="CommentSubject"/>
    <w:uiPriority w:val="99"/>
    <w:semiHidden/>
    <w:locked/>
    <w:rsid w:val="00686AAD"/>
    <w:rPr>
      <w:rFonts w:cs="Times New Roman"/>
      <w:b/>
      <w:bCs/>
    </w:rPr>
  </w:style>
  <w:style w:type="paragraph" w:styleId="NormalWeb">
    <w:name w:val="Normal (Web)"/>
    <w:basedOn w:val="Normal"/>
    <w:uiPriority w:val="99"/>
    <w:rsid w:val="001D3E83"/>
    <w:pPr>
      <w:pBdr>
        <w:top w:val="none" w:sz="0" w:space="0" w:color="auto"/>
        <w:left w:val="none" w:sz="0" w:space="0" w:color="auto"/>
        <w:bottom w:val="none" w:sz="0" w:space="0" w:color="auto"/>
        <w:right w:val="none" w:sz="0" w:space="0" w:color="auto"/>
        <w:bar w:val="none" w:sz="0" w:color="auto"/>
      </w:pBdr>
    </w:pPr>
    <w:rPr>
      <w:rFonts w:eastAsia="SimSun"/>
    </w:rPr>
  </w:style>
  <w:style w:type="numbering" w:customStyle="1" w:styleId="Stilimportat1">
    <w:name w:val="Stil importat 1"/>
    <w:rsid w:val="0072083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538213">
      <w:bodyDiv w:val="1"/>
      <w:marLeft w:val="0"/>
      <w:marRight w:val="0"/>
      <w:marTop w:val="0"/>
      <w:marBottom w:val="0"/>
      <w:divBdr>
        <w:top w:val="none" w:sz="0" w:space="0" w:color="auto"/>
        <w:left w:val="none" w:sz="0" w:space="0" w:color="auto"/>
        <w:bottom w:val="none" w:sz="0" w:space="0" w:color="auto"/>
        <w:right w:val="none" w:sz="0" w:space="0" w:color="auto"/>
      </w:divBdr>
    </w:div>
    <w:div w:id="956184234">
      <w:marLeft w:val="0"/>
      <w:marRight w:val="0"/>
      <w:marTop w:val="0"/>
      <w:marBottom w:val="0"/>
      <w:divBdr>
        <w:top w:val="none" w:sz="0" w:space="0" w:color="auto"/>
        <w:left w:val="none" w:sz="0" w:space="0" w:color="auto"/>
        <w:bottom w:val="none" w:sz="0" w:space="0" w:color="auto"/>
        <w:right w:val="none" w:sz="0" w:space="0" w:color="auto"/>
      </w:divBdr>
    </w:div>
    <w:div w:id="956184235">
      <w:marLeft w:val="0"/>
      <w:marRight w:val="0"/>
      <w:marTop w:val="0"/>
      <w:marBottom w:val="0"/>
      <w:divBdr>
        <w:top w:val="none" w:sz="0" w:space="0" w:color="auto"/>
        <w:left w:val="none" w:sz="0" w:space="0" w:color="auto"/>
        <w:bottom w:val="none" w:sz="0" w:space="0" w:color="auto"/>
        <w:right w:val="none" w:sz="0" w:space="0" w:color="auto"/>
      </w:divBdr>
    </w:div>
    <w:div w:id="11816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851063829787234"/>
          <c:y val="2.2222222222222223E-2"/>
        </c:manualLayout>
      </c:layout>
      <c:overlay val="0"/>
      <c:spPr>
        <a:noFill/>
        <a:ln w="23206">
          <a:noFill/>
        </a:ln>
      </c:spPr>
      <c:txPr>
        <a:bodyPr/>
        <a:lstStyle/>
        <a:p>
          <a:pPr>
            <a:defRPr sz="914" b="0" i="0" u="none" strike="noStrike" baseline="0">
              <a:solidFill>
                <a:srgbClr val="000000"/>
              </a:solidFill>
              <a:latin typeface="Arial Narrow"/>
              <a:ea typeface="Arial Narrow"/>
              <a:cs typeface="Arial Narrow"/>
            </a:defRPr>
          </a:pPr>
          <a:endParaRPr lang="ro-RO"/>
        </a:p>
      </c:txPr>
    </c:title>
    <c:autoTitleDeleted val="0"/>
    <c:plotArea>
      <c:layout>
        <c:manualLayout>
          <c:layoutTarget val="inner"/>
          <c:xMode val="edge"/>
          <c:yMode val="edge"/>
          <c:x val="5.106382978723404E-2"/>
          <c:y val="0.19555555555555557"/>
          <c:w val="0.92765957446808511"/>
          <c:h val="0.41333333333333333"/>
        </c:manualLayout>
      </c:layout>
      <c:barChart>
        <c:barDir val="col"/>
        <c:grouping val="clustered"/>
        <c:varyColors val="0"/>
        <c:ser>
          <c:idx val="0"/>
          <c:order val="0"/>
          <c:tx>
            <c:strRef>
              <c:f>Sheet3!$H$19</c:f>
              <c:strCache>
                <c:ptCount val="1"/>
                <c:pt idx="0">
                  <c:v>parti interesate afectate</c:v>
                </c:pt>
              </c:strCache>
            </c:strRef>
          </c:tx>
          <c:invertIfNegative val="0"/>
          <c:dLbls>
            <c:spPr>
              <a:noFill/>
              <a:ln w="2320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Sheet3!$I$18:$U$18</c:f>
              <c:strCache>
                <c:ptCount val="13"/>
                <c:pt idx="0">
                  <c:v>Marsa</c:v>
                </c:pt>
                <c:pt idx="1">
                  <c:v>Gratia</c:v>
                </c:pt>
                <c:pt idx="2">
                  <c:v>Barla</c:v>
                </c:pt>
                <c:pt idx="3">
                  <c:v>Potcoava</c:v>
                </c:pt>
                <c:pt idx="4">
                  <c:v>Gusoieni</c:v>
                </c:pt>
                <c:pt idx="5">
                  <c:v>Maciuca</c:v>
                </c:pt>
                <c:pt idx="6">
                  <c:v>Balanesti</c:v>
                </c:pt>
                <c:pt idx="7">
                  <c:v>Turcinesti</c:v>
                </c:pt>
                <c:pt idx="8">
                  <c:v>Totesti</c:v>
                </c:pt>
                <c:pt idx="9">
                  <c:v>Bautar</c:v>
                </c:pt>
                <c:pt idx="10">
                  <c:v>Obreja</c:v>
                </c:pt>
                <c:pt idx="11">
                  <c:v>Costeiu</c:v>
                </c:pt>
                <c:pt idx="12">
                  <c:v>Total</c:v>
                </c:pt>
              </c:strCache>
            </c:strRef>
          </c:cat>
          <c:val>
            <c:numRef>
              <c:f>Sheet3!$I$19:$U$19</c:f>
            </c:numRef>
          </c:val>
        </c:ser>
        <c:ser>
          <c:idx val="1"/>
          <c:order val="1"/>
          <c:tx>
            <c:strRef>
              <c:f>Sheet3!$H$20</c:f>
              <c:strCache>
                <c:ptCount val="1"/>
                <c:pt idx="0">
                  <c:v>parti relevante afectate</c:v>
                </c:pt>
              </c:strCache>
            </c:strRef>
          </c:tx>
          <c:invertIfNegative val="0"/>
          <c:dLbls>
            <c:spPr>
              <a:noFill/>
              <a:ln w="2320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Sheet3!$I$18:$U$18</c:f>
              <c:strCache>
                <c:ptCount val="13"/>
                <c:pt idx="0">
                  <c:v>Marsa</c:v>
                </c:pt>
                <c:pt idx="1">
                  <c:v>Gratia</c:v>
                </c:pt>
                <c:pt idx="2">
                  <c:v>Barla</c:v>
                </c:pt>
                <c:pt idx="3">
                  <c:v>Potcoava</c:v>
                </c:pt>
                <c:pt idx="4">
                  <c:v>Gusoieni</c:v>
                </c:pt>
                <c:pt idx="5">
                  <c:v>Maciuca</c:v>
                </c:pt>
                <c:pt idx="6">
                  <c:v>Balanesti</c:v>
                </c:pt>
                <c:pt idx="7">
                  <c:v>Turcinesti</c:v>
                </c:pt>
                <c:pt idx="8">
                  <c:v>Totesti</c:v>
                </c:pt>
                <c:pt idx="9">
                  <c:v>Bautar</c:v>
                </c:pt>
                <c:pt idx="10">
                  <c:v>Obreja</c:v>
                </c:pt>
                <c:pt idx="11">
                  <c:v>Costeiu</c:v>
                </c:pt>
                <c:pt idx="12">
                  <c:v>Total</c:v>
                </c:pt>
              </c:strCache>
            </c:strRef>
          </c:cat>
          <c:val>
            <c:numRef>
              <c:f>Sheet3!$I$20:$U$20</c:f>
              <c:numCache>
                <c:formatCode>General</c:formatCode>
                <c:ptCount val="13"/>
                <c:pt idx="0">
                  <c:v>1</c:v>
                </c:pt>
                <c:pt idx="1">
                  <c:v>0</c:v>
                </c:pt>
                <c:pt idx="2">
                  <c:v>0</c:v>
                </c:pt>
                <c:pt idx="3">
                  <c:v>0</c:v>
                </c:pt>
                <c:pt idx="4">
                  <c:v>0</c:v>
                </c:pt>
                <c:pt idx="5">
                  <c:v>0</c:v>
                </c:pt>
                <c:pt idx="6">
                  <c:v>0</c:v>
                </c:pt>
                <c:pt idx="7">
                  <c:v>1</c:v>
                </c:pt>
                <c:pt idx="8">
                  <c:v>0</c:v>
                </c:pt>
                <c:pt idx="9">
                  <c:v>0</c:v>
                </c:pt>
                <c:pt idx="10">
                  <c:v>0</c:v>
                </c:pt>
                <c:pt idx="11">
                  <c:v>0</c:v>
                </c:pt>
                <c:pt idx="12">
                  <c:v>2</c:v>
                </c:pt>
              </c:numCache>
            </c:numRef>
          </c:val>
        </c:ser>
        <c:dLbls>
          <c:showLegendKey val="0"/>
          <c:showVal val="1"/>
          <c:showCatName val="0"/>
          <c:showSerName val="0"/>
          <c:showPercent val="0"/>
          <c:showBubbleSize val="0"/>
        </c:dLbls>
        <c:gapWidth val="150"/>
        <c:overlap val="-25"/>
        <c:axId val="1373319824"/>
        <c:axId val="1373320368"/>
      </c:barChart>
      <c:catAx>
        <c:axId val="1373319824"/>
        <c:scaling>
          <c:orientation val="minMax"/>
        </c:scaling>
        <c:delete val="0"/>
        <c:axPos val="b"/>
        <c:numFmt formatCode="General" sourceLinked="0"/>
        <c:majorTickMark val="none"/>
        <c:minorTickMark val="none"/>
        <c:tickLblPos val="nextTo"/>
        <c:crossAx val="1373320368"/>
        <c:crosses val="autoZero"/>
        <c:auto val="1"/>
        <c:lblAlgn val="ctr"/>
        <c:lblOffset val="100"/>
        <c:noMultiLvlLbl val="0"/>
      </c:catAx>
      <c:valAx>
        <c:axId val="1373320368"/>
        <c:scaling>
          <c:orientation val="minMax"/>
        </c:scaling>
        <c:delete val="1"/>
        <c:axPos val="l"/>
        <c:numFmt formatCode="General" sourceLinked="1"/>
        <c:majorTickMark val="out"/>
        <c:minorTickMark val="none"/>
        <c:tickLblPos val="nextTo"/>
        <c:crossAx val="1373319824"/>
        <c:crosses val="autoZero"/>
        <c:crossBetween val="between"/>
      </c:valAx>
    </c:plotArea>
    <c:legend>
      <c:legendPos val="r"/>
      <c:layout>
        <c:manualLayout>
          <c:xMode val="edge"/>
          <c:yMode val="edge"/>
          <c:x val="0.34042553191489361"/>
          <c:y val="0.8666666666666667"/>
          <c:w val="0.31702127659574469"/>
          <c:h val="9.7777777777777783E-2"/>
        </c:manualLayout>
      </c:layout>
      <c:overlay val="0"/>
    </c:legend>
    <c:plotVisOnly val="1"/>
    <c:dispBlanksAs val="gap"/>
    <c:showDLblsOverMax val="0"/>
  </c:chart>
  <c:spPr>
    <a:ln>
      <a:noFill/>
    </a:ln>
  </c:spPr>
  <c:txPr>
    <a:bodyPr/>
    <a:lstStyle/>
    <a:p>
      <a:pPr>
        <a:defRPr>
          <a:latin typeface="Arial Narrow" panose="020B0606020202030204" pitchFamily="34" charset="0"/>
        </a:defRPr>
      </a:pPr>
      <a:endParaRPr lang="ro-RO"/>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14"/>
            </a:pPr>
            <a:r>
              <a:rPr lang="ro-RO" sz="914"/>
              <a:t>% </a:t>
            </a:r>
            <a:r>
              <a:rPr lang="en-US" sz="914"/>
              <a:t>km conducta BRUA</a:t>
            </a:r>
            <a:r>
              <a:rPr lang="ro-RO" sz="914"/>
              <a:t> in total lungime conducta ce trece prin  fiecare ET impactat</a:t>
            </a:r>
            <a:r>
              <a:rPr lang="en-US" sz="914"/>
              <a:t> </a:t>
            </a:r>
          </a:p>
        </c:rich>
      </c:tx>
      <c:layout>
        <c:manualLayout>
          <c:xMode val="edge"/>
          <c:yMode val="edge"/>
          <c:x val="0.13010448320825568"/>
          <c:y val="0"/>
        </c:manualLayout>
      </c:layout>
      <c:overlay val="0"/>
      <c:spPr>
        <a:noFill/>
        <a:ln w="23226">
          <a:noFill/>
        </a:ln>
      </c:spPr>
    </c:title>
    <c:autoTitleDeleted val="0"/>
    <c:plotArea>
      <c:layout>
        <c:manualLayout>
          <c:layoutTarget val="inner"/>
          <c:xMode val="edge"/>
          <c:yMode val="edge"/>
          <c:x val="0.32978964268297373"/>
          <c:y val="0.15580382891639358"/>
          <c:w val="0.40178687393457263"/>
          <c:h val="0.67669368241612227"/>
        </c:manualLayout>
      </c:layout>
      <c:pieChart>
        <c:varyColors val="1"/>
        <c:ser>
          <c:idx val="0"/>
          <c:order val="0"/>
          <c:dPt>
            <c:idx val="0"/>
            <c:bubble3D val="0"/>
          </c:dPt>
          <c:dPt>
            <c:idx val="1"/>
            <c:bubble3D val="0"/>
          </c:dPt>
          <c:dPt>
            <c:idx val="2"/>
            <c:bubble3D val="0"/>
          </c:dPt>
          <c:dLbls>
            <c:spPr>
              <a:noFill/>
              <a:ln w="23226">
                <a:noFill/>
              </a:ln>
            </c:spPr>
            <c:txPr>
              <a:bodyPr/>
              <a:lstStyle/>
              <a:p>
                <a:pPr>
                  <a:defRPr b="1"/>
                </a:pPr>
                <a:endParaRPr lang="ro-RO"/>
              </a:p>
            </c:txPr>
            <c:showLegendKey val="0"/>
            <c:showVal val="0"/>
            <c:showCatName val="0"/>
            <c:showSerName val="0"/>
            <c:showPercent val="1"/>
            <c:showBubbleSize val="0"/>
            <c:showLeaderLines val="1"/>
            <c:extLst>
              <c:ext xmlns:c15="http://schemas.microsoft.com/office/drawing/2012/chart" uri="{CE6537A1-D6FC-4f65-9D91-7224C49458BB}"/>
            </c:extLst>
          </c:dLbls>
          <c:cat>
            <c:strRef>
              <c:f>Sheet2!$N$26:$N$28</c:f>
              <c:strCache>
                <c:ptCount val="3"/>
                <c:pt idx="0">
                  <c:v>ET Bucuresti</c:v>
                </c:pt>
                <c:pt idx="1">
                  <c:v>ET Craiova</c:v>
                </c:pt>
                <c:pt idx="2">
                  <c:v>ET Arad</c:v>
                </c:pt>
              </c:strCache>
            </c:strRef>
          </c:cat>
          <c:val>
            <c:numRef>
              <c:f>Sheet2!$O$26:$O$28</c:f>
              <c:numCache>
                <c:formatCode>0.0</c:formatCode>
                <c:ptCount val="3"/>
                <c:pt idx="0" formatCode="General">
                  <c:v>10.199999999999999</c:v>
                </c:pt>
                <c:pt idx="1">
                  <c:v>57.8</c:v>
                </c:pt>
                <c:pt idx="2">
                  <c:v>38.5</c:v>
                </c:pt>
              </c:numCache>
            </c:numRef>
          </c:val>
        </c:ser>
        <c:dLbls>
          <c:showLegendKey val="0"/>
          <c:showVal val="0"/>
          <c:showCatName val="0"/>
          <c:showSerName val="0"/>
          <c:showPercent val="1"/>
          <c:showBubbleSize val="0"/>
          <c:showLeaderLines val="1"/>
        </c:dLbls>
        <c:firstSliceAng val="0"/>
      </c:pieChart>
      <c:spPr>
        <a:noFill/>
        <a:ln w="23226">
          <a:noFill/>
        </a:ln>
      </c:spPr>
    </c:plotArea>
    <c:legend>
      <c:legendPos val="b"/>
      <c:overlay val="0"/>
    </c:legend>
    <c:plotVisOnly val="1"/>
    <c:dispBlanksAs val="zero"/>
    <c:showDLblsOverMax val="0"/>
  </c:chart>
  <c:spPr>
    <a:ln>
      <a:noFill/>
    </a:ln>
  </c:spPr>
  <c:txPr>
    <a:bodyPr/>
    <a:lstStyle/>
    <a:p>
      <a:pPr>
        <a:defRPr>
          <a:latin typeface="Arial Narrow" panose="020B0606020202030204" pitchFamily="34" charset="0"/>
        </a:defRPr>
      </a:pPr>
      <a:endParaRPr lang="ro-RO"/>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87273746470314"/>
          <c:y val="0.10251143135409961"/>
          <c:w val="0.40262509102529848"/>
          <c:h val="0.63432443586061171"/>
        </c:manualLayout>
      </c:layout>
      <c:pieChart>
        <c:varyColors val="1"/>
        <c:ser>
          <c:idx val="0"/>
          <c:order val="0"/>
          <c:dPt>
            <c:idx val="0"/>
            <c:bubble3D val="0"/>
          </c:dPt>
          <c:dPt>
            <c:idx val="1"/>
            <c:bubble3D val="0"/>
          </c:dPt>
          <c:dPt>
            <c:idx val="2"/>
            <c:bubble3D val="0"/>
          </c:dPt>
          <c:dPt>
            <c:idx val="3"/>
            <c:bubble3D val="0"/>
            <c:spPr>
              <a:solidFill>
                <a:srgbClr val="92D050"/>
              </a:solidFill>
            </c:spPr>
          </c:dPt>
          <c:dLbls>
            <c:spPr>
              <a:noFill/>
              <a:ln w="22911">
                <a:noFill/>
              </a:ln>
            </c:spPr>
            <c:txPr>
              <a:bodyPr wrap="square" lIns="38100" tIns="19050" rIns="38100" bIns="19050" anchor="ctr">
                <a:spAutoFit/>
              </a:bodyPr>
              <a:lstStyle/>
              <a:p>
                <a:pPr>
                  <a:defRPr sz="902" b="1" i="0" u="none" strike="noStrike" baseline="0">
                    <a:solidFill>
                      <a:srgbClr val="000000"/>
                    </a:solidFill>
                    <a:latin typeface="Arial Narrow"/>
                    <a:ea typeface="Arial Narrow"/>
                    <a:cs typeface="Arial Narrow"/>
                  </a:defRPr>
                </a:pPr>
                <a:endParaRPr lang="ro-RO"/>
              </a:p>
            </c:txPr>
            <c:showLegendKey val="0"/>
            <c:showVal val="1"/>
            <c:showCatName val="0"/>
            <c:showSerName val="0"/>
            <c:showPercent val="0"/>
            <c:showBubbleSize val="0"/>
            <c:showLeaderLines val="1"/>
            <c:extLst>
              <c:ext xmlns:c15="http://schemas.microsoft.com/office/drawing/2012/chart" uri="{CE6537A1-D6FC-4f65-9D91-7224C49458BB}"/>
            </c:extLst>
          </c:dLbls>
          <c:cat>
            <c:strRef>
              <c:f>Sheet2!$N$26:$N$29</c:f>
              <c:strCache>
                <c:ptCount val="4"/>
                <c:pt idx="0">
                  <c:v>ET Bucuresti</c:v>
                </c:pt>
                <c:pt idx="1">
                  <c:v>ET Craiova</c:v>
                </c:pt>
                <c:pt idx="2">
                  <c:v>ET Arad</c:v>
                </c:pt>
                <c:pt idx="3">
                  <c:v>total</c:v>
                </c:pt>
              </c:strCache>
            </c:strRef>
          </c:cat>
          <c:val>
            <c:numRef>
              <c:f>Sheet2!$O$26:$O$29</c:f>
              <c:numCache>
                <c:formatCode>0.0</c:formatCode>
                <c:ptCount val="4"/>
                <c:pt idx="0" formatCode="General">
                  <c:v>10.199999999999999</c:v>
                </c:pt>
                <c:pt idx="1">
                  <c:v>57.8</c:v>
                </c:pt>
                <c:pt idx="2">
                  <c:v>38.5</c:v>
                </c:pt>
                <c:pt idx="3">
                  <c:v>106.5</c:v>
                </c:pt>
              </c:numCache>
            </c:numRef>
          </c:val>
        </c:ser>
        <c:dLbls>
          <c:showLegendKey val="0"/>
          <c:showVal val="0"/>
          <c:showCatName val="0"/>
          <c:showSerName val="0"/>
          <c:showPercent val="0"/>
          <c:showBubbleSize val="0"/>
          <c:showLeaderLines val="1"/>
        </c:dLbls>
        <c:firstSliceAng val="0"/>
      </c:pieChart>
      <c:spPr>
        <a:noFill/>
        <a:ln w="22911">
          <a:noFill/>
        </a:ln>
      </c:spPr>
    </c:plotArea>
    <c:legend>
      <c:legendPos val="b"/>
      <c:overlay val="0"/>
      <c:txPr>
        <a:bodyPr/>
        <a:lstStyle/>
        <a:p>
          <a:pPr>
            <a:defRPr sz="830" b="0" i="0" u="none" strike="noStrike" baseline="0">
              <a:solidFill>
                <a:srgbClr val="000000"/>
              </a:solidFill>
              <a:latin typeface="Arial Narrow"/>
              <a:ea typeface="Arial Narrow"/>
              <a:cs typeface="Arial Narrow"/>
            </a:defRPr>
          </a:pPr>
          <a:endParaRPr lang="ro-RO"/>
        </a:p>
      </c:txPr>
    </c:legend>
    <c:plotVisOnly val="1"/>
    <c:dispBlanksAs val="zero"/>
    <c:showDLblsOverMax val="0"/>
  </c:chart>
  <c:spPr>
    <a:ln>
      <a:noFill/>
    </a:ln>
  </c:spPr>
  <c:txPr>
    <a:bodyPr/>
    <a:lstStyle/>
    <a:p>
      <a:pPr>
        <a:defRPr sz="902" b="1" i="0" u="none" strike="noStrike" baseline="0">
          <a:solidFill>
            <a:srgbClr val="000000"/>
          </a:solidFill>
          <a:latin typeface="Arial Narrow"/>
          <a:ea typeface="Arial Narrow"/>
          <a:cs typeface="Arial Narrow"/>
        </a:defRPr>
      </a:pPr>
      <a:endParaRPr lang="ro-R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Sheet3!$H$19</c:f>
              <c:strCache>
                <c:ptCount val="1"/>
                <c:pt idx="0">
                  <c:v>parti interesate afectate</c:v>
                </c:pt>
              </c:strCache>
            </c:strRef>
          </c:tx>
          <c:invertIfNegative val="0"/>
          <c:dLbls>
            <c:spPr>
              <a:noFill/>
              <a:ln w="23753">
                <a:noFill/>
              </a:ln>
            </c:spPr>
            <c:txPr>
              <a:bodyPr wrap="square" lIns="38100" tIns="19050" rIns="38100" bIns="19050" anchor="ctr">
                <a:spAutoFit/>
              </a:bodyPr>
              <a:lstStyle/>
              <a:p>
                <a:pPr>
                  <a:defRPr sz="935" b="0" i="0" u="none" strike="noStrike" baseline="0">
                    <a:solidFill>
                      <a:srgbClr val="000000"/>
                    </a:solidFill>
                    <a:latin typeface="Arial Narrow"/>
                    <a:ea typeface="Arial Narrow"/>
                    <a:cs typeface="Arial Narrow"/>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Sheet3!$I$18:$U$18</c:f>
              <c:strCache>
                <c:ptCount val="13"/>
                <c:pt idx="0">
                  <c:v>Marsa</c:v>
                </c:pt>
                <c:pt idx="1">
                  <c:v>Gratia</c:v>
                </c:pt>
                <c:pt idx="2">
                  <c:v>Barla</c:v>
                </c:pt>
                <c:pt idx="3">
                  <c:v>Potcoava</c:v>
                </c:pt>
                <c:pt idx="4">
                  <c:v>Gusoieni</c:v>
                </c:pt>
                <c:pt idx="5">
                  <c:v>Maciuca</c:v>
                </c:pt>
                <c:pt idx="6">
                  <c:v>Balanesti</c:v>
                </c:pt>
                <c:pt idx="7">
                  <c:v>Turcinesti</c:v>
                </c:pt>
                <c:pt idx="8">
                  <c:v>Totesti</c:v>
                </c:pt>
                <c:pt idx="9">
                  <c:v>Bautar</c:v>
                </c:pt>
                <c:pt idx="10">
                  <c:v>Obreja</c:v>
                </c:pt>
                <c:pt idx="11">
                  <c:v>Costeiu</c:v>
                </c:pt>
                <c:pt idx="12">
                  <c:v>Total</c:v>
                </c:pt>
              </c:strCache>
            </c:strRef>
          </c:cat>
          <c:val>
            <c:numRef>
              <c:f>Sheet3!$I$19:$U$19</c:f>
              <c:numCache>
                <c:formatCode>General</c:formatCode>
                <c:ptCount val="13"/>
                <c:pt idx="0">
                  <c:v>35</c:v>
                </c:pt>
                <c:pt idx="1">
                  <c:v>27</c:v>
                </c:pt>
                <c:pt idx="2">
                  <c:v>63</c:v>
                </c:pt>
                <c:pt idx="3">
                  <c:v>50</c:v>
                </c:pt>
                <c:pt idx="4">
                  <c:v>48</c:v>
                </c:pt>
                <c:pt idx="5">
                  <c:v>48</c:v>
                </c:pt>
                <c:pt idx="6">
                  <c:v>37</c:v>
                </c:pt>
                <c:pt idx="7">
                  <c:v>34</c:v>
                </c:pt>
                <c:pt idx="8">
                  <c:v>44</c:v>
                </c:pt>
                <c:pt idx="9">
                  <c:v>43</c:v>
                </c:pt>
                <c:pt idx="10">
                  <c:v>49</c:v>
                </c:pt>
                <c:pt idx="11">
                  <c:v>29</c:v>
                </c:pt>
                <c:pt idx="12">
                  <c:v>507</c:v>
                </c:pt>
              </c:numCache>
            </c:numRef>
          </c:val>
        </c:ser>
        <c:dLbls>
          <c:showLegendKey val="0"/>
          <c:showVal val="0"/>
          <c:showCatName val="0"/>
          <c:showSerName val="0"/>
          <c:showPercent val="0"/>
          <c:showBubbleSize val="0"/>
        </c:dLbls>
        <c:gapWidth val="150"/>
        <c:overlap val="-25"/>
        <c:axId val="1377867952"/>
        <c:axId val="1377872304"/>
      </c:barChart>
      <c:catAx>
        <c:axId val="1377867952"/>
        <c:scaling>
          <c:orientation val="minMax"/>
        </c:scaling>
        <c:delete val="0"/>
        <c:axPos val="b"/>
        <c:numFmt formatCode="General" sourceLinked="0"/>
        <c:majorTickMark val="none"/>
        <c:minorTickMark val="none"/>
        <c:tickLblPos val="nextTo"/>
        <c:txPr>
          <a:bodyPr rot="-2700000" vert="horz"/>
          <a:lstStyle/>
          <a:p>
            <a:pPr>
              <a:defRPr sz="935" b="0" i="0" u="none" strike="noStrike" baseline="0">
                <a:solidFill>
                  <a:srgbClr val="000000"/>
                </a:solidFill>
                <a:latin typeface="Arial Narrow"/>
                <a:ea typeface="Arial Narrow"/>
                <a:cs typeface="Arial Narrow"/>
              </a:defRPr>
            </a:pPr>
            <a:endParaRPr lang="ro-RO"/>
          </a:p>
        </c:txPr>
        <c:crossAx val="1377872304"/>
        <c:crosses val="autoZero"/>
        <c:auto val="1"/>
        <c:lblAlgn val="ctr"/>
        <c:lblOffset val="100"/>
        <c:noMultiLvlLbl val="0"/>
      </c:catAx>
      <c:valAx>
        <c:axId val="1377872304"/>
        <c:scaling>
          <c:orientation val="minMax"/>
        </c:scaling>
        <c:delete val="1"/>
        <c:axPos val="l"/>
        <c:numFmt formatCode="General" sourceLinked="1"/>
        <c:majorTickMark val="out"/>
        <c:minorTickMark val="none"/>
        <c:tickLblPos val="nextTo"/>
        <c:crossAx val="1377867952"/>
        <c:crosses val="autoZero"/>
        <c:crossBetween val="between"/>
      </c:valAx>
    </c:plotArea>
    <c:legend>
      <c:legendPos val="b"/>
      <c:overlay val="0"/>
      <c:txPr>
        <a:bodyPr/>
        <a:lstStyle/>
        <a:p>
          <a:pPr>
            <a:defRPr sz="860" b="0" i="0" u="none" strike="noStrike" baseline="0">
              <a:solidFill>
                <a:srgbClr val="000000"/>
              </a:solidFill>
              <a:latin typeface="Arial Narrow"/>
              <a:ea typeface="Arial Narrow"/>
              <a:cs typeface="Arial Narrow"/>
            </a:defRPr>
          </a:pPr>
          <a:endParaRPr lang="ro-RO"/>
        </a:p>
      </c:txPr>
    </c:legend>
    <c:plotVisOnly val="1"/>
    <c:dispBlanksAs val="gap"/>
    <c:showDLblsOverMax val="0"/>
  </c:chart>
  <c:spPr>
    <a:ln>
      <a:noFill/>
    </a:ln>
  </c:spPr>
  <c:txPr>
    <a:bodyPr/>
    <a:lstStyle/>
    <a:p>
      <a:pPr>
        <a:defRPr sz="935" b="0" i="0" u="none" strike="noStrike" baseline="0">
          <a:solidFill>
            <a:srgbClr val="000000"/>
          </a:solidFill>
          <a:latin typeface="Arial Narrow"/>
          <a:ea typeface="Arial Narrow"/>
          <a:cs typeface="Arial Narrow"/>
        </a:defRPr>
      </a:pPr>
      <a:endParaRPr lang="ro-R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578196769936316E-2"/>
          <c:y val="0.19333119496725196"/>
          <c:w val="0.9313727350346267"/>
          <c:h val="0.63862634122114503"/>
        </c:manualLayout>
      </c:layout>
      <c:barChart>
        <c:barDir val="col"/>
        <c:grouping val="clustered"/>
        <c:varyColors val="0"/>
        <c:ser>
          <c:idx val="2"/>
          <c:order val="0"/>
          <c:tx>
            <c:strRef>
              <c:f>Sheet1!$A$5</c:f>
              <c:strCache>
                <c:ptCount val="1"/>
                <c:pt idx="0">
                  <c:v>Total participanti </c:v>
                </c:pt>
              </c:strCache>
            </c:strRef>
          </c:tx>
          <c:spPr>
            <a:solidFill>
              <a:srgbClr val="9BBB59"/>
            </a:solidFill>
            <a:ln w="22372">
              <a:noFill/>
            </a:ln>
          </c:spPr>
          <c:invertIfNegative val="0"/>
          <c:dLbls>
            <c:spPr>
              <a:noFill/>
              <a:ln w="22372">
                <a:noFill/>
              </a:ln>
            </c:spPr>
            <c:txPr>
              <a:bodyPr rot="-5400000" vert="horz" wrap="square" lIns="38100" tIns="19050" rIns="38100" bIns="19050" anchor="ctr">
                <a:spAutoFit/>
              </a:bodyPr>
              <a:lstStyle/>
              <a:p>
                <a:pPr algn="ctr">
                  <a:defRPr sz="705" b="0" i="0" u="none" strike="noStrike" baseline="0">
                    <a:solidFill>
                      <a:srgbClr val="808080"/>
                    </a:solidFill>
                    <a:latin typeface="Calibri"/>
                    <a:ea typeface="Calibri"/>
                    <a:cs typeface="Calibri"/>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Sheet1!$B$2:$N$2</c:f>
              <c:strCache>
                <c:ptCount val="13"/>
                <c:pt idx="0">
                  <c:v>Mârşa</c:v>
                </c:pt>
                <c:pt idx="1">
                  <c:v>Gratia</c:v>
                </c:pt>
                <c:pt idx="2">
                  <c:v>Bârla</c:v>
                </c:pt>
                <c:pt idx="3">
                  <c:v>Potcoava</c:v>
                </c:pt>
                <c:pt idx="4">
                  <c:v>Guşoieni</c:v>
                </c:pt>
                <c:pt idx="5">
                  <c:v>Măciuca</c:v>
                </c:pt>
                <c:pt idx="6">
                  <c:v>Bălăneşti</c:v>
                </c:pt>
                <c:pt idx="7">
                  <c:v>Turcineşti</c:v>
                </c:pt>
                <c:pt idx="8">
                  <c:v>Toteşti</c:v>
                </c:pt>
                <c:pt idx="9">
                  <c:v>Băuţar</c:v>
                </c:pt>
                <c:pt idx="10">
                  <c:v>Obreja</c:v>
                </c:pt>
                <c:pt idx="11">
                  <c:v>Coşteiu</c:v>
                </c:pt>
                <c:pt idx="12">
                  <c:v>Total</c:v>
                </c:pt>
              </c:strCache>
            </c:strRef>
          </c:cat>
          <c:val>
            <c:numRef>
              <c:f>Sheet1!$B$5:$N$5</c:f>
              <c:numCache>
                <c:formatCode>General</c:formatCode>
                <c:ptCount val="13"/>
                <c:pt idx="0">
                  <c:v>36</c:v>
                </c:pt>
                <c:pt idx="1">
                  <c:v>27</c:v>
                </c:pt>
                <c:pt idx="2">
                  <c:v>63</c:v>
                </c:pt>
                <c:pt idx="3">
                  <c:v>50</c:v>
                </c:pt>
                <c:pt idx="4">
                  <c:v>48</c:v>
                </c:pt>
                <c:pt idx="5">
                  <c:v>48</c:v>
                </c:pt>
                <c:pt idx="6">
                  <c:v>37</c:v>
                </c:pt>
                <c:pt idx="7">
                  <c:v>35</c:v>
                </c:pt>
                <c:pt idx="8">
                  <c:v>44</c:v>
                </c:pt>
                <c:pt idx="9">
                  <c:v>43</c:v>
                </c:pt>
                <c:pt idx="10">
                  <c:v>49</c:v>
                </c:pt>
                <c:pt idx="11">
                  <c:v>29</c:v>
                </c:pt>
                <c:pt idx="12">
                  <c:v>509</c:v>
                </c:pt>
              </c:numCache>
            </c:numRef>
          </c:val>
        </c:ser>
        <c:dLbls>
          <c:showLegendKey val="0"/>
          <c:showVal val="0"/>
          <c:showCatName val="0"/>
          <c:showSerName val="0"/>
          <c:showPercent val="0"/>
          <c:showBubbleSize val="0"/>
        </c:dLbls>
        <c:gapWidth val="444"/>
        <c:overlap val="-90"/>
        <c:axId val="1377874480"/>
        <c:axId val="1377863600"/>
      </c:barChart>
      <c:catAx>
        <c:axId val="1377874480"/>
        <c:scaling>
          <c:orientation val="minMax"/>
        </c:scaling>
        <c:delete val="0"/>
        <c:axPos val="b"/>
        <c:majorGridlines>
          <c:spPr>
            <a:ln w="838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8389" cap="flat" cmpd="sng" algn="ctr">
            <a:solidFill>
              <a:schemeClr val="tx1">
                <a:lumMod val="15000"/>
                <a:lumOff val="85000"/>
              </a:schemeClr>
            </a:solidFill>
            <a:round/>
          </a:ln>
          <a:effectLst/>
        </c:spPr>
        <c:txPr>
          <a:bodyPr rot="-2700000" vert="horz"/>
          <a:lstStyle/>
          <a:p>
            <a:pPr>
              <a:defRPr sz="705" b="0" i="0" u="none" strike="noStrike" baseline="0">
                <a:solidFill>
                  <a:srgbClr val="333333"/>
                </a:solidFill>
                <a:latin typeface="Calibri"/>
                <a:ea typeface="Calibri"/>
                <a:cs typeface="Calibri"/>
              </a:defRPr>
            </a:pPr>
            <a:endParaRPr lang="ro-RO"/>
          </a:p>
        </c:txPr>
        <c:crossAx val="1377863600"/>
        <c:crosses val="autoZero"/>
        <c:auto val="1"/>
        <c:lblAlgn val="ctr"/>
        <c:lblOffset val="100"/>
        <c:noMultiLvlLbl val="0"/>
      </c:catAx>
      <c:valAx>
        <c:axId val="1377863600"/>
        <c:scaling>
          <c:orientation val="minMax"/>
        </c:scaling>
        <c:delete val="1"/>
        <c:axPos val="l"/>
        <c:numFmt formatCode="General" sourceLinked="1"/>
        <c:majorTickMark val="out"/>
        <c:minorTickMark val="none"/>
        <c:tickLblPos val="nextTo"/>
        <c:crossAx val="1377874480"/>
        <c:crosses val="autoZero"/>
        <c:crossBetween val="between"/>
      </c:valAx>
      <c:spPr>
        <a:noFill/>
        <a:ln w="22372">
          <a:noFill/>
        </a:ln>
      </c:spPr>
    </c:plotArea>
    <c:legend>
      <c:legendPos val="b"/>
      <c:layout>
        <c:manualLayout>
          <c:xMode val="edge"/>
          <c:yMode val="edge"/>
          <c:x val="0.38382182172325296"/>
          <c:y val="7.6051196622761164E-2"/>
          <c:w val="0.22015541484186521"/>
          <c:h val="7.769387565056339E-2"/>
        </c:manualLayout>
      </c:layout>
      <c:overlay val="0"/>
      <c:spPr>
        <a:noFill/>
        <a:ln w="22372">
          <a:noFill/>
        </a:ln>
      </c:spPr>
      <c:txPr>
        <a:bodyPr/>
        <a:lstStyle/>
        <a:p>
          <a:pPr>
            <a:defRPr sz="727" b="0" i="0" u="none" strike="noStrike" baseline="0">
              <a:solidFill>
                <a:srgbClr val="333333"/>
              </a:solidFill>
              <a:latin typeface="Calibri"/>
              <a:ea typeface="Calibri"/>
              <a:cs typeface="Calibri"/>
            </a:defRPr>
          </a:pPr>
          <a:endParaRPr lang="ro-RO"/>
        </a:p>
      </c:txPr>
    </c:legend>
    <c:plotVisOnly val="1"/>
    <c:dispBlanksAs val="gap"/>
    <c:showDLblsOverMax val="0"/>
  </c:chart>
  <c:spPr>
    <a:solidFill>
      <a:schemeClr val="lt1"/>
    </a:solidFill>
    <a:ln>
      <a:noFill/>
    </a:ln>
    <a:effectLst/>
  </c:spPr>
  <c:txPr>
    <a:bodyPr/>
    <a:lstStyle/>
    <a:p>
      <a:pPr>
        <a:defRPr sz="793" b="0" i="0" u="none" strike="noStrike" baseline="0">
          <a:solidFill>
            <a:srgbClr val="000000"/>
          </a:solidFill>
          <a:latin typeface="Calibri"/>
          <a:ea typeface="Calibri"/>
          <a:cs typeface="Calibri"/>
        </a:defRPr>
      </a:pPr>
      <a:endParaRPr lang="ro-R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0281030444964872"/>
          <c:y val="1.8691588785046728E-2"/>
        </c:manualLayout>
      </c:layout>
      <c:overlay val="0"/>
      <c:spPr>
        <a:noFill/>
        <a:ln w="24730">
          <a:noFill/>
        </a:ln>
      </c:spPr>
      <c:txPr>
        <a:bodyPr/>
        <a:lstStyle/>
        <a:p>
          <a:pPr>
            <a:defRPr sz="974" b="0" i="0" u="none" strike="noStrike" baseline="0">
              <a:solidFill>
                <a:srgbClr val="000000"/>
              </a:solidFill>
              <a:latin typeface="Arial Narrow"/>
              <a:ea typeface="Arial Narrow"/>
              <a:cs typeface="Arial Narrow"/>
            </a:defRPr>
          </a:pPr>
          <a:endParaRPr lang="ro-RO"/>
        </a:p>
      </c:txPr>
    </c:title>
    <c:autoTitleDeleted val="0"/>
    <c:plotArea>
      <c:layout>
        <c:manualLayout>
          <c:layoutTarget val="inner"/>
          <c:xMode val="edge"/>
          <c:yMode val="edge"/>
          <c:x val="4.6838407494145202E-2"/>
          <c:y val="0.21495327102803738"/>
          <c:w val="0.92037470725995318"/>
          <c:h val="0.37383177570093457"/>
        </c:manualLayout>
      </c:layout>
      <c:barChart>
        <c:barDir val="col"/>
        <c:grouping val="clustered"/>
        <c:varyColors val="0"/>
        <c:ser>
          <c:idx val="0"/>
          <c:order val="0"/>
          <c:tx>
            <c:strRef>
              <c:f>Sheet3!$H$19</c:f>
              <c:strCache>
                <c:ptCount val="1"/>
                <c:pt idx="0">
                  <c:v>parti interesate afectate</c:v>
                </c:pt>
              </c:strCache>
            </c:strRef>
          </c:tx>
          <c:invertIfNegative val="0"/>
          <c:dLbls>
            <c:spPr>
              <a:noFill/>
              <a:ln w="2473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Sheet3!$I$18:$U$18</c:f>
              <c:strCache>
                <c:ptCount val="13"/>
                <c:pt idx="0">
                  <c:v>Marsa</c:v>
                </c:pt>
                <c:pt idx="1">
                  <c:v>Gratia</c:v>
                </c:pt>
                <c:pt idx="2">
                  <c:v>Barla</c:v>
                </c:pt>
                <c:pt idx="3">
                  <c:v>Potcoava</c:v>
                </c:pt>
                <c:pt idx="4">
                  <c:v>Gusoieni</c:v>
                </c:pt>
                <c:pt idx="5">
                  <c:v>Maciuca</c:v>
                </c:pt>
                <c:pt idx="6">
                  <c:v>Balanesti</c:v>
                </c:pt>
                <c:pt idx="7">
                  <c:v>Turcinesti</c:v>
                </c:pt>
                <c:pt idx="8">
                  <c:v>Totesti</c:v>
                </c:pt>
                <c:pt idx="9">
                  <c:v>Bautar</c:v>
                </c:pt>
                <c:pt idx="10">
                  <c:v>Obreja</c:v>
                </c:pt>
                <c:pt idx="11">
                  <c:v>Costeiu</c:v>
                </c:pt>
                <c:pt idx="12">
                  <c:v>Total</c:v>
                </c:pt>
              </c:strCache>
            </c:strRef>
          </c:cat>
          <c:val>
            <c:numRef>
              <c:f>Sheet3!$I$19:$U$19</c:f>
            </c:numRef>
          </c:val>
        </c:ser>
        <c:ser>
          <c:idx val="1"/>
          <c:order val="1"/>
          <c:tx>
            <c:strRef>
              <c:f>Sheet3!$H$20</c:f>
              <c:strCache>
                <c:ptCount val="1"/>
                <c:pt idx="0">
                  <c:v>parti relevante afectate</c:v>
                </c:pt>
              </c:strCache>
            </c:strRef>
          </c:tx>
          <c:invertIfNegative val="0"/>
          <c:dLbls>
            <c:spPr>
              <a:noFill/>
              <a:ln w="2473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Sheet3!$I$18:$U$18</c:f>
              <c:strCache>
                <c:ptCount val="13"/>
                <c:pt idx="0">
                  <c:v>Marsa</c:v>
                </c:pt>
                <c:pt idx="1">
                  <c:v>Gratia</c:v>
                </c:pt>
                <c:pt idx="2">
                  <c:v>Barla</c:v>
                </c:pt>
                <c:pt idx="3">
                  <c:v>Potcoava</c:v>
                </c:pt>
                <c:pt idx="4">
                  <c:v>Gusoieni</c:v>
                </c:pt>
                <c:pt idx="5">
                  <c:v>Maciuca</c:v>
                </c:pt>
                <c:pt idx="6">
                  <c:v>Balanesti</c:v>
                </c:pt>
                <c:pt idx="7">
                  <c:v>Turcinesti</c:v>
                </c:pt>
                <c:pt idx="8">
                  <c:v>Totesti</c:v>
                </c:pt>
                <c:pt idx="9">
                  <c:v>Bautar</c:v>
                </c:pt>
                <c:pt idx="10">
                  <c:v>Obreja</c:v>
                </c:pt>
                <c:pt idx="11">
                  <c:v>Costeiu</c:v>
                </c:pt>
                <c:pt idx="12">
                  <c:v>Total</c:v>
                </c:pt>
              </c:strCache>
            </c:strRef>
          </c:cat>
          <c:val>
            <c:numRef>
              <c:f>Sheet3!$I$20:$U$20</c:f>
            </c:numRef>
          </c:val>
        </c:ser>
        <c:ser>
          <c:idx val="2"/>
          <c:order val="2"/>
          <c:tx>
            <c:strRef>
              <c:f>Sheet3!$H$21</c:f>
              <c:strCache>
                <c:ptCount val="1"/>
                <c:pt idx="0">
                  <c:v>echipa Transgaz</c:v>
                </c:pt>
              </c:strCache>
            </c:strRef>
          </c:tx>
          <c:spPr>
            <a:solidFill>
              <a:srgbClr val="92D050"/>
            </a:solidFill>
          </c:spPr>
          <c:invertIfNegative val="0"/>
          <c:dLbls>
            <c:spPr>
              <a:noFill/>
              <a:ln w="2473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Sheet3!$I$18:$U$18</c:f>
              <c:strCache>
                <c:ptCount val="13"/>
                <c:pt idx="0">
                  <c:v>Marsa</c:v>
                </c:pt>
                <c:pt idx="1">
                  <c:v>Gratia</c:v>
                </c:pt>
                <c:pt idx="2">
                  <c:v>Barla</c:v>
                </c:pt>
                <c:pt idx="3">
                  <c:v>Potcoava</c:v>
                </c:pt>
                <c:pt idx="4">
                  <c:v>Gusoieni</c:v>
                </c:pt>
                <c:pt idx="5">
                  <c:v>Maciuca</c:v>
                </c:pt>
                <c:pt idx="6">
                  <c:v>Balanesti</c:v>
                </c:pt>
                <c:pt idx="7">
                  <c:v>Turcinesti</c:v>
                </c:pt>
                <c:pt idx="8">
                  <c:v>Totesti</c:v>
                </c:pt>
                <c:pt idx="9">
                  <c:v>Bautar</c:v>
                </c:pt>
                <c:pt idx="10">
                  <c:v>Obreja</c:v>
                </c:pt>
                <c:pt idx="11">
                  <c:v>Costeiu</c:v>
                </c:pt>
                <c:pt idx="12">
                  <c:v>Total</c:v>
                </c:pt>
              </c:strCache>
            </c:strRef>
          </c:cat>
          <c:val>
            <c:numRef>
              <c:f>Sheet3!$I$21:$U$21</c:f>
              <c:numCache>
                <c:formatCode>General</c:formatCode>
                <c:ptCount val="13"/>
                <c:pt idx="0">
                  <c:v>16</c:v>
                </c:pt>
                <c:pt idx="1">
                  <c:v>17</c:v>
                </c:pt>
                <c:pt idx="2">
                  <c:v>14</c:v>
                </c:pt>
                <c:pt idx="3">
                  <c:v>16</c:v>
                </c:pt>
                <c:pt idx="4">
                  <c:v>18</c:v>
                </c:pt>
                <c:pt idx="5">
                  <c:v>22</c:v>
                </c:pt>
                <c:pt idx="6">
                  <c:v>21</c:v>
                </c:pt>
                <c:pt idx="7">
                  <c:v>22</c:v>
                </c:pt>
                <c:pt idx="8">
                  <c:v>22</c:v>
                </c:pt>
                <c:pt idx="9">
                  <c:v>23</c:v>
                </c:pt>
                <c:pt idx="10">
                  <c:v>23</c:v>
                </c:pt>
                <c:pt idx="11">
                  <c:v>22</c:v>
                </c:pt>
                <c:pt idx="12">
                  <c:v>236</c:v>
                </c:pt>
              </c:numCache>
            </c:numRef>
          </c:val>
        </c:ser>
        <c:dLbls>
          <c:showLegendKey val="0"/>
          <c:showVal val="1"/>
          <c:showCatName val="0"/>
          <c:showSerName val="0"/>
          <c:showPercent val="0"/>
          <c:showBubbleSize val="0"/>
        </c:dLbls>
        <c:gapWidth val="150"/>
        <c:overlap val="-25"/>
        <c:axId val="1377876112"/>
        <c:axId val="1377869040"/>
      </c:barChart>
      <c:catAx>
        <c:axId val="1377876112"/>
        <c:scaling>
          <c:orientation val="minMax"/>
        </c:scaling>
        <c:delete val="0"/>
        <c:axPos val="b"/>
        <c:numFmt formatCode="General" sourceLinked="0"/>
        <c:majorTickMark val="none"/>
        <c:minorTickMark val="none"/>
        <c:tickLblPos val="nextTo"/>
        <c:crossAx val="1377869040"/>
        <c:crosses val="autoZero"/>
        <c:auto val="1"/>
        <c:lblAlgn val="ctr"/>
        <c:lblOffset val="100"/>
        <c:noMultiLvlLbl val="0"/>
      </c:catAx>
      <c:valAx>
        <c:axId val="1377869040"/>
        <c:scaling>
          <c:orientation val="minMax"/>
        </c:scaling>
        <c:delete val="1"/>
        <c:axPos val="l"/>
        <c:numFmt formatCode="General" sourceLinked="1"/>
        <c:majorTickMark val="out"/>
        <c:minorTickMark val="none"/>
        <c:tickLblPos val="nextTo"/>
        <c:crossAx val="1377876112"/>
        <c:crosses val="autoZero"/>
        <c:crossBetween val="between"/>
      </c:valAx>
    </c:plotArea>
    <c:legend>
      <c:legendPos val="r"/>
      <c:layout>
        <c:manualLayout>
          <c:xMode val="edge"/>
          <c:yMode val="edge"/>
          <c:x val="0.36533957845433257"/>
          <c:y val="0.85981308411214952"/>
          <c:w val="0.26463700234192039"/>
          <c:h val="0.10280373831775701"/>
        </c:manualLayout>
      </c:layout>
      <c:overlay val="0"/>
    </c:legend>
    <c:plotVisOnly val="1"/>
    <c:dispBlanksAs val="gap"/>
    <c:showDLblsOverMax val="0"/>
  </c:chart>
  <c:spPr>
    <a:ln>
      <a:noFill/>
    </a:ln>
  </c:spPr>
  <c:txPr>
    <a:bodyPr/>
    <a:lstStyle/>
    <a:p>
      <a:pPr>
        <a:defRPr>
          <a:latin typeface="Arial Narrow" panose="020B0606020202030204" pitchFamily="34" charset="0"/>
        </a:defRPr>
      </a:pPr>
      <a:endParaRPr lang="ro-RO"/>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7717"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7717" cap="flat" cmpd="sng" algn="ctr">
                <a:solidFill>
                  <a:schemeClr val="accent2">
                    <a:shade val="95000"/>
                  </a:schemeClr>
                </a:solidFill>
                <a:round/>
              </a:ln>
              <a:effectLst/>
            </c:spPr>
          </c:dPt>
          <c:dLbls>
            <c:spPr>
              <a:noFill/>
              <a:ln w="20577">
                <a:noFill/>
              </a:ln>
            </c:spPr>
            <c:txPr>
              <a:bodyPr wrap="square" lIns="38100" tIns="19050" rIns="38100" bIns="19050" anchor="ctr">
                <a:spAutoFit/>
              </a:bodyPr>
              <a:lstStyle/>
              <a:p>
                <a:pPr>
                  <a:defRPr sz="729" b="0" i="0" u="none" strike="noStrike" baseline="0">
                    <a:solidFill>
                      <a:srgbClr val="333333"/>
                    </a:solidFill>
                    <a:latin typeface="Calibri"/>
                    <a:ea typeface="Calibri"/>
                    <a:cs typeface="Calibri"/>
                  </a:defRPr>
                </a:pPr>
                <a:endParaRPr lang="ro-RO"/>
              </a:p>
            </c:txPr>
            <c:showLegendKey val="0"/>
            <c:showVal val="1"/>
            <c:showCatName val="0"/>
            <c:showSerName val="0"/>
            <c:showPercent val="0"/>
            <c:showBubbleSize val="0"/>
            <c:showLeaderLines val="1"/>
            <c:leaderLines>
              <c:spPr>
                <a:ln w="7717">
                  <a:solidFill>
                    <a:schemeClr val="tx1">
                      <a:lumMod val="35000"/>
                      <a:lumOff val="65000"/>
                    </a:schemeClr>
                  </a:solidFill>
                </a:ln>
                <a:effectLst/>
              </c:spPr>
            </c:leaderLines>
            <c:extLst>
              <c:ext xmlns:c15="http://schemas.microsoft.com/office/drawing/2012/chart" uri="{CE6537A1-D6FC-4f65-9D91-7224C49458BB}"/>
            </c:extLst>
          </c:dLbls>
          <c:cat>
            <c:strRef>
              <c:f>Sheet2!$B$9:$B$10</c:f>
              <c:strCache>
                <c:ptCount val="2"/>
                <c:pt idx="0">
                  <c:v>parti interesate afectate</c:v>
                </c:pt>
                <c:pt idx="1">
                  <c:v>parti relevante afectate</c:v>
                </c:pt>
              </c:strCache>
            </c:strRef>
          </c:cat>
          <c:val>
            <c:numRef>
              <c:f>Sheet2!$C$9:$C$10</c:f>
              <c:numCache>
                <c:formatCode>General</c:formatCode>
                <c:ptCount val="2"/>
                <c:pt idx="0">
                  <c:v>507</c:v>
                </c:pt>
                <c:pt idx="1">
                  <c:v>2</c:v>
                </c:pt>
              </c:numCache>
            </c:numRef>
          </c:val>
        </c:ser>
        <c:dLbls>
          <c:showLegendKey val="0"/>
          <c:showVal val="0"/>
          <c:showCatName val="0"/>
          <c:showSerName val="0"/>
          <c:showPercent val="0"/>
          <c:showBubbleSize val="0"/>
          <c:showLeaderLines val="1"/>
        </c:dLbls>
        <c:firstSliceAng val="0"/>
      </c:pieChart>
      <c:spPr>
        <a:noFill/>
        <a:ln w="20577">
          <a:noFill/>
        </a:ln>
      </c:spPr>
    </c:plotArea>
    <c:legend>
      <c:legendPos val="b"/>
      <c:overlay val="0"/>
      <c:spPr>
        <a:noFill/>
        <a:ln w="20577">
          <a:noFill/>
        </a:ln>
      </c:spPr>
      <c:txPr>
        <a:bodyPr/>
        <a:lstStyle/>
        <a:p>
          <a:pPr>
            <a:defRPr sz="668" b="0" i="0" u="none" strike="noStrike" baseline="0">
              <a:solidFill>
                <a:srgbClr val="808080"/>
              </a:solidFill>
              <a:latin typeface="Calibri"/>
              <a:ea typeface="Calibri"/>
              <a:cs typeface="Calibri"/>
            </a:defRPr>
          </a:pPr>
          <a:endParaRPr lang="ro-RO"/>
        </a:p>
      </c:txPr>
    </c:legend>
    <c:plotVisOnly val="1"/>
    <c:dispBlanksAs val="gap"/>
    <c:showDLblsOverMax val="0"/>
  </c:chart>
  <c:spPr>
    <a:solidFill>
      <a:schemeClr val="bg1"/>
    </a:solidFill>
    <a:ln>
      <a:noFill/>
    </a:ln>
    <a:effectLst/>
  </c:spPr>
  <c:txPr>
    <a:bodyPr/>
    <a:lstStyle/>
    <a:p>
      <a:pPr>
        <a:defRPr sz="729" b="0" i="0" u="none" strike="noStrike" baseline="0">
          <a:solidFill>
            <a:srgbClr val="000000"/>
          </a:solidFill>
          <a:latin typeface="Calibri"/>
          <a:ea typeface="Calibri"/>
          <a:cs typeface="Calibri"/>
        </a:defRPr>
      </a:pPr>
      <a:endParaRPr lang="ro-RO"/>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w="19156">
                <a:noFill/>
              </a:ln>
            </c:spPr>
            <c:txPr>
              <a:bodyPr wrap="square" lIns="38100" tIns="19050" rIns="38100" bIns="19050" anchor="ctr">
                <a:spAutoFit/>
              </a:bodyPr>
              <a:lstStyle/>
              <a:p>
                <a:pPr>
                  <a:defRPr sz="679" b="0" i="0" u="none" strike="noStrike" baseline="0">
                    <a:solidFill>
                      <a:srgbClr val="333399"/>
                    </a:solidFill>
                    <a:latin typeface="Calibri"/>
                    <a:ea typeface="Calibri"/>
                    <a:cs typeface="Calibri"/>
                  </a:defRPr>
                </a:pPr>
                <a:endParaRPr lang="ro-RO"/>
              </a:p>
            </c:txPr>
            <c:showLegendKey val="0"/>
            <c:showVal val="1"/>
            <c:showCatName val="0"/>
            <c:showSerName val="0"/>
            <c:showPercent val="0"/>
            <c:showBubbleSize val="0"/>
            <c:showLeaderLines val="1"/>
            <c:leaderLines>
              <c:spPr>
                <a:ln w="7183">
                  <a:solidFill>
                    <a:schemeClr val="tx2">
                      <a:lumMod val="35000"/>
                      <a:lumOff val="65000"/>
                    </a:schemeClr>
                  </a:solidFill>
                </a:ln>
                <a:effectLst/>
              </c:spPr>
            </c:leaderLines>
            <c:extLst>
              <c:ext xmlns:c15="http://schemas.microsoft.com/office/drawing/2012/chart" uri="{CE6537A1-D6FC-4f65-9D91-7224C49458BB}"/>
            </c:extLst>
          </c:dLbls>
          <c:cat>
            <c:strRef>
              <c:f>Sheet3!$C$3:$E$3</c:f>
              <c:strCache>
                <c:ptCount val="3"/>
                <c:pt idx="0">
                  <c:v>femei</c:v>
                </c:pt>
                <c:pt idx="1">
                  <c:v>barbati</c:v>
                </c:pt>
                <c:pt idx="2">
                  <c:v>total participanti</c:v>
                </c:pt>
              </c:strCache>
            </c:strRef>
          </c:cat>
          <c:val>
            <c:numRef>
              <c:f>Sheet3!$C$4:$E$4</c:f>
              <c:numCache>
                <c:formatCode>General</c:formatCode>
                <c:ptCount val="3"/>
                <c:pt idx="0">
                  <c:v>141</c:v>
                </c:pt>
                <c:pt idx="1">
                  <c:v>368</c:v>
                </c:pt>
                <c:pt idx="2">
                  <c:v>509</c:v>
                </c:pt>
              </c:numCache>
            </c:numRef>
          </c:val>
        </c:ser>
        <c:dLbls>
          <c:showLegendKey val="0"/>
          <c:showVal val="0"/>
          <c:showCatName val="0"/>
          <c:showSerName val="0"/>
          <c:showPercent val="0"/>
          <c:showBubbleSize val="0"/>
          <c:showLeaderLines val="1"/>
        </c:dLbls>
        <c:firstSliceAng val="0"/>
      </c:pieChart>
      <c:spPr>
        <a:noFill/>
        <a:ln w="19156">
          <a:noFill/>
        </a:ln>
      </c:spPr>
    </c:plotArea>
    <c:legend>
      <c:legendPos val="b"/>
      <c:overlay val="0"/>
      <c:spPr>
        <a:noFill/>
        <a:ln w="19156">
          <a:noFill/>
        </a:ln>
      </c:spPr>
      <c:txPr>
        <a:bodyPr/>
        <a:lstStyle/>
        <a:p>
          <a:pPr>
            <a:defRPr sz="622" b="0" i="0" u="none" strike="noStrike" baseline="0">
              <a:solidFill>
                <a:srgbClr val="333399"/>
              </a:solidFill>
              <a:latin typeface="Calibri"/>
              <a:ea typeface="Calibri"/>
              <a:cs typeface="Calibri"/>
            </a:defRPr>
          </a:pPr>
          <a:endParaRPr lang="ro-RO"/>
        </a:p>
      </c:txPr>
    </c:legend>
    <c:plotVisOnly val="1"/>
    <c:dispBlanksAs val="gap"/>
    <c:showDLblsOverMax val="0"/>
  </c:chart>
  <c:spPr>
    <a:solidFill>
      <a:schemeClr val="bg1"/>
    </a:solidFill>
    <a:ln>
      <a:noFill/>
    </a:ln>
    <a:effectLst/>
  </c:spPr>
  <c:txPr>
    <a:bodyPr/>
    <a:lstStyle/>
    <a:p>
      <a:pPr>
        <a:defRPr sz="679" b="0" i="0" u="none" strike="noStrike" baseline="0">
          <a:solidFill>
            <a:srgbClr val="333399"/>
          </a:solidFill>
          <a:latin typeface="Calibri"/>
          <a:ea typeface="Calibri"/>
          <a:cs typeface="Calibri"/>
        </a:defRPr>
      </a:pPr>
      <a:endParaRPr lang="ro-RO"/>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1"/>
          <c:order val="0"/>
          <c:dPt>
            <c:idx val="0"/>
            <c:bubble3D val="0"/>
            <c:spPr>
              <a:solidFill>
                <a:schemeClr val="accent1"/>
              </a:solidFill>
              <a:ln w="15341">
                <a:solidFill>
                  <a:schemeClr val="lt1"/>
                </a:solidFill>
              </a:ln>
              <a:effectLst/>
            </c:spPr>
          </c:dPt>
          <c:dPt>
            <c:idx val="1"/>
            <c:bubble3D val="0"/>
            <c:spPr>
              <a:solidFill>
                <a:schemeClr val="accent2"/>
              </a:solidFill>
              <a:ln w="15341">
                <a:solidFill>
                  <a:schemeClr val="lt1"/>
                </a:solidFill>
              </a:ln>
              <a:effectLst/>
            </c:spPr>
          </c:dPt>
          <c:dPt>
            <c:idx val="2"/>
            <c:bubble3D val="0"/>
            <c:spPr>
              <a:solidFill>
                <a:schemeClr val="accent3"/>
              </a:solidFill>
              <a:ln w="15341">
                <a:solidFill>
                  <a:schemeClr val="lt1"/>
                </a:solidFill>
              </a:ln>
              <a:effectLst/>
            </c:spPr>
          </c:dPt>
          <c:dLbls>
            <c:spPr>
              <a:noFill/>
              <a:ln w="20454">
                <a:noFill/>
              </a:ln>
            </c:spPr>
            <c:txPr>
              <a:bodyPr wrap="square" lIns="38100" tIns="19050" rIns="38100" bIns="19050" anchor="ctr">
                <a:spAutoFit/>
              </a:bodyPr>
              <a:lstStyle/>
              <a:p>
                <a:pPr>
                  <a:defRPr sz="725" b="0" i="0" u="none" strike="noStrike" baseline="0">
                    <a:solidFill>
                      <a:srgbClr val="333333"/>
                    </a:solidFill>
                    <a:latin typeface="Calibri"/>
                    <a:ea typeface="Calibri"/>
                    <a:cs typeface="Calibri"/>
                  </a:defRPr>
                </a:pPr>
                <a:endParaRPr lang="ro-RO"/>
              </a:p>
            </c:txPr>
            <c:showLegendKey val="0"/>
            <c:showVal val="1"/>
            <c:showCatName val="0"/>
            <c:showSerName val="0"/>
            <c:showPercent val="0"/>
            <c:showBubbleSize val="0"/>
            <c:showLeaderLines val="1"/>
            <c:leaderLines>
              <c:spPr>
                <a:ln w="7670"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Sheet3!$C$3:$E$3</c:f>
              <c:strCache>
                <c:ptCount val="3"/>
                <c:pt idx="0">
                  <c:v>femei</c:v>
                </c:pt>
                <c:pt idx="1">
                  <c:v>barbati</c:v>
                </c:pt>
                <c:pt idx="2">
                  <c:v>total participanti</c:v>
                </c:pt>
              </c:strCache>
            </c:strRef>
          </c:cat>
          <c:val>
            <c:numRef>
              <c:f>Sheet3!$C$5:$E$5</c:f>
              <c:numCache>
                <c:formatCode>0%</c:formatCode>
                <c:ptCount val="3"/>
                <c:pt idx="0">
                  <c:v>0.27701375245579568</c:v>
                </c:pt>
                <c:pt idx="1">
                  <c:v>0.72298624754420437</c:v>
                </c:pt>
                <c:pt idx="2">
                  <c:v>1</c:v>
                </c:pt>
              </c:numCache>
            </c:numRef>
          </c:val>
        </c:ser>
        <c:dLbls>
          <c:showLegendKey val="0"/>
          <c:showVal val="0"/>
          <c:showCatName val="0"/>
          <c:showSerName val="0"/>
          <c:showPercent val="0"/>
          <c:showBubbleSize val="0"/>
          <c:showLeaderLines val="1"/>
        </c:dLbls>
        <c:firstSliceAng val="0"/>
      </c:pieChart>
      <c:spPr>
        <a:noFill/>
        <a:ln w="20454">
          <a:noFill/>
        </a:ln>
      </c:spPr>
    </c:plotArea>
    <c:legend>
      <c:legendPos val="b"/>
      <c:overlay val="0"/>
      <c:spPr>
        <a:noFill/>
        <a:ln w="20454">
          <a:noFill/>
        </a:ln>
      </c:spPr>
      <c:txPr>
        <a:bodyPr/>
        <a:lstStyle/>
        <a:p>
          <a:pPr>
            <a:defRPr sz="664" b="0" i="0" u="none" strike="noStrike" baseline="0">
              <a:solidFill>
                <a:srgbClr val="333333"/>
              </a:solidFill>
              <a:latin typeface="Calibri"/>
              <a:ea typeface="Calibri"/>
              <a:cs typeface="Calibri"/>
            </a:defRPr>
          </a:pPr>
          <a:endParaRPr lang="ro-RO"/>
        </a:p>
      </c:txPr>
    </c:legend>
    <c:plotVisOnly val="1"/>
    <c:dispBlanksAs val="gap"/>
    <c:showDLblsOverMax val="0"/>
  </c:chart>
  <c:spPr>
    <a:solidFill>
      <a:schemeClr val="bg1"/>
    </a:solidFill>
    <a:ln>
      <a:noFill/>
    </a:ln>
    <a:effectLst/>
  </c:spPr>
  <c:txPr>
    <a:bodyPr/>
    <a:lstStyle/>
    <a:p>
      <a:pPr>
        <a:defRPr sz="725" b="0" i="0" u="none" strike="noStrike" baseline="0">
          <a:solidFill>
            <a:srgbClr val="000000"/>
          </a:solidFill>
          <a:latin typeface="Calibri"/>
          <a:ea typeface="Calibri"/>
          <a:cs typeface="Calibri"/>
        </a:defRPr>
      </a:pPr>
      <a:endParaRPr lang="ro-RO"/>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o-RO"/>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Sheet3!$C$6:$E$6</c:f>
              <c:strCache>
                <c:ptCount val="3"/>
                <c:pt idx="0">
                  <c:v>&lt;40 ani</c:v>
                </c:pt>
                <c:pt idx="1">
                  <c:v>&gt;40 ani</c:v>
                </c:pt>
                <c:pt idx="2">
                  <c:v>total participanti</c:v>
                </c:pt>
              </c:strCache>
            </c:strRef>
          </c:cat>
          <c:val>
            <c:numRef>
              <c:f>Sheet3!$C$7:$E$7</c:f>
              <c:numCache>
                <c:formatCode>General</c:formatCode>
                <c:ptCount val="3"/>
                <c:pt idx="0">
                  <c:v>148</c:v>
                </c:pt>
                <c:pt idx="1">
                  <c:v>361</c:v>
                </c:pt>
                <c:pt idx="2">
                  <c:v>509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o-RO"/>
        </a:p>
      </c:txPr>
    </c:legend>
    <c:plotVisOnly val="1"/>
    <c:dispBlanksAs val="gap"/>
    <c:showDLblsOverMax val="0"/>
  </c:chart>
  <c:spPr>
    <a:solidFill>
      <a:schemeClr val="bg1"/>
    </a:solidFill>
    <a:ln>
      <a:noFill/>
    </a:ln>
    <a:effectLst/>
  </c:spPr>
  <c:txPr>
    <a:bodyPr/>
    <a:lstStyle/>
    <a:p>
      <a:pPr>
        <a:defRPr/>
      </a:pPr>
      <a:endParaRPr lang="ro-RO"/>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1"/>
          <c:order val="0"/>
          <c:dPt>
            <c:idx val="0"/>
            <c:bubble3D val="0"/>
            <c:spPr>
              <a:solidFill>
                <a:schemeClr val="accent1"/>
              </a:solidFill>
              <a:ln w="19048">
                <a:solidFill>
                  <a:schemeClr val="lt1"/>
                </a:solidFill>
              </a:ln>
              <a:effectLst/>
            </c:spPr>
          </c:dPt>
          <c:dPt>
            <c:idx val="1"/>
            <c:bubble3D val="0"/>
            <c:spPr>
              <a:solidFill>
                <a:schemeClr val="accent2"/>
              </a:solidFill>
              <a:ln w="19048">
                <a:solidFill>
                  <a:schemeClr val="lt1"/>
                </a:solidFill>
              </a:ln>
              <a:effectLst/>
            </c:spPr>
          </c:dPt>
          <c:dPt>
            <c:idx val="2"/>
            <c:bubble3D val="0"/>
            <c:spPr>
              <a:solidFill>
                <a:schemeClr val="accent3"/>
              </a:solidFill>
              <a:ln w="19048">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1"/>
            <c:leaderLines>
              <c:spPr>
                <a:ln w="952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Sheet3!$C$6:$E$6</c:f>
              <c:strCache>
                <c:ptCount val="3"/>
                <c:pt idx="0">
                  <c:v>&lt;40 ani</c:v>
                </c:pt>
                <c:pt idx="1">
                  <c:v>&gt;40 ani</c:v>
                </c:pt>
                <c:pt idx="2">
                  <c:v>total participanti</c:v>
                </c:pt>
              </c:strCache>
            </c:strRef>
          </c:cat>
          <c:val>
            <c:numRef>
              <c:f>Sheet3!$C$8:$E$8</c:f>
              <c:numCache>
                <c:formatCode>0%</c:formatCode>
                <c:ptCount val="3"/>
                <c:pt idx="0">
                  <c:v>0.29076620825147348</c:v>
                </c:pt>
                <c:pt idx="1">
                  <c:v>0.70923379174852652</c:v>
                </c:pt>
                <c:pt idx="2">
                  <c:v>1</c:v>
                </c:pt>
              </c:numCache>
            </c:numRef>
          </c:val>
        </c:ser>
        <c:dLbls>
          <c:showLegendKey val="0"/>
          <c:showVal val="0"/>
          <c:showCatName val="0"/>
          <c:showSerName val="0"/>
          <c:showPercent val="0"/>
          <c:showBubbleSize val="0"/>
          <c:showLeaderLines val="1"/>
        </c:dLbls>
        <c:firstSliceAng val="0"/>
      </c:pieChart>
      <c:spPr>
        <a:noFill/>
        <a:ln w="2539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a:noFill/>
    </a:ln>
    <a:effectLst/>
  </c:spPr>
  <c:txPr>
    <a:bodyPr/>
    <a:lstStyle/>
    <a:p>
      <a:pPr>
        <a:defRPr/>
      </a:pPr>
      <a:endParaRPr lang="ro-RO"/>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3E4F-7E4D-4B6A-883C-784244F9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4713</Words>
  <Characters>27340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Elisabeta Ghidiu</dc:creator>
  <cp:keywords/>
  <dc:description/>
  <cp:lastModifiedBy>Cornel Mihai</cp:lastModifiedBy>
  <cp:revision>58</cp:revision>
  <cp:lastPrinted>2016-12-03T09:30:00Z</cp:lastPrinted>
  <dcterms:created xsi:type="dcterms:W3CDTF">2016-12-05T15:13:00Z</dcterms:created>
  <dcterms:modified xsi:type="dcterms:W3CDTF">2017-02-13T08:32:00Z</dcterms:modified>
</cp:coreProperties>
</file>