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6383"/>
        <w:gridCol w:w="6521"/>
      </w:tblGrid>
      <w:tr w:rsidR="002B3E57" w:rsidRPr="00BC2E10" w:rsidTr="007D10F9">
        <w:trPr>
          <w:trHeight w:val="735"/>
        </w:trPr>
        <w:tc>
          <w:tcPr>
            <w:tcW w:w="13462" w:type="dxa"/>
            <w:gridSpan w:val="3"/>
            <w:shd w:val="clear" w:color="auto" w:fill="D9E2F3" w:themeFill="accent1" w:themeFillTint="33"/>
          </w:tcPr>
          <w:p w:rsidR="001C4D35" w:rsidRPr="007D10F9" w:rsidRDefault="002B3E57" w:rsidP="001C4D35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D10F9"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  <w:t>FORMULAR DE PROPUNERE TEHNICĂ</w:t>
            </w:r>
          </w:p>
          <w:p w:rsidR="001C4D35" w:rsidRPr="007D10F9" w:rsidRDefault="001C4D35" w:rsidP="001C4D35">
            <w:pPr>
              <w:tabs>
                <w:tab w:val="left" w:pos="3840"/>
              </w:tabs>
              <w:spacing w:after="0"/>
              <w:jc w:val="center"/>
              <w:rPr>
                <w:rFonts w:ascii="Segoe UI" w:hAnsi="Segoe UI" w:cs="Segoe UI"/>
                <w:i/>
                <w:sz w:val="24"/>
                <w:szCs w:val="24"/>
                <w:lang w:val="ro-RO"/>
              </w:rPr>
            </w:pPr>
            <w:r w:rsidRPr="007D10F9">
              <w:rPr>
                <w:rFonts w:ascii="Segoe UI" w:hAnsi="Segoe UI" w:cs="Segoe UI"/>
                <w:i/>
                <w:sz w:val="24"/>
                <w:szCs w:val="24"/>
                <w:lang w:val="ro-RO"/>
              </w:rPr>
              <w:t xml:space="preserve">privind achiziția </w:t>
            </w:r>
            <w:bookmarkStart w:id="0" w:name="_Hlk188436727"/>
            <w:r w:rsidRPr="007D10F9">
              <w:rPr>
                <w:rFonts w:ascii="Segoe UI" w:hAnsi="Segoe UI" w:cs="Segoe UI"/>
                <w:i/>
                <w:sz w:val="24"/>
                <w:szCs w:val="24"/>
                <w:lang w:val="ro-RO"/>
              </w:rPr>
              <w:t>serviciilor</w:t>
            </w:r>
            <w:r w:rsidRPr="007D10F9">
              <w:rPr>
                <w:rFonts w:ascii="Segoe UI" w:eastAsia="Arial Narrow" w:hAnsi="Segoe UI" w:cs="Segoe UI"/>
                <w:bCs/>
                <w:i/>
                <w:sz w:val="24"/>
                <w:szCs w:val="24"/>
                <w:lang w:val="ro-RO" w:eastAsia="ro-RO" w:bidi="ro-RO"/>
              </w:rPr>
              <w:t xml:space="preserve"> </w:t>
            </w:r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 w:bidi="ro-RO"/>
              </w:rPr>
              <w:t>de curierat, expediere corespondență simplă, timbrată sau francată,</w:t>
            </w:r>
            <w:r w:rsidRPr="007D10F9">
              <w:rPr>
                <w:rFonts w:ascii="Segoe UI" w:hAnsi="Segoe UI" w:cs="Segoe UI"/>
                <w:i/>
                <w:sz w:val="24"/>
                <w:szCs w:val="24"/>
                <w:lang w:val="ro-RO"/>
              </w:rPr>
              <w:t xml:space="preserve"> </w:t>
            </w:r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/>
              </w:rPr>
              <w:t>s</w:t>
            </w:r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 w:bidi="ro-RO"/>
              </w:rPr>
              <w:t xml:space="preserve">ervicii de curierat </w:t>
            </w:r>
            <w:proofErr w:type="spellStart"/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 w:bidi="ro-RO"/>
              </w:rPr>
              <w:t>şi</w:t>
            </w:r>
            <w:proofErr w:type="spellEnd"/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 w:bidi="ro-RO"/>
              </w:rPr>
              <w:t xml:space="preserve"> expediere corespondență cu confirmare de primire, </w:t>
            </w:r>
            <w:r w:rsidRPr="007D10F9">
              <w:rPr>
                <w:rFonts w:ascii="Segoe UI" w:hAnsi="Segoe UI" w:cs="Segoe UI"/>
                <w:i/>
                <w:sz w:val="24"/>
                <w:szCs w:val="24"/>
                <w:lang w:val="ro-RO"/>
              </w:rPr>
              <w:t xml:space="preserve">servicii de </w:t>
            </w:r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/>
              </w:rPr>
              <w:t xml:space="preserve">curierat </w:t>
            </w:r>
            <w:proofErr w:type="spellStart"/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/>
              </w:rPr>
              <w:t>şi</w:t>
            </w:r>
            <w:proofErr w:type="spellEnd"/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/>
              </w:rPr>
              <w:t xml:space="preserve"> </w:t>
            </w:r>
            <w:r w:rsidRPr="007D10F9">
              <w:rPr>
                <w:rFonts w:ascii="Segoe UI" w:hAnsi="Segoe UI" w:cs="Segoe UI"/>
                <w:bCs/>
                <w:i/>
                <w:sz w:val="24"/>
                <w:szCs w:val="24"/>
                <w:lang w:val="ro-RO" w:bidi="ro-RO"/>
              </w:rPr>
              <w:t xml:space="preserve">expediere corespondență în regim de urgență </w:t>
            </w:r>
            <w:bookmarkEnd w:id="0"/>
            <w:r w:rsidRPr="007D10F9">
              <w:rPr>
                <w:rFonts w:ascii="Segoe UI" w:hAnsi="Segoe UI" w:cs="Segoe UI"/>
                <w:i/>
                <w:sz w:val="24"/>
                <w:szCs w:val="24"/>
                <w:lang w:val="ro-RO"/>
              </w:rPr>
              <w:t>pentru 48 luni</w:t>
            </w:r>
          </w:p>
          <w:p w:rsidR="002B3E57" w:rsidRPr="007D10F9" w:rsidRDefault="002B3E57" w:rsidP="00BC2E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CC6894" w:rsidRPr="00BC2E10" w:rsidTr="007D10F9">
        <w:trPr>
          <w:trHeight w:val="360"/>
        </w:trPr>
        <w:tc>
          <w:tcPr>
            <w:tcW w:w="558" w:type="dxa"/>
          </w:tcPr>
          <w:p w:rsidR="00CC6894" w:rsidRPr="007D10F9" w:rsidRDefault="00CC6894" w:rsidP="00BC2E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shd w:val="clear" w:color="auto" w:fill="auto"/>
            <w:hideMark/>
          </w:tcPr>
          <w:p w:rsidR="00CC6894" w:rsidRPr="007D10F9" w:rsidRDefault="00CC6894" w:rsidP="00BC2E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</w:pPr>
            <w:r w:rsidRPr="007D10F9">
              <w:rPr>
                <w:rFonts w:ascii="Segoe UI" w:eastAsia="Times New Roman" w:hAnsi="Segoe UI" w:cs="Segoe UI"/>
                <w:b/>
                <w:bCs/>
                <w:sz w:val="24"/>
                <w:szCs w:val="24"/>
              </w:rPr>
              <w:t>CERINȚE MINIMALE OBLIGATORII SOLICITATE DE ENTITATEA CONTRACTANTĂ</w:t>
            </w:r>
          </w:p>
        </w:tc>
        <w:tc>
          <w:tcPr>
            <w:tcW w:w="6521" w:type="dxa"/>
            <w:shd w:val="clear" w:color="auto" w:fill="auto"/>
            <w:noWrap/>
            <w:hideMark/>
          </w:tcPr>
          <w:p w:rsidR="00CC6894" w:rsidRPr="00BC2E10" w:rsidRDefault="00CC6894" w:rsidP="00BC2E1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 w:rsidRPr="00BC2E10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CARACTERISTICILE OFERTATE</w:t>
            </w:r>
          </w:p>
        </w:tc>
      </w:tr>
      <w:tr w:rsidR="00CC6894" w:rsidRPr="00BC2E10" w:rsidTr="005538F6">
        <w:trPr>
          <w:trHeight w:val="3959"/>
        </w:trPr>
        <w:tc>
          <w:tcPr>
            <w:tcW w:w="558" w:type="dxa"/>
          </w:tcPr>
          <w:p w:rsidR="00CC6894" w:rsidRPr="007D10F9" w:rsidRDefault="003A17B2" w:rsidP="00BC2E10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3" w:type="dxa"/>
            <w:shd w:val="clear" w:color="auto" w:fill="auto"/>
          </w:tcPr>
          <w:p w:rsidR="0097702E" w:rsidRPr="007D10F9" w:rsidRDefault="00D14E7E" w:rsidP="00D14E7E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u w:val="single"/>
              </w:rPr>
            </w:pPr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u w:val="single"/>
                <w:lang w:val="ro-RO" w:eastAsia="ro-RO" w:bidi="ro-RO"/>
              </w:rPr>
              <w:t xml:space="preserve">Servicii de curierat </w:t>
            </w:r>
            <w:proofErr w:type="spellStart"/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u w:val="single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u w:val="single"/>
                <w:lang w:val="ro-RO" w:eastAsia="ro-RO" w:bidi="ro-RO"/>
              </w:rPr>
              <w:t xml:space="preserve"> expediere </w:t>
            </w:r>
            <w:proofErr w:type="spellStart"/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u w:val="single"/>
                <w:lang w:val="ro-RO" w:eastAsia="ro-RO" w:bidi="ro-RO"/>
              </w:rPr>
              <w:t>corespondenţă</w:t>
            </w:r>
            <w:proofErr w:type="spellEnd"/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u w:val="single"/>
                <w:lang w:val="ro-RO" w:eastAsia="ro-RO" w:bidi="ro-RO"/>
              </w:rPr>
              <w:t xml:space="preserve"> simplă, timbrată sau francată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426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Corespondenţa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pregătită în vederea expedierii să ajungă în timp util la destinatar pentru valorificarea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informaţiilor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. Timpul de livrare a acestui tip de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corespondenţă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nu va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depăşi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5 zile de la momentul preluării în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reţeaua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prestatorului.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0" w:firstLine="360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Prestatorul trebuie să asigure preluarea plicurilor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conţinând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corespondenţa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autorităţii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contractante de luni până vineri, în intervalul orar 14:00 - 15:00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să efectueze expedierea la adresele marcate pe acestea, indiferent de numărul de expedieri zilnice/preluarea se face de regulă o singură dată pe zi între orele 14:00-15:00.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0" w:firstLine="360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Plicurile, francate, se vor ridica de la sediile SNTGN TRANSGAZ SA o dată pe zi la o oră prestabilită, zilnic sau doar la solicitarea telefonică a beneficiarului (conform precizărilor din </w:t>
            </w:r>
            <w:r w:rsidR="00BC4DE8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anexe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).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0" w:firstLine="360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Prestatorul va asigura preluarea trimiterilor zilnice, de la sediile al beneficiarului, în baza unui borderou întocmit de către beneficiar. Borderourile întocmite pentru expedierile zilei respective vor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conţine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rubrici pentru toate elementele ce pot identifica o trimitere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poştală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cum ar fi: număr de înregistrare, dată, greutate, adresă destinatar, 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lastRenderedPageBreak/>
              <w:t xml:space="preserve">categorie trimitere etc. Orice documente utilizate de prestator sau formulare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pretipărlte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pentru preluarea trimiterilor vor fi puse la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dispoziţia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beneficiarului cu titlu gratuit.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ind w:left="0" w:firstLine="426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Borderourile zilnice vor fi întocmite în dublu exemplar (câte unul pentru fiecare parte),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ştampilate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semnate atât de reprezentantul prestatorului cât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al beneficiarului.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360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Factura pentru serviciile prestate în luna precedentă, se va întocmi în baza unui borderou centralizator al borderourilor zilnice corespunzătoare lunii respective, acesta fiind anexat la factura emisă. </w:t>
            </w:r>
          </w:p>
          <w:p w:rsidR="00D14E7E" w:rsidRPr="007D10F9" w:rsidRDefault="00D14E7E" w:rsidP="001C4D35">
            <w:pPr>
              <w:widowControl w:val="0"/>
              <w:spacing w:after="0" w:line="240" w:lineRule="auto"/>
              <w:jc w:val="both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C6894" w:rsidRPr="00BC2E10" w:rsidRDefault="00CC6894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BC2E1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D14E7E" w:rsidRPr="00BC2E10" w:rsidTr="007D10F9">
        <w:trPr>
          <w:trHeight w:val="1125"/>
        </w:trPr>
        <w:tc>
          <w:tcPr>
            <w:tcW w:w="558" w:type="dxa"/>
          </w:tcPr>
          <w:p w:rsidR="00D14E7E" w:rsidRPr="007D10F9" w:rsidRDefault="007D10F9" w:rsidP="00BC2E10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3" w:type="dxa"/>
            <w:shd w:val="clear" w:color="auto" w:fill="auto"/>
          </w:tcPr>
          <w:p w:rsidR="00D14E7E" w:rsidRPr="007D10F9" w:rsidRDefault="00D14E7E" w:rsidP="00D14E7E">
            <w:pPr>
              <w:spacing w:after="0" w:line="240" w:lineRule="auto"/>
              <w:rPr>
                <w:rFonts w:ascii="Segoe UI" w:eastAsia="Arial Narrow" w:hAnsi="Segoe UI" w:cs="Segoe UI"/>
                <w:b/>
                <w:color w:val="000000"/>
                <w:sz w:val="24"/>
                <w:szCs w:val="24"/>
                <w:u w:val="single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b/>
                <w:color w:val="000000"/>
                <w:sz w:val="24"/>
                <w:szCs w:val="24"/>
                <w:u w:val="single"/>
                <w:lang w:val="ro-RO" w:eastAsia="ro-RO" w:bidi="ro-RO"/>
              </w:rPr>
              <w:t>Servicii de curierat și expediere corespondență (plicuri, colete, mandate poștale) cu confirmare de primire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Trimiterile care fac obiectul acestui tip de servicii, pregătite în vederea expedierii, se vor ridica de la sediile SNTGN TRANSGAZ SA o dată pe zi la o oră prestabilită, zilnic sau doar la solicitarea telefonică a beneficiarului(conform precizărilor din </w:t>
            </w:r>
            <w:r w:rsidR="00BC4DE8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anexe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).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Prestatorul trebuie să asigure preluarea plicurilor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 coletelor de la autoritatea contractantă de luni până vineri, în intervalul orar 13:00 -15:00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să efectueze expedierea la adresele marcate pe acestea, indiferent de numărul de expedieri zilnice.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Timpul de livrare la destinatar a trimiterilor cu confirmare de primire va fi de maxim 3 zile.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Se va asigura obligatoriu returnarea către beneficiar 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lastRenderedPageBreak/>
              <w:t xml:space="preserve">a dovezii privind predarea trimiterii (confirmarea de primire). Aceasta va fi confirmată în scris (semnată) de către destinatar, împuternicit sau membrilor majori ai familiilor acestora care au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acelaşi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domiciliu sau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reşedinţă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cu a destinatarului.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Documentul prin care se confirmă primirea trimiterii de către destinatar va fi remis la sediul expeditorului în original sau în format electronic, în termen de maxim 5 zile, de la data expedierii.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Dovada predării trimiterii va fi remisă beneficiarului de către Prestator după predarea către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destintar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, cu semnătura destinatarului iar în cazul destinatarilor persoane juridice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cu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ştampila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. Documentul va avea rubrici care să permită înscrierea a cel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puţin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următoarelor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informaţii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:</w:t>
            </w:r>
          </w:p>
          <w:p w:rsidR="001C4D35" w:rsidRPr="007D10F9" w:rsidRDefault="001C4D35" w:rsidP="001C4D35">
            <w:pPr>
              <w:pStyle w:val="ListParagraph"/>
              <w:widowControl w:val="0"/>
              <w:tabs>
                <w:tab w:val="left" w:pos="709"/>
              </w:tabs>
              <w:spacing w:after="0" w:line="240" w:lineRule="auto"/>
              <w:ind w:left="1416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a) Rubrică pentru confirmarea primirii trimiterii de către destinatar care să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menţioneze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cel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puţin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următoarele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informaţii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: loc pentru semnătura destinatarului, data primirii, calitatea primitorului.</w:t>
            </w:r>
          </w:p>
          <w:p w:rsidR="001C4D35" w:rsidRPr="007D10F9" w:rsidRDefault="001C4D35" w:rsidP="001C4D35">
            <w:pPr>
              <w:pStyle w:val="ListParagraph"/>
              <w:widowControl w:val="0"/>
              <w:tabs>
                <w:tab w:val="left" w:pos="567"/>
                <w:tab w:val="left" w:pos="709"/>
              </w:tabs>
              <w:spacing w:after="0" w:line="240" w:lineRule="auto"/>
              <w:ind w:left="1416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b)Rubrică pentru prezentarea motivului pentru care trimiterea nu a fost predată destinatarului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data la care se face returnarea trimiterii.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Dacă livrarea trimiterii nu se poate face la sediul/domiciliul destinatarului prestatorul are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obligaţia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unei noi încercări de livrare în termen de maxim 3 zile de la prima încercare. În cazul în care expedierea nu a putut fi predată destinatarului nici 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lastRenderedPageBreak/>
              <w:t>după a doua încercare de livrare, aceasta va fi returnată expeditorului fără costuri suplimentare.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Pentru trimiterile returnate la expeditor se va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menţiona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r w:rsidRPr="007D10F9"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lang w:val="ro-RO" w:eastAsia="ro-RO" w:bidi="ro-RO"/>
              </w:rPr>
              <w:t xml:space="preserve">motivul nepredării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data la care se face returnarea trimiterii. Predarea trimiterilor retur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 confirmărilor de primire se vor face în baza unui borderou.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Prestatorul va asigura preluarea trimiterilor zilnice, de la sediile al beneficiarului, în baza unui borderou întocmit de către beneficiar. Borderourile întocmite pentru expedierile zilei respective vor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conţine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rubrici pentru toate elementele ce pot identifica o trimitere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poştală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cum ar fi: număr de înregistrare, dată, greutate, adresă destinatar, categorie trimitere etc.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Borderourile zilnice vor fi întocmite în dublu exemplar câte unul pentru fiecare parte),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ştampilate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semnate atât de reprezentantul prestatorului cât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al beneficiarului.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7"/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 Factura pentru serviciile prestate în luna precedentă, se va întocmi în baza unui borderou centralizator al borderourilor zilnice corespunzătoare lunii respective, acesta fiind anexat la factura emisă.</w:t>
            </w:r>
            <w:bookmarkStart w:id="1" w:name="bookmark18"/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67"/>
                <w:tab w:val="left" w:pos="639"/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 Mandate poștale, serviciul constă în primirea, prelucrarea și achitarea către destinatari a contravalorii în lei aferente mandatelor poștale interne prezentate.</w:t>
            </w:r>
          </w:p>
          <w:p w:rsidR="001C4D35" w:rsidRPr="007D10F9" w:rsidRDefault="001C4D35" w:rsidP="001C4D35">
            <w:pPr>
              <w:widowControl w:val="0"/>
              <w:tabs>
                <w:tab w:val="left" w:pos="567"/>
                <w:tab w:val="left" w:pos="639"/>
                <w:tab w:val="left" w:pos="709"/>
              </w:tabs>
              <w:spacing w:after="0" w:line="240" w:lineRule="auto"/>
              <w:ind w:left="639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ab/>
              <w:t xml:space="preserve">Mandatele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postale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interne sunt trimiteri înregistrate prin care PRESTATORUL remite la destinație sumele în lei încredințate de BENEFICIAR.</w:t>
            </w:r>
          </w:p>
          <w:p w:rsidR="001C4D35" w:rsidRPr="007D10F9" w:rsidRDefault="001C4D35" w:rsidP="001C4D35">
            <w:pPr>
              <w:widowControl w:val="0"/>
              <w:tabs>
                <w:tab w:val="left" w:pos="567"/>
                <w:tab w:val="left" w:pos="639"/>
                <w:tab w:val="left" w:pos="709"/>
              </w:tabs>
              <w:spacing w:after="0" w:line="240" w:lineRule="auto"/>
              <w:ind w:left="639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lastRenderedPageBreak/>
              <w:tab/>
              <w:t xml:space="preserve">Achitarea mandatelor poștale începe la data sosirii mandatelor în subunitatea plătitoare și se realizează în cadrul programului de lucru al subunităților plătitoare, de luni până vineri. </w:t>
            </w:r>
          </w:p>
          <w:p w:rsidR="001C4D35" w:rsidRPr="007D10F9" w:rsidRDefault="001C4D35" w:rsidP="001C4D35">
            <w:pPr>
              <w:widowControl w:val="0"/>
              <w:tabs>
                <w:tab w:val="left" w:pos="567"/>
                <w:tab w:val="left" w:pos="639"/>
                <w:tab w:val="left" w:pos="709"/>
              </w:tabs>
              <w:spacing w:after="0" w:line="240" w:lineRule="auto"/>
              <w:ind w:left="639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ab/>
              <w:t>Termenul de păstrare a mandatelor este de 10 (zece) zile calendaristice, de la data primei încercări de achitare.</w:t>
            </w:r>
          </w:p>
          <w:p w:rsidR="001C4D35" w:rsidRPr="007D10F9" w:rsidRDefault="001C4D35" w:rsidP="001C4D35">
            <w:pPr>
              <w:widowControl w:val="0"/>
              <w:tabs>
                <w:tab w:val="left" w:pos="567"/>
                <w:tab w:val="left" w:pos="639"/>
                <w:tab w:val="left" w:pos="709"/>
              </w:tabs>
              <w:spacing w:after="0" w:line="240" w:lineRule="auto"/>
              <w:ind w:left="639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ab/>
              <w:t>Timpul de circulație al mandatelor poștale este de z+5 (unde "z" este data prezentării), calculat în zile lucrătoare.</w:t>
            </w:r>
          </w:p>
          <w:bookmarkEnd w:id="1"/>
          <w:p w:rsidR="00D14E7E" w:rsidRPr="007D10F9" w:rsidRDefault="00D14E7E" w:rsidP="00D14E7E">
            <w:pPr>
              <w:spacing w:after="0" w:line="240" w:lineRule="auto"/>
              <w:rPr>
                <w:rFonts w:ascii="Segoe UI" w:eastAsia="Arial Narrow" w:hAnsi="Segoe UI" w:cs="Segoe UI"/>
                <w:b/>
                <w:bCs/>
                <w:color w:val="000000"/>
                <w:sz w:val="24"/>
                <w:szCs w:val="24"/>
                <w:lang w:val="ro-RO" w:eastAsia="ro-RO" w:bidi="ro-RO"/>
              </w:rPr>
            </w:pP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D14E7E" w:rsidRPr="00BC2E10" w:rsidRDefault="00D14E7E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  <w:tr w:rsidR="00D14E7E" w:rsidRPr="00BC2E10" w:rsidTr="007D10F9">
        <w:trPr>
          <w:trHeight w:val="5235"/>
        </w:trPr>
        <w:tc>
          <w:tcPr>
            <w:tcW w:w="558" w:type="dxa"/>
          </w:tcPr>
          <w:p w:rsidR="00D14E7E" w:rsidRPr="007D10F9" w:rsidRDefault="007D10F9" w:rsidP="00BC2E10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383" w:type="dxa"/>
            <w:shd w:val="clear" w:color="auto" w:fill="auto"/>
          </w:tcPr>
          <w:p w:rsidR="00D14E7E" w:rsidRPr="007D10F9" w:rsidRDefault="001C4D35" w:rsidP="00D14E7E">
            <w:pPr>
              <w:spacing w:after="0" w:line="240" w:lineRule="auto"/>
              <w:rPr>
                <w:rFonts w:ascii="Segoe UI" w:eastAsia="Arial Narrow" w:hAnsi="Segoe UI" w:cs="Segoe UI"/>
                <w:b/>
                <w:color w:val="000000"/>
                <w:sz w:val="24"/>
                <w:szCs w:val="24"/>
                <w:u w:val="single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b/>
                <w:color w:val="000000"/>
                <w:sz w:val="24"/>
                <w:szCs w:val="24"/>
                <w:u w:val="single"/>
                <w:lang w:val="ro-RO" w:eastAsia="ro-RO" w:bidi="ro-RO"/>
              </w:rPr>
              <w:t>S</w:t>
            </w:r>
            <w:r w:rsidR="00D14E7E" w:rsidRPr="007D10F9">
              <w:rPr>
                <w:rFonts w:ascii="Segoe UI" w:eastAsia="Arial Narrow" w:hAnsi="Segoe UI" w:cs="Segoe UI"/>
                <w:b/>
                <w:color w:val="000000"/>
                <w:sz w:val="24"/>
                <w:szCs w:val="24"/>
                <w:u w:val="single"/>
                <w:lang w:val="ro-RO" w:eastAsia="ro-RO" w:bidi="ro-RO"/>
              </w:rPr>
              <w:t>ervicii de curierat și expediere corespondență (plicuri și colete) în regim de urgență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Prestatorul va asigura preluarea plicurilor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 coletelor de la autoritatea contractantă de luni până vineri, în intervalul orar 08:00 - 18:00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sâmbătă în intervalul orar 08:00 -13:00.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Trimiterile care fac obiectul acestui tip de servicii, pregătite în vederea expedierii, se vor ridica de la sediile SNTGN TRANSGAZ SA o dată pe zi, în intervalul orar mai sus amintit, la o oră prestabilită. Dacă ulterior mai există solicitări, expedierile se vor ridica la solicitarea telefonică a beneficiarului.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Timpul de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circulaţie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al acestor trimiteri va fi de maxim 36 de ore pentru orice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destinaţie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de pe teritoriul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naţional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Generarea documentelor de transport aferente trimiterilor se va realiza de către beneficiar în acest sens prestatorul va pune la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dispoziţie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o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aplicaţie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</w:t>
            </w: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lastRenderedPageBreak/>
              <w:t>specializată.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Aplicaţia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specializată va oferi posibilitatea: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709"/>
                <w:tab w:val="left" w:pos="1128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a) de creare/încărcare a borderoului electronic pentru fiecare zi de livrare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709"/>
                <w:tab w:val="left" w:pos="1128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b) de generare și tipărire a documentelor de transport (AWB)</w:t>
            </w:r>
          </w:p>
          <w:p w:rsidR="001C4D35" w:rsidRPr="007D10F9" w:rsidRDefault="001C4D35" w:rsidP="001C4D35">
            <w:pPr>
              <w:pStyle w:val="ListParagraph"/>
              <w:widowControl w:val="0"/>
              <w:numPr>
                <w:ilvl w:val="2"/>
                <w:numId w:val="21"/>
              </w:numPr>
              <w:tabs>
                <w:tab w:val="left" w:pos="709"/>
                <w:tab w:val="left" w:pos="1128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c) de urmărire electronică a trimiterilor înregistrate, expediate de Autoritatea contractantă, începând din momentul intrării acestora în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reţeaua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expeditorului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şi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 xml:space="preserve"> până la finalizarea </w:t>
            </w:r>
            <w:proofErr w:type="spellStart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prestaţiei</w:t>
            </w:r>
            <w:proofErr w:type="spellEnd"/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.</w:t>
            </w:r>
          </w:p>
          <w:p w:rsidR="001C4D35" w:rsidRPr="007D10F9" w:rsidRDefault="001C4D35" w:rsidP="00D14E7E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</w:pPr>
            <w:r w:rsidRPr="007D10F9">
              <w:rPr>
                <w:rFonts w:ascii="Segoe UI" w:eastAsia="Arial Narrow" w:hAnsi="Segoe UI" w:cs="Segoe UI"/>
                <w:color w:val="000000"/>
                <w:sz w:val="24"/>
                <w:szCs w:val="24"/>
                <w:lang w:val="ro-RO" w:eastAsia="ro-RO" w:bidi="ro-RO"/>
              </w:rPr>
              <w:t>Factura pentru serviciile prestate în luna precedentă, se va întocmi în baza borderourilor zilnice corespunzătoare lunii respective, anexate la factura emisă.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D14E7E" w:rsidRPr="00BC2E10" w:rsidRDefault="00D14E7E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  <w:tr w:rsidR="00CC6894" w:rsidRPr="00BC2E10" w:rsidTr="007D10F9">
        <w:trPr>
          <w:trHeight w:val="507"/>
        </w:trPr>
        <w:tc>
          <w:tcPr>
            <w:tcW w:w="558" w:type="dxa"/>
          </w:tcPr>
          <w:p w:rsidR="00CC6894" w:rsidRPr="007D10F9" w:rsidRDefault="007D10F9" w:rsidP="00BC2E1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4</w:t>
            </w:r>
            <w:r w:rsidR="006B06F7"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3" w:type="dxa"/>
            <w:shd w:val="clear" w:color="auto" w:fill="auto"/>
          </w:tcPr>
          <w:p w:rsidR="00CC6894" w:rsidRPr="007D10F9" w:rsidRDefault="006B06F7" w:rsidP="003178DA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Durata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de </w:t>
            </w: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valabilitate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gram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a</w:t>
            </w:r>
            <w:proofErr w:type="gram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acordului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cadru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este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de 48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luni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. </w:t>
            </w:r>
          </w:p>
        </w:tc>
        <w:tc>
          <w:tcPr>
            <w:tcW w:w="6521" w:type="dxa"/>
            <w:shd w:val="clear" w:color="auto" w:fill="auto"/>
            <w:noWrap/>
            <w:vAlign w:val="bottom"/>
            <w:hideMark/>
          </w:tcPr>
          <w:p w:rsidR="00CC6894" w:rsidRPr="00BC2E10" w:rsidRDefault="00CC6894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  <w:r w:rsidRPr="00BC2E10"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  <w:t> </w:t>
            </w:r>
          </w:p>
        </w:tc>
      </w:tr>
      <w:tr w:rsidR="003178DA" w:rsidRPr="00BC2E10" w:rsidTr="007D10F9">
        <w:trPr>
          <w:trHeight w:val="1049"/>
        </w:trPr>
        <w:tc>
          <w:tcPr>
            <w:tcW w:w="558" w:type="dxa"/>
          </w:tcPr>
          <w:p w:rsidR="003178DA" w:rsidRPr="007D10F9" w:rsidRDefault="007D10F9" w:rsidP="00BC2E1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5</w:t>
            </w:r>
            <w:r w:rsidR="006B06F7"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3" w:type="dxa"/>
            <w:shd w:val="clear" w:color="auto" w:fill="auto"/>
          </w:tcPr>
          <w:p w:rsidR="003178DA" w:rsidRPr="007D10F9" w:rsidRDefault="003178DA" w:rsidP="00BC2E1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Recepția</w:t>
            </w:r>
            <w:proofErr w:type="spellEnd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serviciilor</w:t>
            </w:r>
            <w:proofErr w:type="spellEnd"/>
          </w:p>
          <w:p w:rsidR="003178DA" w:rsidRPr="007D10F9" w:rsidRDefault="003178DA" w:rsidP="003178DA">
            <w:pPr>
              <w:rPr>
                <w:rFonts w:ascii="Segoe UI" w:eastAsia="Times New Roman" w:hAnsi="Segoe UI" w:cs="Segoe UI"/>
                <w:sz w:val="24"/>
                <w:szCs w:val="24"/>
              </w:rPr>
            </w:pP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Recepția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serviciilor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se </w:t>
            </w: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va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efectua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pe </w:t>
            </w:r>
            <w:proofErr w:type="spellStart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>baza</w:t>
            </w:r>
            <w:proofErr w:type="spellEnd"/>
            <w:r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centralizatorului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, care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este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atașat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facturii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3C0D92">
              <w:rPr>
                <w:rFonts w:ascii="Segoe UI" w:eastAsia="Times New Roman" w:hAnsi="Segoe UI" w:cs="Segoe UI"/>
                <w:sz w:val="24"/>
                <w:szCs w:val="24"/>
              </w:rPr>
              <w:t>emise</w:t>
            </w:r>
            <w:proofErr w:type="spellEnd"/>
            <w:r w:rsidR="003C0D92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lunare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178DA" w:rsidRPr="00BC2E10" w:rsidRDefault="003178DA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  <w:tr w:rsidR="003178DA" w:rsidRPr="00BC2E10" w:rsidTr="00C25EF4">
        <w:trPr>
          <w:trHeight w:val="1125"/>
        </w:trPr>
        <w:tc>
          <w:tcPr>
            <w:tcW w:w="558" w:type="dxa"/>
          </w:tcPr>
          <w:p w:rsidR="003178DA" w:rsidRPr="007D10F9" w:rsidRDefault="007D10F9" w:rsidP="00BC2E1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6</w:t>
            </w:r>
            <w:r w:rsidR="003178DA"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383" w:type="dxa"/>
            <w:shd w:val="clear" w:color="auto" w:fill="auto"/>
          </w:tcPr>
          <w:p w:rsidR="003178DA" w:rsidRPr="007D10F9" w:rsidRDefault="003178DA" w:rsidP="00BC2E10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Modalități</w:t>
            </w:r>
            <w:proofErr w:type="spellEnd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 xml:space="preserve"> si </w:t>
            </w:r>
            <w:proofErr w:type="spellStart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condiții</w:t>
            </w:r>
            <w:proofErr w:type="spellEnd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10F9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  <w:t>plată</w:t>
            </w:r>
            <w:proofErr w:type="spellEnd"/>
          </w:p>
          <w:p w:rsidR="003178DA" w:rsidRPr="007D10F9" w:rsidRDefault="007D10F9" w:rsidP="006B06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</w:pPr>
            <w:proofErr w:type="spellStart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Prestatorul</w:t>
            </w:r>
            <w:proofErr w:type="spellEnd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va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emite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factura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pentru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serviciile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prestate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prin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platforma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Ro-</w:t>
            </w:r>
            <w:proofErr w:type="spellStart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eFactura</w:t>
            </w:r>
            <w:proofErr w:type="spellEnd"/>
            <w:r w:rsidR="003178DA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.</w:t>
            </w:r>
          </w:p>
          <w:p w:rsidR="001C4D35" w:rsidRDefault="001C4D35" w:rsidP="006B06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</w:pPr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Factura </w:t>
            </w:r>
            <w:proofErr w:type="spellStart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va</w:t>
            </w:r>
            <w:proofErr w:type="spellEnd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însoțită</w:t>
            </w:r>
            <w:proofErr w:type="spellEnd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către</w:t>
            </w:r>
            <w:proofErr w:type="spellEnd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centralizatorul</w:t>
            </w:r>
            <w:proofErr w:type="spellEnd"/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privind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serviciile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efectuate</w:t>
            </w:r>
            <w:proofErr w:type="spellEnd"/>
            <w:r w:rsidR="007D10F9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.</w:t>
            </w:r>
          </w:p>
          <w:p w:rsidR="003C0D92" w:rsidRPr="007D10F9" w:rsidRDefault="003C0D92" w:rsidP="006B06F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</w:pPr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Lunar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va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fi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emisă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doar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factură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privind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serviciile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prestate</w:t>
            </w:r>
            <w:proofErr w:type="spellEnd"/>
            <w:r w:rsidRP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.</w:t>
            </w:r>
          </w:p>
          <w:p w:rsidR="003C0D92" w:rsidRPr="00C25EF4" w:rsidRDefault="003178DA" w:rsidP="00C25EF4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</w:rPr>
            </w:pPr>
            <w:r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lastRenderedPageBreak/>
              <w:t xml:space="preserve">Factura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emisa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va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avea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termen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plata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de 30 de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zile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de la data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înregistrării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către</w:t>
            </w:r>
            <w:proofErr w:type="spellEnd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C4D35" w:rsidRPr="007D10F9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contractant</w:t>
            </w:r>
            <w:proofErr w:type="spellEnd"/>
            <w:r w:rsidR="003C0D92">
              <w:rPr>
                <w:rFonts w:ascii="Segoe UI" w:eastAsia="Times New Roman" w:hAnsi="Segoe UI" w:cs="Segoe U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521" w:type="dxa"/>
            <w:shd w:val="clear" w:color="auto" w:fill="auto"/>
            <w:noWrap/>
            <w:vAlign w:val="bottom"/>
          </w:tcPr>
          <w:p w:rsidR="003178DA" w:rsidRPr="00BC2E10" w:rsidRDefault="003178DA" w:rsidP="00BC2E10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4"/>
                <w:szCs w:val="24"/>
              </w:rPr>
            </w:pPr>
          </w:p>
        </w:tc>
      </w:tr>
    </w:tbl>
    <w:p w:rsidR="003178DA" w:rsidRDefault="003178DA">
      <w:bookmarkStart w:id="2" w:name="_GoBack"/>
      <w:bookmarkEnd w:id="2"/>
    </w:p>
    <w:sectPr w:rsidR="003178DA" w:rsidSect="00D14E7E">
      <w:footerReference w:type="default" r:id="rId7"/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55B" w:rsidRDefault="0060055B" w:rsidP="00CC6894">
      <w:pPr>
        <w:spacing w:after="0" w:line="240" w:lineRule="auto"/>
      </w:pPr>
      <w:r>
        <w:separator/>
      </w:r>
    </w:p>
  </w:endnote>
  <w:endnote w:type="continuationSeparator" w:id="0">
    <w:p w:rsidR="0060055B" w:rsidRDefault="0060055B" w:rsidP="00CC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6833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10F9" w:rsidRDefault="007D1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10F9" w:rsidRDefault="007D10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55B" w:rsidRDefault="0060055B" w:rsidP="00CC6894">
      <w:pPr>
        <w:spacing w:after="0" w:line="240" w:lineRule="auto"/>
      </w:pPr>
      <w:r>
        <w:separator/>
      </w:r>
    </w:p>
  </w:footnote>
  <w:footnote w:type="continuationSeparator" w:id="0">
    <w:p w:rsidR="0060055B" w:rsidRDefault="0060055B" w:rsidP="00CC6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50CD7"/>
    <w:multiLevelType w:val="hybridMultilevel"/>
    <w:tmpl w:val="77A43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0FD9"/>
    <w:multiLevelType w:val="hybridMultilevel"/>
    <w:tmpl w:val="409E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D6134"/>
    <w:multiLevelType w:val="hybridMultilevel"/>
    <w:tmpl w:val="86FA8484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2D37"/>
    <w:multiLevelType w:val="hybridMultilevel"/>
    <w:tmpl w:val="C7DC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45103"/>
    <w:multiLevelType w:val="hybridMultilevel"/>
    <w:tmpl w:val="42B45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51261"/>
    <w:multiLevelType w:val="hybridMultilevel"/>
    <w:tmpl w:val="B1CE9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65F71"/>
    <w:multiLevelType w:val="hybridMultilevel"/>
    <w:tmpl w:val="7FA0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E622A"/>
    <w:multiLevelType w:val="hybridMultilevel"/>
    <w:tmpl w:val="FAD681F6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07FA2"/>
    <w:multiLevelType w:val="hybridMultilevel"/>
    <w:tmpl w:val="157EC3D8"/>
    <w:lvl w:ilvl="0" w:tplc="AE9635F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E18D7"/>
    <w:multiLevelType w:val="hybridMultilevel"/>
    <w:tmpl w:val="41CA59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3085D"/>
    <w:multiLevelType w:val="hybridMultilevel"/>
    <w:tmpl w:val="D6AAAF3C"/>
    <w:lvl w:ilvl="0" w:tplc="1FDC9AB6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350"/>
    <w:multiLevelType w:val="hybridMultilevel"/>
    <w:tmpl w:val="A1E8E83E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16868"/>
    <w:multiLevelType w:val="hybridMultilevel"/>
    <w:tmpl w:val="2E667344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4179D"/>
    <w:multiLevelType w:val="hybridMultilevel"/>
    <w:tmpl w:val="48FE9E20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0279"/>
    <w:multiLevelType w:val="hybridMultilevel"/>
    <w:tmpl w:val="481CCE7E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37D8"/>
    <w:multiLevelType w:val="hybridMultilevel"/>
    <w:tmpl w:val="46965854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69DD"/>
    <w:multiLevelType w:val="hybridMultilevel"/>
    <w:tmpl w:val="9F0E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6B1E7C"/>
    <w:multiLevelType w:val="hybridMultilevel"/>
    <w:tmpl w:val="D6367FC0"/>
    <w:lvl w:ilvl="0" w:tplc="A0E27540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52D3E"/>
    <w:multiLevelType w:val="hybridMultilevel"/>
    <w:tmpl w:val="ADE014C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30723FE"/>
    <w:multiLevelType w:val="hybridMultilevel"/>
    <w:tmpl w:val="1576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02919"/>
    <w:multiLevelType w:val="hybridMultilevel"/>
    <w:tmpl w:val="B3CC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"/>
  </w:num>
  <w:num w:numId="5">
    <w:abstractNumId w:val="3"/>
  </w:num>
  <w:num w:numId="6">
    <w:abstractNumId w:val="10"/>
  </w:num>
  <w:num w:numId="7">
    <w:abstractNumId w:val="19"/>
  </w:num>
  <w:num w:numId="8">
    <w:abstractNumId w:val="20"/>
  </w:num>
  <w:num w:numId="9">
    <w:abstractNumId w:val="11"/>
  </w:num>
  <w:num w:numId="10">
    <w:abstractNumId w:val="13"/>
  </w:num>
  <w:num w:numId="11">
    <w:abstractNumId w:val="14"/>
  </w:num>
  <w:num w:numId="12">
    <w:abstractNumId w:val="17"/>
  </w:num>
  <w:num w:numId="13">
    <w:abstractNumId w:val="2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0"/>
  </w:num>
  <w:num w:numId="20">
    <w:abstractNumId w:val="4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10"/>
    <w:rsid w:val="0000395F"/>
    <w:rsid w:val="000C549C"/>
    <w:rsid w:val="00107A3A"/>
    <w:rsid w:val="0013064A"/>
    <w:rsid w:val="001C4D35"/>
    <w:rsid w:val="001D616B"/>
    <w:rsid w:val="001F5782"/>
    <w:rsid w:val="002522F1"/>
    <w:rsid w:val="002B3E57"/>
    <w:rsid w:val="003178DA"/>
    <w:rsid w:val="00356058"/>
    <w:rsid w:val="00367D7D"/>
    <w:rsid w:val="003A17B2"/>
    <w:rsid w:val="003C0D92"/>
    <w:rsid w:val="003F3F20"/>
    <w:rsid w:val="00411272"/>
    <w:rsid w:val="00470972"/>
    <w:rsid w:val="00484DA4"/>
    <w:rsid w:val="004E4081"/>
    <w:rsid w:val="005538F6"/>
    <w:rsid w:val="005A7432"/>
    <w:rsid w:val="005B4F8E"/>
    <w:rsid w:val="0060055B"/>
    <w:rsid w:val="006B06F7"/>
    <w:rsid w:val="0071361C"/>
    <w:rsid w:val="007304BA"/>
    <w:rsid w:val="007D10F9"/>
    <w:rsid w:val="008C120F"/>
    <w:rsid w:val="0097702E"/>
    <w:rsid w:val="00991D4D"/>
    <w:rsid w:val="00A23E63"/>
    <w:rsid w:val="00AC26C2"/>
    <w:rsid w:val="00B62D13"/>
    <w:rsid w:val="00BC2E10"/>
    <w:rsid w:val="00BC4DE8"/>
    <w:rsid w:val="00C25EF4"/>
    <w:rsid w:val="00C9549C"/>
    <w:rsid w:val="00CC6894"/>
    <w:rsid w:val="00D14E7E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5991"/>
  <w15:chartTrackingRefBased/>
  <w15:docId w15:val="{FD8AD152-FFC5-4E20-8405-3A01BA0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894"/>
  </w:style>
  <w:style w:type="paragraph" w:styleId="Footer">
    <w:name w:val="footer"/>
    <w:basedOn w:val="Normal"/>
    <w:link w:val="FooterChar"/>
    <w:uiPriority w:val="99"/>
    <w:unhideWhenUsed/>
    <w:rsid w:val="00CC6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894"/>
  </w:style>
  <w:style w:type="paragraph" w:styleId="ListParagraph">
    <w:name w:val="List Paragraph"/>
    <w:basedOn w:val="Normal"/>
    <w:uiPriority w:val="34"/>
    <w:qFormat/>
    <w:rsid w:val="003A1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1177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 Mihai</dc:creator>
  <cp:keywords/>
  <dc:description/>
  <cp:lastModifiedBy>Roxana Plesca</cp:lastModifiedBy>
  <cp:revision>27</cp:revision>
  <cp:lastPrinted>2024-06-10T06:49:00Z</cp:lastPrinted>
  <dcterms:created xsi:type="dcterms:W3CDTF">2024-02-06T09:29:00Z</dcterms:created>
  <dcterms:modified xsi:type="dcterms:W3CDTF">2025-03-14T11:37:00Z</dcterms:modified>
</cp:coreProperties>
</file>