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19.xml" ContentType="application/vnd.openxmlformats-officedocument.themeOverride+xml"/>
  <Override PartName="/word/drawings/drawing2.xml" ContentType="application/vnd.openxmlformats-officedocument.drawingml.chartshapes+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theme/themeOverride20.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8.xml" ContentType="application/vnd.openxmlformats-officedocument.drawingml.chart+xml"/>
  <Override PartName="/word/theme/themeOverride21.xml" ContentType="application/vnd.openxmlformats-officedocument.themeOverride+xml"/>
  <Override PartName="/word/charts/chart29.xml" ContentType="application/vnd.openxmlformats-officedocument.drawingml.chart+xml"/>
  <Override PartName="/word/theme/themeOverride22.xml" ContentType="application/vnd.openxmlformats-officedocument.themeOverride+xml"/>
  <Override PartName="/word/charts/chart30.xml" ContentType="application/vnd.openxmlformats-officedocument.drawingml.chart+xml"/>
  <Override PartName="/word/theme/themeOverride23.xml" ContentType="application/vnd.openxmlformats-officedocument.themeOverride+xml"/>
  <Override PartName="/word/charts/chart31.xml" ContentType="application/vnd.openxmlformats-officedocument.drawingml.chart+xml"/>
  <Override PartName="/word/theme/themeOverride24.xml" ContentType="application/vnd.openxmlformats-officedocument.themeOverride+xml"/>
  <Override PartName="/word/charts/chart32.xml" ContentType="application/vnd.openxmlformats-officedocument.drawingml.chart+xml"/>
  <Override PartName="/word/theme/themeOverride25.xml" ContentType="application/vnd.openxmlformats-officedocument.themeOverride+xml"/>
  <Override PartName="/word/charts/chart33.xml" ContentType="application/vnd.openxmlformats-officedocument.drawingml.chart+xml"/>
  <Override PartName="/word/theme/themeOverride26.xml" ContentType="application/vnd.openxmlformats-officedocument.themeOverride+xml"/>
  <Override PartName="/word/charts/chart34.xml" ContentType="application/vnd.openxmlformats-officedocument.drawingml.chart+xml"/>
  <Override PartName="/word/theme/themeOverride27.xml" ContentType="application/vnd.openxmlformats-officedocument.themeOverride+xml"/>
  <Override PartName="/word/charts/chart35.xml" ContentType="application/vnd.openxmlformats-officedocument.drawingml.chart+xml"/>
  <Override PartName="/word/theme/themeOverride28.xml" ContentType="application/vnd.openxmlformats-officedocument.themeOverride+xml"/>
  <Override PartName="/word/charts/chart36.xml" ContentType="application/vnd.openxmlformats-officedocument.drawingml.chart+xml"/>
  <Override PartName="/word/theme/themeOverride29.xml" ContentType="application/vnd.openxmlformats-officedocument.themeOverride+xml"/>
  <Override PartName="/word/charts/chart37.xml" ContentType="application/vnd.openxmlformats-officedocument.drawingml.chart+xml"/>
  <Override PartName="/word/theme/themeOverride30.xml" ContentType="application/vnd.openxmlformats-officedocument.themeOverride+xml"/>
  <Override PartName="/word/charts/chart38.xml" ContentType="application/vnd.openxmlformats-officedocument.drawingml.chart+xml"/>
  <Override PartName="/word/theme/themeOverride31.xml" ContentType="application/vnd.openxmlformats-officedocument.themeOverride+xml"/>
  <Override PartName="/word/charts/chart39.xml" ContentType="application/vnd.openxmlformats-officedocument.drawingml.chart+xml"/>
  <Override PartName="/word/theme/themeOverride32.xml" ContentType="application/vnd.openxmlformats-officedocument.themeOverride+xml"/>
  <Override PartName="/word/charts/chart40.xml" ContentType="application/vnd.openxmlformats-officedocument.drawingml.chart+xml"/>
  <Override PartName="/word/theme/themeOverride33.xml" ContentType="application/vnd.openxmlformats-officedocument.themeOverride+xml"/>
  <Override PartName="/word/charts/chart41.xml" ContentType="application/vnd.openxmlformats-officedocument.drawingml.chart+xml"/>
  <Override PartName="/word/theme/themeOverride34.xml" ContentType="application/vnd.openxmlformats-officedocument.themeOverride+xml"/>
  <Override PartName="/word/charts/chart42.xml" ContentType="application/vnd.openxmlformats-officedocument.drawingml.chart+xml"/>
  <Override PartName="/word/theme/themeOverride35.xml" ContentType="application/vnd.openxmlformats-officedocument.themeOverride+xml"/>
  <Override PartName="/word/charts/chart43.xml" ContentType="application/vnd.openxmlformats-officedocument.drawingml.chart+xml"/>
  <Override PartName="/word/theme/themeOverride36.xml" ContentType="application/vnd.openxmlformats-officedocument.themeOverride+xml"/>
  <Override PartName="/word/charts/chart44.xml" ContentType="application/vnd.openxmlformats-officedocument.drawingml.chart+xml"/>
  <Override PartName="/word/theme/themeOverride37.xml" ContentType="application/vnd.openxmlformats-officedocument.themeOverride+xml"/>
  <Override PartName="/word/charts/chart45.xml" ContentType="application/vnd.openxmlformats-officedocument.drawingml.chart+xml"/>
  <Override PartName="/word/theme/themeOverride38.xml" ContentType="application/vnd.openxmlformats-officedocument.themeOverride+xml"/>
  <Override PartName="/word/charts/chart46.xml" ContentType="application/vnd.openxmlformats-officedocument.drawingml.chart+xml"/>
  <Override PartName="/word/theme/themeOverride39.xml" ContentType="application/vnd.openxmlformats-officedocument.themeOverride+xml"/>
  <Override PartName="/word/charts/chart47.xml" ContentType="application/vnd.openxmlformats-officedocument.drawingml.chart+xml"/>
  <Override PartName="/word/theme/themeOverride40.xml" ContentType="application/vnd.openxmlformats-officedocument.themeOverride+xml"/>
  <Override PartName="/word/charts/chart48.xml" ContentType="application/vnd.openxmlformats-officedocument.drawingml.chart+xml"/>
  <Override PartName="/word/theme/themeOverride41.xml" ContentType="application/vnd.openxmlformats-officedocument.themeOverride+xml"/>
  <Override PartName="/word/charts/chart49.xml" ContentType="application/vnd.openxmlformats-officedocument.drawingml.chart+xml"/>
  <Override PartName="/word/theme/themeOverride42.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0.xml" ContentType="application/vnd.openxmlformats-officedocument.drawingml.chart+xml"/>
  <Override PartName="/word/theme/themeOverride43.xml" ContentType="application/vnd.openxmlformats-officedocument.themeOverride+xml"/>
  <Override PartName="/word/charts/chart51.xml" ContentType="application/vnd.openxmlformats-officedocument.drawingml.chart+xml"/>
  <Override PartName="/word/theme/themeOverride44.xml" ContentType="application/vnd.openxmlformats-officedocument.themeOverride+xml"/>
  <Override PartName="/word/charts/chart52.xml" ContentType="application/vnd.openxmlformats-officedocument.drawingml.chart+xml"/>
  <Override PartName="/word/theme/themeOverride45.xml" ContentType="application/vnd.openxmlformats-officedocument.themeOverride+xml"/>
  <Override PartName="/word/charts/chart53.xml" ContentType="application/vnd.openxmlformats-officedocument.drawingml.chart+xml"/>
  <Override PartName="/word/theme/themeOverride46.xml" ContentType="application/vnd.openxmlformats-officedocument.themeOverride+xml"/>
  <Override PartName="/word/charts/chart54.xml" ContentType="application/vnd.openxmlformats-officedocument.drawingml.chart+xml"/>
  <Override PartName="/word/theme/themeOverride47.xml" ContentType="application/vnd.openxmlformats-officedocument.themeOverride+xml"/>
  <Override PartName="/word/charts/chart55.xml" ContentType="application/vnd.openxmlformats-officedocument.drawingml.chart+xml"/>
  <Override PartName="/word/theme/themeOverride48.xml" ContentType="application/vnd.openxmlformats-officedocument.themeOverride+xml"/>
  <Override PartName="/word/charts/chart56.xml" ContentType="application/vnd.openxmlformats-officedocument.drawingml.chart+xml"/>
  <Override PartName="/word/theme/themeOverride49.xml" ContentType="application/vnd.openxmlformats-officedocument.themeOverride+xml"/>
  <Override PartName="/word/charts/chart57.xml" ContentType="application/vnd.openxmlformats-officedocument.drawingml.chart+xml"/>
  <Override PartName="/word/theme/themeOverride50.xml" ContentType="application/vnd.openxmlformats-officedocument.themeOverride+xml"/>
  <Override PartName="/word/charts/chart58.xml" ContentType="application/vnd.openxmlformats-officedocument.drawingml.chart+xml"/>
  <Override PartName="/word/theme/themeOverride51.xml" ContentType="application/vnd.openxmlformats-officedocument.themeOverride+xml"/>
  <Override PartName="/word/charts/chart59.xml" ContentType="application/vnd.openxmlformats-officedocument.drawingml.chart+xml"/>
  <Override PartName="/word/theme/themeOverride5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140.xml" ContentType="application/vnd.openxmlformats-officedocument.drawingml.chart+xml"/>
  <Override PartName="/word/theme/themeOverride11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0DC3" w:rsidRPr="00322BD0" w:rsidRDefault="00ED1760">
      <w:pPr>
        <w:rPr>
          <w:bCs/>
          <w:i/>
          <w:iCs/>
          <w:lang w:val="en-GB" w:eastAsia="en-US"/>
        </w:rPr>
      </w:pPr>
      <w:bookmarkStart w:id="0" w:name="_GoBack"/>
      <w:bookmarkEnd w:id="0"/>
      <w:r>
        <w:rPr>
          <w:b/>
          <w:lang w:val="en-GB" w:eastAsia="en-US"/>
        </w:rPr>
        <w:t>1</w:t>
      </w:r>
      <w:sdt>
        <w:sdtPr>
          <w:rPr>
            <w:b/>
            <w:lang w:val="en-GB" w:eastAsia="en-US"/>
          </w:rPr>
          <w:id w:val="-46533628"/>
          <w:docPartObj>
            <w:docPartGallery w:val="Cover Pages"/>
            <w:docPartUnique/>
          </w:docPartObj>
        </w:sdtPr>
        <w:sdtEndPr/>
        <w:sdtContent>
          <w:r w:rsidR="00646426" w:rsidRPr="00322BD0">
            <w:rPr>
              <w:bCs/>
              <w:i/>
              <w:iCs/>
              <w:noProof/>
              <w:lang w:val="ro-RO" w:eastAsia="ro-RO"/>
            </w:rPr>
            <mc:AlternateContent>
              <mc:Choice Requires="wpg">
                <w:drawing>
                  <wp:anchor distT="0" distB="0" distL="114300" distR="114300" simplePos="0" relativeHeight="251822080" behindDoc="0" locked="0" layoutInCell="0" allowOverlap="1" wp14:anchorId="4609F07E" wp14:editId="065BDE34">
                    <wp:simplePos x="0" y="0"/>
                    <wp:positionH relativeFrom="page">
                      <wp:posOffset>114300</wp:posOffset>
                    </wp:positionH>
                    <wp:positionV relativeFrom="page">
                      <wp:posOffset>200025</wp:posOffset>
                    </wp:positionV>
                    <wp:extent cx="7270115" cy="10229215"/>
                    <wp:effectExtent l="0" t="0" r="26035" b="19685"/>
                    <wp:wrapNone/>
                    <wp:docPr id="370"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115" cy="10229215"/>
                              <a:chOff x="321" y="411"/>
                              <a:chExt cx="11600" cy="15018"/>
                            </a:xfrm>
                          </wpg:grpSpPr>
                          <wps:wsp>
                            <wps:cNvPr id="371" name="Rectangle 77"/>
                            <wps:cNvSpPr>
                              <a:spLocks noChangeArrowheads="1"/>
                            </wps:cNvSpPr>
                            <wps:spPr bwMode="auto">
                              <a:xfrm>
                                <a:off x="321" y="411"/>
                                <a:ext cx="11600" cy="15018"/>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wps:wsp>
                            <wps:cNvPr id="372" name="Rectangle 87"/>
                            <wps:cNvSpPr>
                              <a:spLocks noChangeArrowheads="1"/>
                            </wps:cNvSpPr>
                            <wps:spPr bwMode="auto">
                              <a:xfrm>
                                <a:off x="350" y="14683"/>
                                <a:ext cx="11537" cy="719"/>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color w:val="EEECE1" w:themeColor="background2"/>
                                      <w:spacing w:val="60"/>
                                      <w:sz w:val="28"/>
                                      <w:szCs w:val="28"/>
                                    </w:rPr>
                                    <w:alias w:val="Address"/>
                                    <w:id w:val="94750077"/>
                                    <w:dataBinding w:prefixMappings="xmlns:ns0='http://schemas.microsoft.com/office/2006/coverPageProps'" w:xpath="/ns0:CoverPageProperties[1]/ns0:CompanyAddress[1]" w:storeItemID="{55AF091B-3C7A-41E3-B477-F2FDAA23CFDA}"/>
                                    <w:text w:multiLine="1"/>
                                  </w:sdtPr>
                                  <w:sdtEndPr/>
                                  <w:sdtContent>
                                    <w:p w:rsidR="00CE3BCA" w:rsidRDefault="00CE3BCA" w:rsidP="00D61BEB">
                                      <w:pPr>
                                        <w:pStyle w:val="NoSpacing"/>
                                        <w:jc w:val="center"/>
                                        <w:rPr>
                                          <w:smallCaps/>
                                          <w:color w:val="FFFFFF" w:themeColor="background1"/>
                                          <w:spacing w:val="60"/>
                                          <w:sz w:val="28"/>
                                          <w:szCs w:val="28"/>
                                        </w:rPr>
                                      </w:pPr>
                                      <w:r w:rsidRPr="00D61BEB">
                                        <w:rPr>
                                          <w:rFonts w:asciiTheme="majorHAnsi" w:hAnsiTheme="majorHAnsi"/>
                                          <w:b/>
                                          <w:color w:val="EEECE1" w:themeColor="background2"/>
                                          <w:spacing w:val="60"/>
                                          <w:sz w:val="28"/>
                                          <w:szCs w:val="28"/>
                                        </w:rPr>
                                        <w:t>www.transgaz.ro</w:t>
                                      </w:r>
                                    </w:p>
                                  </w:sdtContent>
                                </w:sdt>
                              </w:txbxContent>
                            </wps:txbx>
                            <wps:bodyPr rot="0" vert="horz" wrap="square" lIns="91440" tIns="45720" rIns="91440" bIns="45720" anchor="ctr" anchorCtr="0" upright="1">
                              <a:noAutofit/>
                            </wps:bodyPr>
                          </wps:wsp>
                          <wps:wsp>
                            <wps:cNvPr id="373" name="Rectangle 86"/>
                            <wps:cNvSpPr>
                              <a:spLocks noChangeArrowheads="1"/>
                            </wps:cNvSpPr>
                            <wps:spPr bwMode="auto">
                              <a:xfrm>
                                <a:off x="9028" y="10710"/>
                                <a:ext cx="2859" cy="3937"/>
                              </a:xfrm>
                              <a:prstGeom prst="rect">
                                <a:avLst/>
                              </a:prstGeom>
                              <a:effectLst/>
                              <a:extLst/>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374" name="Rectangle 85"/>
                            <wps:cNvSpPr>
                              <a:spLocks noChangeArrowheads="1"/>
                            </wps:cNvSpPr>
                            <wps:spPr bwMode="auto">
                              <a:xfrm>
                                <a:off x="350" y="10711"/>
                                <a:ext cx="8631" cy="3942"/>
                              </a:xfrm>
                              <a:prstGeom prst="rect">
                                <a:avLst/>
                              </a:prstGeom>
                              <a:effectLst/>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375" name="Rectangle 82"/>
                            <wps:cNvSpPr>
                              <a:spLocks noChangeArrowheads="1"/>
                            </wps:cNvSpPr>
                            <wps:spPr bwMode="auto">
                              <a:xfrm>
                                <a:off x="9028"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CE3BCA" w:rsidRDefault="00CE3BCA">
                                  <w:pPr>
                                    <w:pStyle w:val="NoSpacing"/>
                                    <w:rPr>
                                      <w:rFonts w:asciiTheme="majorHAnsi" w:eastAsiaTheme="majorEastAsia" w:hAnsiTheme="majorHAnsi" w:cstheme="majorBidi"/>
                                      <w:color w:val="DBE5F1" w:themeColor="accent1" w:themeTint="33"/>
                                      <w:sz w:val="56"/>
                                      <w:szCs w:val="56"/>
                                    </w:rPr>
                                  </w:pPr>
                                </w:p>
                              </w:txbxContent>
                            </wps:txbx>
                            <wps:bodyPr rot="0" vert="horz" wrap="square" lIns="91440" tIns="45720" rIns="91440" bIns="45720" anchor="ctr" anchorCtr="0" upright="1">
                              <a:noAutofit/>
                            </wps:bodyPr>
                          </wps:wsp>
                          <wps:wsp>
                            <wps:cNvPr id="376" name="Rectangle 81"/>
                            <wps:cNvSpPr>
                              <a:spLocks noChangeArrowheads="1"/>
                            </wps:cNvSpPr>
                            <wps:spPr bwMode="auto">
                              <a:xfrm>
                                <a:off x="6137"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Rectangle 80"/>
                            <wps:cNvSpPr>
                              <a:spLocks noChangeArrowheads="1"/>
                            </wps:cNvSpPr>
                            <wps:spPr bwMode="auto">
                              <a:xfrm>
                                <a:off x="3245"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CE3BCA" w:rsidRPr="007A5442" w:rsidRDefault="00CE3BCA" w:rsidP="007A5442">
                                  <w:pPr>
                                    <w:jc w:val="center"/>
                                    <w:rPr>
                                      <w:rFonts w:asciiTheme="majorHAnsi" w:hAnsiTheme="majorHAnsi"/>
                                      <w:b/>
                                      <w:color w:val="FFFFFF" w:themeColor="background1"/>
                                      <w:sz w:val="72"/>
                                      <w:szCs w:val="72"/>
                                      <w:lang w:val="ro-RO"/>
                                    </w:rPr>
                                  </w:pPr>
                                  <w:r w:rsidRPr="007A5442">
                                    <w:rPr>
                                      <w:rFonts w:asciiTheme="majorHAnsi" w:hAnsiTheme="majorHAnsi"/>
                                      <w:b/>
                                      <w:color w:val="FFFFFF" w:themeColor="background1"/>
                                      <w:sz w:val="72"/>
                                      <w:szCs w:val="72"/>
                                      <w:lang w:val="ro-RO"/>
                                    </w:rPr>
                                    <w:t>201</w:t>
                                  </w:r>
                                  <w:r>
                                    <w:rPr>
                                      <w:rFonts w:asciiTheme="majorHAnsi" w:hAnsiTheme="majorHAnsi"/>
                                      <w:b/>
                                      <w:color w:val="FFFFFF" w:themeColor="background1"/>
                                      <w:sz w:val="72"/>
                                      <w:szCs w:val="72"/>
                                      <w:lang w:val="ro-RO"/>
                                    </w:rPr>
                                    <w:t>6</w:t>
                                  </w:r>
                                </w:p>
                              </w:txbxContent>
                            </wps:txbx>
                            <wps:bodyPr rot="0" vert="horz" wrap="square" lIns="91440" tIns="45720" rIns="91440" bIns="45720" anchor="t" anchorCtr="0" upright="1">
                              <a:noAutofit/>
                            </wps:bodyPr>
                          </wps:wsp>
                          <wps:wsp>
                            <wps:cNvPr id="378" name="Rectangle 79"/>
                            <wps:cNvSpPr>
                              <a:spLocks noChangeArrowheads="1"/>
                            </wps:cNvSpPr>
                            <wps:spPr bwMode="auto">
                              <a:xfrm>
                                <a:off x="354"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Rectangle 84"/>
                            <wps:cNvSpPr>
                              <a:spLocks noChangeArrowheads="1"/>
                            </wps:cNvSpPr>
                            <wps:spPr bwMode="auto">
                              <a:xfrm>
                                <a:off x="9028" y="2263"/>
                                <a:ext cx="2859" cy="7316"/>
                              </a:xfrm>
                              <a:prstGeom prst="rect">
                                <a:avLst/>
                              </a:prstGeom>
                              <a:effectLst/>
                              <a:extLst/>
                            </wps:spPr>
                            <wps:style>
                              <a:lnRef idx="1">
                                <a:schemeClr val="accent6"/>
                              </a:lnRef>
                              <a:fillRef idx="3">
                                <a:schemeClr val="accent6"/>
                              </a:fillRef>
                              <a:effectRef idx="2">
                                <a:schemeClr val="accent6"/>
                              </a:effectRef>
                              <a:fontRef idx="minor">
                                <a:schemeClr val="lt1"/>
                              </a:fontRef>
                            </wps:style>
                            <wps:bodyPr rot="0" vert="horz" wrap="square" lIns="91440" tIns="45720" rIns="91440" bIns="45720" anchor="t" anchorCtr="0" upright="1">
                              <a:noAutofit/>
                            </wps:bodyPr>
                          </wps:wsp>
                          <wps:wsp>
                            <wps:cNvPr id="380" name="Rectangle 83"/>
                            <wps:cNvSpPr>
                              <a:spLocks noChangeArrowheads="1"/>
                            </wps:cNvSpPr>
                            <wps:spPr bwMode="auto">
                              <a:xfrm>
                                <a:off x="354" y="2263"/>
                                <a:ext cx="8643" cy="7316"/>
                              </a:xfrm>
                              <a:prstGeom prst="rect">
                                <a:avLst/>
                              </a:prstGeom>
                              <a:solidFill>
                                <a:schemeClr val="accent1">
                                  <a:lumMod val="75000"/>
                                </a:schemeClr>
                              </a:solidFill>
                              <a:effectLst/>
                              <a:extLst/>
                            </wps:spPr>
                            <wps:style>
                              <a:lnRef idx="1">
                                <a:schemeClr val="accent3"/>
                              </a:lnRef>
                              <a:fillRef idx="3">
                                <a:schemeClr val="accent3"/>
                              </a:fillRef>
                              <a:effectRef idx="2">
                                <a:schemeClr val="accent3"/>
                              </a:effectRef>
                              <a:fontRef idx="minor">
                                <a:schemeClr val="lt1"/>
                              </a:fontRef>
                            </wps:style>
                            <wps:txbx>
                              <w:txbxContent>
                                <w:sdt>
                                  <w:sdtPr>
                                    <w:rPr>
                                      <w:rFonts w:asciiTheme="majorHAnsi" w:eastAsiaTheme="majorEastAsia" w:hAnsiTheme="majorHAnsi" w:cstheme="majorBidi"/>
                                      <w:b/>
                                      <w:color w:val="FFFFFF" w:themeColor="background1"/>
                                      <w:sz w:val="72"/>
                                      <w:szCs w:val="72"/>
                                    </w:rPr>
                                    <w:alias w:val="Title"/>
                                    <w:id w:val="309681173"/>
                                    <w:dataBinding w:prefixMappings="xmlns:ns0='http://schemas.openxmlformats.org/package/2006/metadata/core-properties' xmlns:ns1='http://purl.org/dc/elements/1.1/'" w:xpath="/ns0:coreProperties[1]/ns1:title[1]" w:storeItemID="{6C3C8BC8-F283-45AE-878A-BAB7291924A1}"/>
                                    <w:text/>
                                  </w:sdtPr>
                                  <w:sdtEndPr/>
                                  <w:sdtContent>
                                    <w:p w:rsidR="00CE3BCA" w:rsidRPr="0019488F" w:rsidRDefault="00CE3BCA" w:rsidP="0019488F">
                                      <w:pPr>
                                        <w:spacing w:after="0" w:line="240" w:lineRule="auto"/>
                                        <w:jc w:val="center"/>
                                        <w:rPr>
                                          <w:rFonts w:asciiTheme="majorHAnsi" w:eastAsiaTheme="majorEastAsia" w:hAnsiTheme="majorHAnsi" w:cstheme="majorBidi"/>
                                          <w:b/>
                                          <w:color w:val="1B3049" w:themeColor="accent2" w:themeShade="80"/>
                                          <w:sz w:val="72"/>
                                          <w:szCs w:val="72"/>
                                        </w:rPr>
                                      </w:pPr>
                                      <w:r>
                                        <w:rPr>
                                          <w:rFonts w:asciiTheme="majorHAnsi" w:eastAsiaTheme="majorEastAsia" w:hAnsiTheme="majorHAnsi" w:cstheme="majorBidi"/>
                                          <w:b/>
                                          <w:color w:val="FFFFFF" w:themeColor="background1"/>
                                          <w:sz w:val="72"/>
                                          <w:szCs w:val="72"/>
                                        </w:rPr>
                                        <w:t>REPORT ISSUED BY THE BOARD OF  ADMINISTRATION</w:t>
                                      </w:r>
                                    </w:p>
                                  </w:sdtContent>
                                </w:sdt>
                                <w:p w:rsidR="00CE3BCA" w:rsidRDefault="00CE3BCA">
                                  <w:pPr>
                                    <w:jc w:val="right"/>
                                    <w:rPr>
                                      <w:color w:val="FFFFFF" w:themeColor="background1"/>
                                      <w:sz w:val="40"/>
                                      <w:szCs w:val="40"/>
                                    </w:rPr>
                                  </w:pPr>
                                </w:p>
                              </w:txbxContent>
                            </wps:txbx>
                            <wps:bodyPr rot="0" vert="horz" wrap="square" lIns="228600" tIns="45720" rIns="228600" bIns="45720" anchor="ctr" anchorCtr="0" upright="1">
                              <a:noAutofit/>
                            </wps:bodyPr>
                          </wps:wsp>
                          <wps:wsp>
                            <wps:cNvPr id="381" name="Rectangle 78"/>
                            <wps:cNvSpPr>
                              <a:spLocks noChangeArrowheads="1"/>
                            </wps:cNvSpPr>
                            <wps:spPr bwMode="auto">
                              <a:xfrm>
                                <a:off x="350" y="440"/>
                                <a:ext cx="11537" cy="1784"/>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CE3BCA" w:rsidRDefault="00BD6E82" w:rsidP="0019488F">
                                  <w:pPr>
                                    <w:pStyle w:val="NoSpacing"/>
                                    <w:jc w:val="center"/>
                                    <w:rPr>
                                      <w:smallCaps/>
                                      <w:color w:val="FFFFFF" w:themeColor="background1"/>
                                      <w:sz w:val="44"/>
                                      <w:szCs w:val="44"/>
                                    </w:rPr>
                                  </w:pPr>
                                  <w:sdt>
                                    <w:sdtPr>
                                      <w:rPr>
                                        <w:rFonts w:asciiTheme="majorHAnsi" w:hAnsiTheme="majorHAnsi"/>
                                        <w:b/>
                                        <w:color w:val="FFFFFF" w:themeColor="background1"/>
                                        <w:sz w:val="28"/>
                                        <w:szCs w:val="28"/>
                                      </w:rPr>
                                      <w:alias w:val="Company"/>
                                      <w:id w:val="-1142506160"/>
                                      <w:dataBinding w:prefixMappings="xmlns:ns0='http://schemas.openxmlformats.org/officeDocument/2006/extended-properties'" w:xpath="/ns0:Properties[1]/ns0:Company[1]" w:storeItemID="{6668398D-A668-4E3E-A5EB-62B293D839F1}"/>
                                      <w:text/>
                                    </w:sdtPr>
                                    <w:sdtEndPr/>
                                    <w:sdtContent>
                                      <w:r w:rsidR="00CE3BCA">
                                        <w:rPr>
                                          <w:rFonts w:asciiTheme="majorHAnsi" w:hAnsiTheme="majorHAnsi"/>
                                          <w:b/>
                                          <w:color w:val="FFFFFF" w:themeColor="background1"/>
                                          <w:sz w:val="28"/>
                                          <w:szCs w:val="28"/>
                                        </w:rPr>
                                        <w:t>THE NATIONAL GAS TRANSMISSION COMPANY TRANSGAZ SA</w:t>
                                      </w:r>
                                    </w:sdtContent>
                                  </w:sdt>
                                </w:p>
                              </w:txbxContent>
                            </wps:txbx>
                            <wps:bodyPr rot="0" vert="horz" wrap="square" lIns="228600" tIns="45720" rIns="22860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09F07E" id="Group 76" o:spid="_x0000_s1026" style="position:absolute;left:0;text-align:left;margin-left:9pt;margin-top:15.75pt;width:572.45pt;height:805.45pt;z-index:251822080;mso-position-horizontal-relative:page;mso-position-vertical-relative:page"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" o:allowincell="f">
                    <v:rect id="Rectangle 77"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kmMQA&#10;AADcAAAADwAAAGRycy9kb3ducmV2LnhtbESPQWsCMRSE70L/Q3gFb5q10i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JjEAAAA3AAAAA8AAAAAAAAAAAAAAAAAmAIAAGRycy9k&#10;b3ducmV2LnhtbFBLBQYAAAAABAAEAPUAAACJAwAAAAA=&#10;" filled="f"/>
                    <v:rect id="Rectangle 87" o:spid="_x0000_s1028"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KTzcQA&#10;AADcAAAADwAAAGRycy9kb3ducmV2LnhtbESPUWvCQBCE3wX/w7FC3/RShVZSL0EEi5SWovYHLHfb&#10;XEhuL8ldNf57r1Do4zA73+xsytG14kJDqD0reFxkIIi1NzVXCr7O+/kaRIjIBlvPpOBGAcpiOtlg&#10;bvyVj3Q5xUokCIccFdgYu1zKoC05DAvfESfv2w8OY5JDJc2A1wR3rVxm2ZN0WHNqsNjRzpJuTj8u&#10;vfH2anXffGwbDu4Tfb/u31Er9TAbty8gIo3x//gvfTAKVs9L+B2TCC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yk83EAAAA3AAAAA8AAAAAAAAAAAAAAAAAmAIAAGRycy9k&#10;b3ducmV2LnhtbFBLBQYAAAAABAAEAPUAAACJAwAAAAA=&#10;" fillcolor="#28476d [2405]" stroked="f">
                      <v:textbox>
                        <w:txbxContent>
                          <w:sdt>
                            <w:sdtPr>
                              <w:rPr>
                                <w:rFonts w:asciiTheme="majorHAnsi" w:hAnsiTheme="majorHAnsi"/>
                                <w:b/>
                                <w:color w:val="EEECE1" w:themeColor="background2"/>
                                <w:spacing w:val="60"/>
                                <w:sz w:val="28"/>
                                <w:szCs w:val="28"/>
                              </w:rPr>
                              <w:alias w:val="Address"/>
                              <w:id w:val="94750077"/>
                              <w:dataBinding w:prefixMappings="xmlns:ns0='http://schemas.microsoft.com/office/2006/coverPageProps'" w:xpath="/ns0:CoverPageProperties[1]/ns0:CompanyAddress[1]" w:storeItemID="{55AF091B-3C7A-41E3-B477-F2FDAA23CFDA}"/>
                              <w:text w:multiLine="1"/>
                            </w:sdtPr>
                            <w:sdtContent>
                              <w:p w:rsidR="00CE3BCA" w:rsidRDefault="00CE3BCA" w:rsidP="00D61BEB">
                                <w:pPr>
                                  <w:pStyle w:val="NoSpacing"/>
                                  <w:jc w:val="center"/>
                                  <w:rPr>
                                    <w:smallCaps/>
                                    <w:color w:val="FFFFFF" w:themeColor="background1"/>
                                    <w:spacing w:val="60"/>
                                    <w:sz w:val="28"/>
                                    <w:szCs w:val="28"/>
                                  </w:rPr>
                                </w:pPr>
                                <w:r w:rsidRPr="00D61BEB">
                                  <w:rPr>
                                    <w:rFonts w:asciiTheme="majorHAnsi" w:hAnsiTheme="majorHAnsi"/>
                                    <w:b/>
                                    <w:color w:val="EEECE1" w:themeColor="background2"/>
                                    <w:spacing w:val="60"/>
                                    <w:sz w:val="28"/>
                                    <w:szCs w:val="28"/>
                                  </w:rPr>
                                  <w:t>www.transgaz.ro</w:t>
                                </w:r>
                              </w:p>
                            </w:sdtContent>
                          </w:sdt>
                        </w:txbxContent>
                      </v:textbox>
                    </v:rect>
                    <v:rect id="Rectangle 86" o:spid="_x0000_s1029"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DicQA&#10;AADcAAAADwAAAGRycy9kb3ducmV2LnhtbESPzWrDMBCE74W8g9hAb438A01wowS3UOihgSbpAyzW&#10;xhaxVkZSE9dPHxUKOQ4z8w2z3o62FxfywThWkC8yEMSN04ZbBd/H96cViBCRNfaOScEvBdhuZg9r&#10;rLS78p4uh9iKBOFQoYIuxqGSMjQdWQwLNxAn7+S8xZikb6X2eE1w28siy56lRcNpocOB3jpqzocf&#10;q2C3nOpgMLOvHqfVZ2Fz84W5Uo/zsX4BEWmM9/B/+0MrKJcl/J1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4nEAAAA3AAAAA8AAAAAAAAAAAAAAAAAmAIAAGRycy9k&#10;b3ducmV2LnhtbFBLBQYAAAAABAAEAPUAAACJAwAAAAA=&#10;" fillcolor="#215a69 [1640]" strokecolor="#40a7c2 [3048]">
                      <v:fill color2="#3da5c1 [3016]" rotate="t" angle="180" colors="0 #2787a0;52429f #36b1d2;1 #34b3d6" focus="100%" type="gradient">
                        <o:fill v:ext="view" type="gradientUnscaled"/>
                      </v:fill>
                    </v:rect>
                    <v:rect id="Rectangle 85" o:spid="_x0000_s1030"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4ccYA&#10;AADcAAAADwAAAGRycy9kb3ducmV2LnhtbESPW2vCQBCF3wv+h2WEvhTd9EIN0VVKoWBFkHp5H7Jj&#10;NpqdDdmtSfrrXUHo4+HM+c6c2aKzlbhQ40vHCp7HCQji3OmSCwX73dcoBeEDssbKMSnoycNiPniY&#10;YaZdyz902YZCRAj7DBWYEOpMSp8bsujHriaO3tE1FkOUTSF1g22E20q+JMm7tFhybDBY06eh/Lz9&#10;tfGNTbp++l7+pZU54HnTFj2eVr1Sj8PuYwoiUBf+j+/ppVbwOnmD25hI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4ccYAAADcAAAADwAAAAAAAAAAAAAAAACYAgAAZHJz&#10;L2Rvd25yZXYueG1sUEsFBgAAAAAEAAQA9QAAAIsDAAAAAA==&#10;" fillcolor="#1b304a [1637]" strokecolor="#335a8a [3045]">
                      <v:fill color2="#325988 [3013]" rotate="t" angle="180" colors="0 #1b4475;52429f #275c9b;1 #255c9e" focus="100%" type="gradient">
                        <o:fill v:ext="view" type="gradientUnscaled"/>
                      </v:fill>
                    </v:rect>
                    <v:rect id="Rectangle 82" o:spid="_x0000_s1031"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LucMA&#10;AADcAAAADwAAAGRycy9kb3ducmV2LnhtbESPUWsCMRCE3wX/Q1ihbzWn0iqnUUSolFIpVX/AkqyX&#10;4y6bu0uq13/fFAQfh9n5Zme16V0trtSF0rOCyTgDQay9KblQcD69PS9AhIhssPZMCn4pwGY9HKww&#10;N/7G33Q9xkIkCIccFdgYm1zKoC05DGPfECfv4juHMcmukKbDW4K7Wk6z7FU6LDk1WGxoZ0lXxx+X&#10;3vjYW91Wh23FwX2hbxftJ2qlnkb9dgkiUh8fx/f0u1Ewm7/A/5hE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sLucMAAADcAAAADwAAAAAAAAAAAAAAAACYAgAAZHJzL2Rv&#10;d25yZXYueG1sUEsFBgAAAAAEAAQA9QAAAIgDAAAAAA==&#10;" fillcolor="#28476d [2405]" stroked="f">
                      <v:textbox>
                        <w:txbxContent>
                          <w:p w:rsidR="00CE3BCA" w:rsidRDefault="00CE3BCA">
                            <w:pPr>
                              <w:pStyle w:val="NoSpacing"/>
                              <w:rPr>
                                <w:rFonts w:asciiTheme="majorHAnsi" w:eastAsiaTheme="majorEastAsia" w:hAnsiTheme="majorHAnsi" w:cstheme="majorBidi"/>
                                <w:color w:val="DBE5F1" w:themeColor="accent1" w:themeTint="33"/>
                                <w:sz w:val="56"/>
                                <w:szCs w:val="56"/>
                              </w:rPr>
                            </w:pPr>
                          </w:p>
                        </w:txbxContent>
                      </v:textbox>
                    </v:rect>
                    <v:rect id="Rectangle 81" o:spid="_x0000_s1032"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OKsMA&#10;AADcAAAADwAAAGRycy9kb3ducmV2LnhtbESPQWvCQBSE74X+h+UVvNWNSmOJrsEUAr2VasDrI/ua&#10;hGTfht2tRn99VxB6HGbmG2abT2YQZ3K+s6xgMU9AENdWd9woqI7l6zsIH5A1DpZJwZU85Lvnpy1m&#10;2l74m86H0IgIYZ+hgjaEMZPS1y0Z9HM7EkfvxzqDIUrXSO3wEuFmkMskSaXBjuNCiyN9tFT3h1+j&#10;wAxU6l5z76qvU/+W3oqy8oVSs5dpvwERaAr/4Uf7UytYrVO4n4lH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hOKsMAAADcAAAADwAAAAAAAAAAAAAAAACYAgAAZHJzL2Rv&#10;d25yZXYueG1sUEsFBgAAAAAEAAQA9QAAAIgDAAAAAA==&#10;" fillcolor="#28476d [2405]" stroked="f"/>
                    <v:rect id="Rectangle 80" o:spid="_x0000_s1033"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rscMA&#10;AADcAAAADwAAAGRycy9kb3ducmV2LnhtbESPwWrDMBBE74X8g9hAbrWchNrFiRKSgqG3UtfQ62Jt&#10;bWNrZSQ1cfL1VaHQ4zAzb5j9cTajuJDzvWUF6yQFQdxY3XOroP4oH59B+ICscbRMCm7k4XhYPOyx&#10;0PbK73SpQisihH2BCroQpkJK33Rk0Cd2Io7el3UGQ5SuldrhNcLNKDdpmkmDPceFDid66agZqm+j&#10;wIxU6kHz4Oq3z+Epu5/L2p+VWi3n0w5EoDn8h//ar1rBNs/h90w8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TrscMAAADcAAAADwAAAAAAAAAAAAAAAACYAgAAZHJzL2Rv&#10;d25yZXYueG1sUEsFBgAAAAAEAAQA9QAAAIgDAAAAAA==&#10;" fillcolor="#28476d [2405]" stroked="f">
                      <v:textbox>
                        <w:txbxContent>
                          <w:p w:rsidR="00CE3BCA" w:rsidRPr="007A5442" w:rsidRDefault="00CE3BCA" w:rsidP="007A5442">
                            <w:pPr>
                              <w:jc w:val="center"/>
                              <w:rPr>
                                <w:rFonts w:asciiTheme="majorHAnsi" w:hAnsiTheme="majorHAnsi"/>
                                <w:b/>
                                <w:color w:val="FFFFFF" w:themeColor="background1"/>
                                <w:sz w:val="72"/>
                                <w:szCs w:val="72"/>
                                <w:lang w:val="ro-RO"/>
                              </w:rPr>
                            </w:pPr>
                            <w:r w:rsidRPr="007A5442">
                              <w:rPr>
                                <w:rFonts w:asciiTheme="majorHAnsi" w:hAnsiTheme="majorHAnsi"/>
                                <w:b/>
                                <w:color w:val="FFFFFF" w:themeColor="background1"/>
                                <w:sz w:val="72"/>
                                <w:szCs w:val="72"/>
                                <w:lang w:val="ro-RO"/>
                              </w:rPr>
                              <w:t>201</w:t>
                            </w:r>
                            <w:r>
                              <w:rPr>
                                <w:rFonts w:asciiTheme="majorHAnsi" w:hAnsiTheme="majorHAnsi"/>
                                <w:b/>
                                <w:color w:val="FFFFFF" w:themeColor="background1"/>
                                <w:sz w:val="72"/>
                                <w:szCs w:val="72"/>
                                <w:lang w:val="ro-RO"/>
                              </w:rPr>
                              <w:t>6</w:t>
                            </w:r>
                          </w:p>
                        </w:txbxContent>
                      </v:textbox>
                    </v:rect>
                    <v:rect id="Rectangle 79" o:spid="_x0000_s1034"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w78A&#10;AADcAAAADwAAAGRycy9kb3ducmV2LnhtbERPTYvCMBC9C/6HMMLebKqyKtUoKhS8LasFr0MztqXN&#10;pCRRu/76zWFhj4/3vd0PphNPcr6xrGCWpCCIS6sbrhQU13y6BuEDssbOMin4IQ/73Xi0xUzbF3/T&#10;8xIqEUPYZ6igDqHPpPRlTQZ9YnviyN2tMxgidJXUDl8x3HRynqZLabDh2FBjT6eayvbyMApMR7lu&#10;Nbeu+Lq1n8v3MS/8UamPyXDYgAg0hH/xn/usFSxWcW08E4+A3P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O3/DvwAAANwAAAAPAAAAAAAAAAAAAAAAAJgCAABkcnMvZG93bnJl&#10;di54bWxQSwUGAAAAAAQABAD1AAAAhAMAAAAA&#10;" fillcolor="#28476d [2405]" stroked="f"/>
                    <v:rect id="Rectangle 84" o:spid="_x0000_s1035"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9wMYA&#10;AADcAAAADwAAAGRycy9kb3ducmV2LnhtbESPQWvCQBSE70L/w/IEb7qJirapq4ggeJCaWtH29sg+&#10;k9Ds25BdNf33riD0OMzMN8xs0ZpKXKlxpWUF8SACQZxZXXKu4PC17r+CcB5ZY2WZFPyRg8X8pTPD&#10;RNsbf9J173MRIOwSVFB4XydSuqwgg25ga+LgnW1j0AfZ5FI3eAtwU8lhFE2kwZLDQoE1rQrKfvcX&#10;o+Bbp6dLLuOP8Sluj9ufXZpOR6lSvW67fAfhqfX/4Wd7oxWMpm/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h9wMYAAADcAAAADwAAAAAAAAAAAAAAAACYAgAAZHJz&#10;L2Rvd25yZXYueG1sUEsFBgAAAAAEAAQA9QAAAIsDAAAAAA==&#10;" fillcolor="#265795 [1641]" strokecolor="#7da8de [3049]">
                      <v:fill color2="#7aa6dd [3017]" rotate="t" angle="180" colors="0 #5d83b1;52429f #7cace7;1 #7badea" focus="100%" type="gradient">
                        <o:fill v:ext="view" type="gradientUnscaled"/>
                      </v:fill>
                    </v:rect>
                    <v:rect id="Rectangle 83" o:spid="_x0000_s1036"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CJJsIA&#10;AADcAAAADwAAAGRycy9kb3ducmV2LnhtbERP3WrCMBS+H/gO4QjezcQJU6ux1LLCtpsx9QGOzbEt&#10;bU5KE7V7++VisMuP73+XjrYTdxp841jDYq5AEJfONFxpOJ+K5zUIH5ANdo5Jww95SPeTpx0mxj34&#10;m+7HUIkYwj5BDXUIfSKlL2uy6OeuJ47c1Q0WQ4RDJc2AjxhuO/mi1Ku02HBsqLGnvKayPd6shrev&#10;1e1yaItTlhej+rQb9bG6Kq1n0zHbggg0hn/xn/vdaFiu4/x4Jh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4IkmwgAAANwAAAAPAAAAAAAAAAAAAAAAAJgCAABkcnMvZG93&#10;bnJldi54bWxQSwUGAAAAAAQABAD1AAAAhwMAAAAA&#10;" fillcolor="#365f91 [2404]" strokecolor="#a6d5e2 [3046]">
                      <v:textbox inset="18pt,,18pt">
                        <w:txbxContent>
                          <w:sdt>
                            <w:sdtPr>
                              <w:rPr>
                                <w:rFonts w:asciiTheme="majorHAnsi" w:eastAsiaTheme="majorEastAsia" w:hAnsiTheme="majorHAnsi" w:cstheme="majorBidi"/>
                                <w:b/>
                                <w:color w:val="FFFFFF" w:themeColor="background1"/>
                                <w:sz w:val="72"/>
                                <w:szCs w:val="72"/>
                              </w:rPr>
                              <w:alias w:val="Title"/>
                              <w:id w:val="309681173"/>
                              <w:dataBinding w:prefixMappings="xmlns:ns0='http://schemas.openxmlformats.org/package/2006/metadata/core-properties' xmlns:ns1='http://purl.org/dc/elements/1.1/'" w:xpath="/ns0:coreProperties[1]/ns1:title[1]" w:storeItemID="{6C3C8BC8-F283-45AE-878A-BAB7291924A1}"/>
                              <w:text/>
                            </w:sdtPr>
                            <w:sdtContent>
                              <w:p w:rsidR="00CE3BCA" w:rsidRPr="0019488F" w:rsidRDefault="00CE3BCA" w:rsidP="0019488F">
                                <w:pPr>
                                  <w:spacing w:after="0" w:line="240" w:lineRule="auto"/>
                                  <w:jc w:val="center"/>
                                  <w:rPr>
                                    <w:rFonts w:asciiTheme="majorHAnsi" w:eastAsiaTheme="majorEastAsia" w:hAnsiTheme="majorHAnsi" w:cstheme="majorBidi"/>
                                    <w:b/>
                                    <w:color w:val="1B3049" w:themeColor="accent2" w:themeShade="80"/>
                                    <w:sz w:val="72"/>
                                    <w:szCs w:val="72"/>
                                  </w:rPr>
                                </w:pPr>
                                <w:r>
                                  <w:rPr>
                                    <w:rFonts w:asciiTheme="majorHAnsi" w:eastAsiaTheme="majorEastAsia" w:hAnsiTheme="majorHAnsi" w:cstheme="majorBidi"/>
                                    <w:b/>
                                    <w:color w:val="FFFFFF" w:themeColor="background1"/>
                                    <w:sz w:val="72"/>
                                    <w:szCs w:val="72"/>
                                  </w:rPr>
                                  <w:t>REPORT ISSUED BY THE BOARD OF  ADMINISTRATION</w:t>
                                </w:r>
                              </w:p>
                            </w:sdtContent>
                          </w:sdt>
                          <w:p w:rsidR="00CE3BCA" w:rsidRDefault="00CE3BCA">
                            <w:pPr>
                              <w:jc w:val="right"/>
                              <w:rPr>
                                <w:color w:val="FFFFFF" w:themeColor="background1"/>
                                <w:sz w:val="40"/>
                                <w:szCs w:val="40"/>
                              </w:rPr>
                            </w:pPr>
                          </w:p>
                        </w:txbxContent>
                      </v:textbox>
                    </v:rect>
                    <v:rect id="Rectangle 78" o:spid="_x0000_s1037"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INMQA&#10;AADcAAAADwAAAGRycy9kb3ducmV2LnhtbESPzWrDMBCE74G+g9hCb4nsBkLiRgmlkCa95aeHHrfW&#10;VjaVVkZSbfftq0Igx2FmvmHW29FZ0VOIrWcF5awAQVx73bJR8H7ZTZcgYkLWaD2Tgl+KsN3cTdZY&#10;aT/wifpzMiJDOFaooEmpq6SMdUMO48x3xNn78sFhyjIYqQMOGe6sfCyKhXTYcl5osKOXhurv849T&#10;YHH3sf80vF+9vS5MOQ/HQ28HpR7ux+cnEInGdAtf2wetYL4s4f9MP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hyDTEAAAA3AAAAA8AAAAAAAAAAAAAAAAAmAIAAGRycy9k&#10;b3ducmV2LnhtbFBLBQYAAAAABAAEAPUAAACJAwAAAAA=&#10;" fillcolor="#28476d [2405]" stroked="f">
                      <v:textbox inset="18pt,,18pt">
                        <w:txbxContent>
                          <w:p w:rsidR="00CE3BCA" w:rsidRDefault="00CE3BCA" w:rsidP="0019488F">
                            <w:pPr>
                              <w:pStyle w:val="NoSpacing"/>
                              <w:jc w:val="center"/>
                              <w:rPr>
                                <w:smallCaps/>
                                <w:color w:val="FFFFFF" w:themeColor="background1"/>
                                <w:sz w:val="44"/>
                                <w:szCs w:val="44"/>
                              </w:rPr>
                            </w:pPr>
                            <w:sdt>
                              <w:sdtPr>
                                <w:rPr>
                                  <w:rFonts w:asciiTheme="majorHAnsi" w:hAnsiTheme="majorHAnsi"/>
                                  <w:b/>
                                  <w:color w:val="FFFFFF" w:themeColor="background1"/>
                                  <w:sz w:val="28"/>
                                  <w:szCs w:val="28"/>
                                </w:rPr>
                                <w:alias w:val="Company"/>
                                <w:id w:val="-1142506160"/>
                                <w:dataBinding w:prefixMappings="xmlns:ns0='http://schemas.openxmlformats.org/officeDocument/2006/extended-properties'" w:xpath="/ns0:Properties[1]/ns0:Company[1]" w:storeItemID="{6668398D-A668-4E3E-A5EB-62B293D839F1}"/>
                                <w:text/>
                              </w:sdtPr>
                              <w:sdtContent>
                                <w:r>
                                  <w:rPr>
                                    <w:rFonts w:asciiTheme="majorHAnsi" w:hAnsiTheme="majorHAnsi"/>
                                    <w:b/>
                                    <w:color w:val="FFFFFF" w:themeColor="background1"/>
                                    <w:sz w:val="28"/>
                                    <w:szCs w:val="28"/>
                                  </w:rPr>
                                  <w:t>THE NATIONAL GAS TRANSMISSION COMPANY TRANSGAZ SA</w:t>
                                </w:r>
                              </w:sdtContent>
                            </w:sdt>
                          </w:p>
                        </w:txbxContent>
                      </v:textbox>
                    </v:rect>
                    <w10:wrap anchorx="page" anchory="page"/>
                  </v:group>
                </w:pict>
              </mc:Fallback>
            </mc:AlternateContent>
          </w:r>
          <w:r w:rsidR="007A5442" w:rsidRPr="00322BD0">
            <w:rPr>
              <w:rFonts w:ascii="Times New Roman" w:eastAsia="Times New Roman" w:hAnsi="Times New Roman" w:cs="Times New Roman"/>
              <w:noProof/>
              <w:sz w:val="24"/>
              <w:szCs w:val="24"/>
              <w:lang w:val="ro-RO" w:eastAsia="ro-RO"/>
            </w:rPr>
            <mc:AlternateContent>
              <mc:Choice Requires="wps">
                <w:drawing>
                  <wp:anchor distT="0" distB="0" distL="114300" distR="114300" simplePos="0" relativeHeight="251832320" behindDoc="0" locked="0" layoutInCell="1" allowOverlap="1" wp14:anchorId="0D682EDC" wp14:editId="70DA69B6">
                    <wp:simplePos x="0" y="0"/>
                    <wp:positionH relativeFrom="column">
                      <wp:posOffset>4630420</wp:posOffset>
                    </wp:positionH>
                    <wp:positionV relativeFrom="paragraph">
                      <wp:posOffset>7535545</wp:posOffset>
                    </wp:positionV>
                    <wp:extent cx="1805940" cy="1419225"/>
                    <wp:effectExtent l="0" t="0" r="22860" b="28575"/>
                    <wp:wrapSquare wrapText="bothSides"/>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5940" cy="1419225"/>
                            </a:xfrm>
                            <a:prstGeom prst="rect">
                              <a:avLst/>
                            </a:prstGeom>
                            <a:blipFill rotWithShape="0">
                              <a:blip r:embed="rId10"/>
                              <a:stretch>
                                <a:fillRect/>
                              </a:stretch>
                            </a:blipFill>
                            <a:ln w="25400" cap="flat" cmpd="sng" algn="ctr">
                              <a:solidFill>
                                <a:srgbClr val="336699">
                                  <a:shade val="80000"/>
                                  <a:hueOff val="211681"/>
                                  <a:satOff val="-14010"/>
                                  <a:lumOff val="15876"/>
                                  <a:alphaOff val="0"/>
                                </a:srgbClr>
                              </a:solidFill>
                              <a:prstDash val="solid"/>
                            </a:ln>
                            <a:effectLst>
                              <a:softEdge rad="63500"/>
                            </a:effectLst>
                          </wps:spPr>
                          <wps:bodyPr/>
                        </wps:wsp>
                      </a:graphicData>
                    </a:graphic>
                    <wp14:sizeRelH relativeFrom="margin">
                      <wp14:pctWidth>0</wp14:pctWidth>
                    </wp14:sizeRelH>
                    <wp14:sizeRelV relativeFrom="margin">
                      <wp14:pctHeight>0</wp14:pctHeight>
                    </wp14:sizeRelV>
                  </wp:anchor>
                </w:drawing>
              </mc:Choice>
              <mc:Fallback>
                <w:pict>
                  <v:rect w14:anchorId="41DE6A9F" id="Rectangle 51" o:spid="_x0000_s1026" style="position:absolute;margin-left:364.6pt;margin-top:593.35pt;width:142.2pt;height:11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" strokecolor="#577fb1" strokeweight="2pt">
                    <v:fill r:id="rId11" o:title="" recolor="t" type="frame"/>
                    <v:path arrowok="t"/>
                    <w10:wrap type="square"/>
                  </v:rect>
                </w:pict>
              </mc:Fallback>
            </mc:AlternateContent>
          </w:r>
          <w:r w:rsidR="007A5442" w:rsidRPr="00322BD0">
            <w:rPr>
              <w:noProof/>
              <w:lang w:val="ro-RO" w:eastAsia="ro-RO"/>
            </w:rPr>
            <w:drawing>
              <wp:anchor distT="0" distB="0" distL="114300" distR="114300" simplePos="0" relativeHeight="251834368" behindDoc="0" locked="0" layoutInCell="1" allowOverlap="1" wp14:anchorId="06166960" wp14:editId="24D53DE6">
                <wp:simplePos x="0" y="0"/>
                <wp:positionH relativeFrom="column">
                  <wp:posOffset>4667250</wp:posOffset>
                </wp:positionH>
                <wp:positionV relativeFrom="paragraph">
                  <wp:posOffset>6305550</wp:posOffset>
                </wp:positionV>
                <wp:extent cx="1748155" cy="1228725"/>
                <wp:effectExtent l="0" t="0" r="4445" b="9525"/>
                <wp:wrapSquare wrapText="bothSides"/>
                <wp:docPr id="81" name="Picture 81" descr="http://www.stcu.ro/dyn_img/Responsabilitate-soci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cu.ro/dyn_img/Responsabilitate-social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815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1BEB" w:rsidRPr="00322BD0">
            <w:rPr>
              <w:rFonts w:ascii="Times New Roman" w:eastAsia="Times New Roman" w:hAnsi="Times New Roman" w:cs="Times New Roman"/>
              <w:noProof/>
              <w:sz w:val="24"/>
              <w:szCs w:val="24"/>
              <w:lang w:val="ro-RO" w:eastAsia="ro-RO"/>
            </w:rPr>
            <mc:AlternateContent>
              <mc:Choice Requires="wps">
                <w:drawing>
                  <wp:anchor distT="0" distB="0" distL="114300" distR="114300" simplePos="0" relativeHeight="251830272" behindDoc="0" locked="0" layoutInCell="1" allowOverlap="1" wp14:anchorId="23B478F9" wp14:editId="5D91A8D2">
                    <wp:simplePos x="0" y="0"/>
                    <wp:positionH relativeFrom="column">
                      <wp:posOffset>4629150</wp:posOffset>
                    </wp:positionH>
                    <wp:positionV relativeFrom="paragraph">
                      <wp:posOffset>4781550</wp:posOffset>
                    </wp:positionV>
                    <wp:extent cx="1816100" cy="1621790"/>
                    <wp:effectExtent l="0" t="0" r="12700" b="1651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0" cy="1621790"/>
                            </a:xfrm>
                            <a:prstGeom prst="rect">
                              <a:avLst/>
                            </a:prstGeom>
                            <a:blipFill rotWithShape="0">
                              <a:blip r:embed="rId13"/>
                              <a:stretch>
                                <a:fillRect/>
                              </a:stretch>
                            </a:blipFill>
                            <a:ln w="25400" cap="flat" cmpd="sng" algn="ctr">
                              <a:solidFill>
                                <a:srgbClr val="4F81BD">
                                  <a:lumMod val="40000"/>
                                  <a:lumOff val="60000"/>
                                  <a:alpha val="70000"/>
                                </a:srgbClr>
                              </a:solidFill>
                              <a:prstDash val="solid"/>
                            </a:ln>
                            <a:effectLst>
                              <a:softEdge rad="127000"/>
                            </a:effectLst>
                          </wps:spPr>
                          <wps:bodyPr/>
                        </wps:wsp>
                      </a:graphicData>
                    </a:graphic>
                    <wp14:sizeRelH relativeFrom="margin">
                      <wp14:pctWidth>0</wp14:pctWidth>
                    </wp14:sizeRelH>
                    <wp14:sizeRelV relativeFrom="margin">
                      <wp14:pctHeight>0</wp14:pctHeight>
                    </wp14:sizeRelV>
                  </wp:anchor>
                </w:drawing>
              </mc:Choice>
              <mc:Fallback>
                <w:pict>
                  <v:rect w14:anchorId="511DA73B" id="Rectangle 32" o:spid="_x0000_s1026" style="position:absolute;margin-left:364.5pt;margin-top:376.5pt;width:143pt;height:127.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" strokecolor="#b9cde5" strokeweight="2pt">
                    <v:fill r:id="rId14" o:title="" recolor="t" type="frame"/>
                    <v:stroke opacity="46003f"/>
                    <v:path arrowok="t"/>
                    <w10:wrap type="square"/>
                  </v:rect>
                </w:pict>
              </mc:Fallback>
            </mc:AlternateContent>
          </w:r>
          <w:r w:rsidR="00D61BEB" w:rsidRPr="00322BD0">
            <w:rPr>
              <w:bCs/>
              <w:i/>
              <w:iCs/>
              <w:noProof/>
              <w:lang w:val="ro-RO" w:eastAsia="ro-RO"/>
            </w:rPr>
            <w:drawing>
              <wp:anchor distT="0" distB="0" distL="114300" distR="114300" simplePos="0" relativeHeight="251828224" behindDoc="0" locked="0" layoutInCell="1" allowOverlap="1" wp14:anchorId="38065B41" wp14:editId="66E793B8">
                <wp:simplePos x="0" y="0"/>
                <wp:positionH relativeFrom="column">
                  <wp:posOffset>4670425</wp:posOffset>
                </wp:positionH>
                <wp:positionV relativeFrom="paragraph">
                  <wp:posOffset>3333750</wp:posOffset>
                </wp:positionV>
                <wp:extent cx="1771015" cy="1390650"/>
                <wp:effectExtent l="0" t="0" r="63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101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BEB" w:rsidRPr="00322BD0">
            <w:rPr>
              <w:bCs/>
              <w:i/>
              <w:iCs/>
              <w:noProof/>
              <w:lang w:val="ro-RO" w:eastAsia="ro-RO"/>
            </w:rPr>
            <w:drawing>
              <wp:anchor distT="0" distB="0" distL="114300" distR="114300" simplePos="0" relativeHeight="251826176" behindDoc="0" locked="0" layoutInCell="1" allowOverlap="1" wp14:anchorId="5D1AE224" wp14:editId="6B627949">
                <wp:simplePos x="0" y="0"/>
                <wp:positionH relativeFrom="column">
                  <wp:posOffset>4655185</wp:posOffset>
                </wp:positionH>
                <wp:positionV relativeFrom="paragraph">
                  <wp:posOffset>1990725</wp:posOffset>
                </wp:positionV>
                <wp:extent cx="1733550" cy="1388110"/>
                <wp:effectExtent l="0" t="0" r="0" b="254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355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BEB" w:rsidRPr="00322BD0">
            <w:rPr>
              <w:noProof/>
              <w:lang w:val="ro-RO" w:eastAsia="ro-RO"/>
            </w:rPr>
            <w:drawing>
              <wp:anchor distT="0" distB="0" distL="114300" distR="114300" simplePos="0" relativeHeight="251824128" behindDoc="0" locked="0" layoutInCell="1" allowOverlap="1" wp14:anchorId="3BD3C92D" wp14:editId="46D98D4D">
                <wp:simplePos x="0" y="0"/>
                <wp:positionH relativeFrom="column">
                  <wp:posOffset>4657725</wp:posOffset>
                </wp:positionH>
                <wp:positionV relativeFrom="paragraph">
                  <wp:posOffset>600075</wp:posOffset>
                </wp:positionV>
                <wp:extent cx="1763395" cy="1390015"/>
                <wp:effectExtent l="0" t="0" r="8255"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339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0DC3" w:rsidRPr="00322BD0">
            <w:rPr>
              <w:b/>
              <w:lang w:val="en-GB" w:eastAsia="en-US"/>
            </w:rPr>
            <w:br w:type="page"/>
          </w:r>
        </w:sdtContent>
      </w:sdt>
    </w:p>
    <w:sdt>
      <w:sdtPr>
        <w:rPr>
          <w:rFonts w:asciiTheme="minorHAnsi" w:eastAsiaTheme="minorEastAsia" w:hAnsiTheme="minorHAnsi" w:cstheme="minorBidi"/>
          <w:b w:val="0"/>
          <w:bCs w:val="0"/>
          <w:i w:val="0"/>
          <w:iCs w:val="0"/>
          <w:sz w:val="22"/>
          <w:szCs w:val="22"/>
          <w:lang w:val="en-GB" w:bidi="ar-SA"/>
        </w:rPr>
        <w:id w:val="-2110186835"/>
        <w:docPartObj>
          <w:docPartGallery w:val="Table of Contents"/>
          <w:docPartUnique/>
        </w:docPartObj>
      </w:sdtPr>
      <w:sdtEndPr/>
      <w:sdtContent>
        <w:p w:rsidR="00493073" w:rsidRPr="00322BD0" w:rsidRDefault="00493073">
          <w:pPr>
            <w:pStyle w:val="TOCHeading"/>
            <w:rPr>
              <w:lang w:val="en-GB"/>
            </w:rPr>
          </w:pPr>
          <w:r w:rsidRPr="00322BD0">
            <w:rPr>
              <w:lang w:val="en-GB"/>
            </w:rPr>
            <w:t>Contents</w:t>
          </w:r>
        </w:p>
        <w:p w:rsidR="00493073" w:rsidRPr="00322BD0" w:rsidRDefault="00493073" w:rsidP="00493073">
          <w:pPr>
            <w:shd w:val="clear" w:color="auto" w:fill="FFFFFF"/>
            <w:spacing w:after="0" w:line="240" w:lineRule="auto"/>
            <w:ind w:firstLine="0"/>
            <w:jc w:val="both"/>
            <w:rPr>
              <w:rFonts w:ascii="Cambria" w:eastAsia="Times New Roman" w:hAnsi="Cambria" w:cs="Times New Roman"/>
              <w:lang w:val="en-GB" w:bidi="en-US"/>
            </w:rPr>
          </w:pPr>
          <w:r w:rsidRPr="00322BD0">
            <w:rPr>
              <w:rFonts w:ascii="Cambria" w:eastAsia="Times New Roman" w:hAnsi="Cambria" w:cs="Times New Roman"/>
              <w:lang w:val="en-GB" w:bidi="en-US"/>
            </w:rPr>
            <w:t xml:space="preserve">MESSAGE OF THE CHAIRMAN OF THE </w:t>
          </w:r>
          <w:r w:rsidR="00CE05FA" w:rsidRPr="00322BD0">
            <w:rPr>
              <w:rFonts w:ascii="Cambria" w:eastAsia="Times New Roman" w:hAnsi="Cambria" w:cs="Times New Roman"/>
              <w:lang w:val="en-GB" w:bidi="en-US"/>
            </w:rPr>
            <w:t>BOARD OF ADMINISTRATION</w:t>
          </w:r>
          <w:r w:rsidRPr="00322BD0">
            <w:rPr>
              <w:rFonts w:ascii="Cambria" w:eastAsia="Times New Roman" w:hAnsi="Cambria" w:cs="Times New Roman"/>
              <w:lang w:val="en-GB" w:bidi="en-US"/>
            </w:rPr>
            <w:t>……………………………………..2</w:t>
          </w:r>
        </w:p>
        <w:p w:rsidR="0058165E" w:rsidRPr="00322BD0" w:rsidRDefault="00493073">
          <w:pPr>
            <w:pStyle w:val="TOC1"/>
            <w:rPr>
              <w:rFonts w:asciiTheme="minorHAnsi" w:hAnsiTheme="minorHAnsi"/>
              <w:noProof w:val="0"/>
              <w:lang w:val="en-GB" w:eastAsia="en-US"/>
            </w:rPr>
          </w:pPr>
          <w:r w:rsidRPr="00322BD0">
            <w:rPr>
              <w:noProof w:val="0"/>
              <w:lang w:val="en-GB"/>
            </w:rPr>
            <w:fldChar w:fldCharType="begin"/>
          </w:r>
          <w:r w:rsidRPr="00322BD0">
            <w:rPr>
              <w:noProof w:val="0"/>
              <w:lang w:val="en-GB"/>
            </w:rPr>
            <w:instrText xml:space="preserve"> TOC \o "1-3" \h \z \u </w:instrText>
          </w:r>
          <w:r w:rsidRPr="00322BD0">
            <w:rPr>
              <w:noProof w:val="0"/>
              <w:lang w:val="en-GB"/>
            </w:rPr>
            <w:fldChar w:fldCharType="separate"/>
          </w:r>
          <w:hyperlink w:anchor="_Toc446310806" w:history="1">
            <w:r w:rsidR="0058165E" w:rsidRPr="00322BD0">
              <w:rPr>
                <w:rStyle w:val="Hyperlink"/>
                <w:noProof w:val="0"/>
                <w:lang w:val="en-GB"/>
              </w:rPr>
              <w:t>1. ISSUER IDENTIFICATION DATA</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_Toc446310806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4</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07" w:history="1">
            <w:r w:rsidR="0058165E" w:rsidRPr="00322BD0">
              <w:rPr>
                <w:rStyle w:val="Hyperlink"/>
                <w:rFonts w:ascii="Cambria" w:hAnsi="Cambria"/>
                <w:lang w:val="en-GB"/>
              </w:rPr>
              <w:t xml:space="preserve">1.1 </w:t>
            </w:r>
            <w:r w:rsidR="0058165E" w:rsidRPr="00322BD0">
              <w:rPr>
                <w:rStyle w:val="Hyperlink"/>
                <w:rFonts w:ascii="Cambria" w:eastAsia="Times New Roman" w:hAnsi="Cambria" w:cs="Times New Roman"/>
                <w:lang w:val="en-GB"/>
              </w:rPr>
              <w:t>Report and issuer identification data</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_Toc446310807 \h </w:instrText>
            </w:r>
            <w:r w:rsidR="0058165E" w:rsidRPr="00322BD0">
              <w:rPr>
                <w:webHidden/>
                <w:lang w:val="en-GB"/>
              </w:rPr>
            </w:r>
            <w:r w:rsidR="0058165E" w:rsidRPr="00322BD0">
              <w:rPr>
                <w:webHidden/>
                <w:lang w:val="en-GB"/>
              </w:rPr>
              <w:fldChar w:fldCharType="separate"/>
            </w:r>
            <w:r w:rsidR="00932E13">
              <w:rPr>
                <w:noProof/>
                <w:webHidden/>
                <w:lang w:val="en-GB"/>
              </w:rPr>
              <w:t>4</w:t>
            </w:r>
            <w:r w:rsidR="0058165E" w:rsidRPr="00322BD0">
              <w:rPr>
                <w:webHidden/>
                <w:lang w:val="en-GB"/>
              </w:rPr>
              <w:fldChar w:fldCharType="end"/>
            </w:r>
          </w:hyperlink>
        </w:p>
        <w:p w:rsidR="0058165E" w:rsidRPr="00322BD0" w:rsidRDefault="00BD6E82">
          <w:pPr>
            <w:pStyle w:val="TOC2"/>
            <w:rPr>
              <w:lang w:val="en-GB" w:eastAsia="en-US"/>
            </w:rPr>
          </w:pPr>
          <w:hyperlink w:anchor="_Toc446310808" w:history="1">
            <w:r w:rsidR="0058165E" w:rsidRPr="00322BD0">
              <w:rPr>
                <w:rStyle w:val="Hyperlink"/>
                <w:rFonts w:eastAsia="Times New Roman"/>
                <w:lang w:val="en-GB"/>
              </w:rPr>
              <w:t>1.2 Main activities</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_Toc446310808 \h </w:instrText>
            </w:r>
            <w:r w:rsidR="0058165E" w:rsidRPr="00322BD0">
              <w:rPr>
                <w:webHidden/>
                <w:lang w:val="en-GB"/>
              </w:rPr>
            </w:r>
            <w:r w:rsidR="0058165E" w:rsidRPr="00322BD0">
              <w:rPr>
                <w:webHidden/>
                <w:lang w:val="en-GB"/>
              </w:rPr>
              <w:fldChar w:fldCharType="separate"/>
            </w:r>
            <w:r w:rsidR="00932E13">
              <w:rPr>
                <w:noProof/>
                <w:webHidden/>
                <w:lang w:val="en-GB"/>
              </w:rPr>
              <w:t>4</w:t>
            </w:r>
            <w:r w:rsidR="0058165E" w:rsidRPr="00322BD0">
              <w:rPr>
                <w:webHidden/>
                <w:lang w:val="en-GB"/>
              </w:rPr>
              <w:fldChar w:fldCharType="end"/>
            </w:r>
          </w:hyperlink>
        </w:p>
        <w:p w:rsidR="0058165E" w:rsidRPr="00322BD0" w:rsidRDefault="00BD6E82">
          <w:pPr>
            <w:pStyle w:val="TOC2"/>
            <w:rPr>
              <w:lang w:val="en-GB" w:eastAsia="en-US"/>
            </w:rPr>
          </w:pPr>
          <w:hyperlink w:anchor="_Toc446310809" w:history="1">
            <w:r w:rsidR="0058165E" w:rsidRPr="00322BD0">
              <w:rPr>
                <w:rStyle w:val="Hyperlink"/>
                <w:rFonts w:eastAsia="Times New Roman"/>
                <w:lang w:val="en-GB"/>
              </w:rPr>
              <w:t>1.3 Structure</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_Toc446310809 \h </w:instrText>
            </w:r>
            <w:r w:rsidR="0058165E" w:rsidRPr="00322BD0">
              <w:rPr>
                <w:webHidden/>
                <w:lang w:val="en-GB"/>
              </w:rPr>
            </w:r>
            <w:r w:rsidR="0058165E" w:rsidRPr="00322BD0">
              <w:rPr>
                <w:webHidden/>
                <w:lang w:val="en-GB"/>
              </w:rPr>
              <w:fldChar w:fldCharType="separate"/>
            </w:r>
            <w:r w:rsidR="00932E13">
              <w:rPr>
                <w:noProof/>
                <w:webHidden/>
                <w:lang w:val="en-GB"/>
              </w:rPr>
              <w:t>4</w:t>
            </w:r>
            <w:r w:rsidR="0058165E" w:rsidRPr="00322BD0">
              <w:rPr>
                <w:webHidden/>
                <w:lang w:val="en-GB"/>
              </w:rPr>
              <w:fldChar w:fldCharType="end"/>
            </w:r>
          </w:hyperlink>
        </w:p>
        <w:p w:rsidR="0058165E" w:rsidRPr="00322BD0" w:rsidRDefault="00BD6E82">
          <w:pPr>
            <w:pStyle w:val="TOC2"/>
            <w:rPr>
              <w:lang w:val="en-GB" w:eastAsia="en-US"/>
            </w:rPr>
          </w:pPr>
          <w:hyperlink w:anchor="_Toc446310810" w:history="1">
            <w:r w:rsidR="0058165E" w:rsidRPr="00322BD0">
              <w:rPr>
                <w:rStyle w:val="Hyperlink"/>
                <w:rFonts w:eastAsia="Times New Roman"/>
                <w:lang w:val="en-GB"/>
              </w:rPr>
              <w:t>1.4 Shareholders</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_Toc446310810 \h </w:instrText>
            </w:r>
            <w:r w:rsidR="0058165E" w:rsidRPr="00322BD0">
              <w:rPr>
                <w:webHidden/>
                <w:lang w:val="en-GB"/>
              </w:rPr>
            </w:r>
            <w:r w:rsidR="0058165E" w:rsidRPr="00322BD0">
              <w:rPr>
                <w:webHidden/>
                <w:lang w:val="en-GB"/>
              </w:rPr>
              <w:fldChar w:fldCharType="separate"/>
            </w:r>
            <w:r w:rsidR="00932E13">
              <w:rPr>
                <w:noProof/>
                <w:webHidden/>
                <w:lang w:val="en-GB"/>
              </w:rPr>
              <w:t>6</w:t>
            </w:r>
            <w:r w:rsidR="0058165E" w:rsidRPr="00322BD0">
              <w:rPr>
                <w:webHidden/>
                <w:lang w:val="en-GB"/>
              </w:rPr>
              <w:fldChar w:fldCharType="end"/>
            </w:r>
          </w:hyperlink>
        </w:p>
        <w:p w:rsidR="0058165E" w:rsidRPr="00322BD0" w:rsidRDefault="00BD6E82">
          <w:pPr>
            <w:pStyle w:val="TOC1"/>
            <w:rPr>
              <w:rFonts w:asciiTheme="minorHAnsi" w:hAnsiTheme="minorHAnsi"/>
              <w:noProof w:val="0"/>
              <w:lang w:val="en-GB" w:eastAsia="en-US"/>
            </w:rPr>
          </w:pPr>
          <w:hyperlink w:anchor="_Toc446310811" w:history="1">
            <w:r w:rsidR="0058165E" w:rsidRPr="00322BD0">
              <w:rPr>
                <w:rStyle w:val="Hyperlink"/>
                <w:noProof w:val="0"/>
                <w:lang w:val="en-GB"/>
              </w:rPr>
              <w:t>2.</w:t>
            </w:r>
            <w:r w:rsidR="0058165E" w:rsidRPr="00322BD0">
              <w:rPr>
                <w:rFonts w:asciiTheme="minorHAnsi" w:hAnsiTheme="minorHAnsi"/>
                <w:noProof w:val="0"/>
                <w:lang w:val="en-GB" w:eastAsia="en-US"/>
              </w:rPr>
              <w:tab/>
            </w:r>
            <w:r w:rsidR="0058165E" w:rsidRPr="00322BD0">
              <w:rPr>
                <w:rStyle w:val="Hyperlink"/>
                <w:noProof w:val="0"/>
                <w:lang w:val="en-GB"/>
              </w:rPr>
              <w:t>EXECUTIVE SUMMARY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_Toc446310811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6</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12" w:history="1">
            <w:r w:rsidR="0058165E" w:rsidRPr="00322BD0">
              <w:rPr>
                <w:rStyle w:val="Hyperlink"/>
                <w:rFonts w:eastAsia="Times New Roman"/>
                <w:lang w:val="en-GB"/>
              </w:rPr>
              <w:t>2.1 Indicators of the operational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_Toc446310812 \h </w:instrText>
            </w:r>
            <w:r w:rsidR="0058165E" w:rsidRPr="00322BD0">
              <w:rPr>
                <w:webHidden/>
                <w:lang w:val="en-GB"/>
              </w:rPr>
            </w:r>
            <w:r w:rsidR="0058165E" w:rsidRPr="00322BD0">
              <w:rPr>
                <w:webHidden/>
                <w:lang w:val="en-GB"/>
              </w:rPr>
              <w:fldChar w:fldCharType="separate"/>
            </w:r>
            <w:r w:rsidR="00932E13">
              <w:rPr>
                <w:noProof/>
                <w:webHidden/>
                <w:lang w:val="en-GB"/>
              </w:rPr>
              <w:t>6</w:t>
            </w:r>
            <w:r w:rsidR="0058165E" w:rsidRPr="00322BD0">
              <w:rPr>
                <w:webHidden/>
                <w:lang w:val="en-GB"/>
              </w:rPr>
              <w:fldChar w:fldCharType="end"/>
            </w:r>
          </w:hyperlink>
        </w:p>
        <w:p w:rsidR="0058165E" w:rsidRPr="00322BD0" w:rsidRDefault="00BD6E82">
          <w:pPr>
            <w:pStyle w:val="TOC2"/>
            <w:rPr>
              <w:lang w:val="en-GB" w:eastAsia="en-US"/>
            </w:rPr>
          </w:pPr>
          <w:hyperlink w:anchor="_Toc446310813" w:history="1">
            <w:r w:rsidR="0058165E" w:rsidRPr="00322BD0">
              <w:rPr>
                <w:rStyle w:val="Hyperlink"/>
                <w:lang w:val="en-GB"/>
              </w:rPr>
              <w:t>2.2 Indicators of financial results</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_Toc446310813 \h </w:instrText>
            </w:r>
            <w:r w:rsidR="0058165E" w:rsidRPr="00322BD0">
              <w:rPr>
                <w:webHidden/>
                <w:lang w:val="en-GB"/>
              </w:rPr>
            </w:r>
            <w:r w:rsidR="0058165E" w:rsidRPr="00322BD0">
              <w:rPr>
                <w:webHidden/>
                <w:lang w:val="en-GB"/>
              </w:rPr>
              <w:fldChar w:fldCharType="separate"/>
            </w:r>
            <w:r w:rsidR="00932E13">
              <w:rPr>
                <w:noProof/>
                <w:webHidden/>
                <w:lang w:val="en-GB"/>
              </w:rPr>
              <w:t>13</w:t>
            </w:r>
            <w:r w:rsidR="0058165E" w:rsidRPr="00322BD0">
              <w:rPr>
                <w:webHidden/>
                <w:lang w:val="en-GB"/>
              </w:rPr>
              <w:fldChar w:fldCharType="end"/>
            </w:r>
          </w:hyperlink>
        </w:p>
        <w:p w:rsidR="0058165E" w:rsidRPr="00322BD0" w:rsidRDefault="00BD6E82">
          <w:pPr>
            <w:pStyle w:val="TOC2"/>
            <w:rPr>
              <w:lang w:val="en-GB" w:eastAsia="en-US"/>
            </w:rPr>
          </w:pPr>
          <w:hyperlink w:anchor="_Toc446310814" w:history="1">
            <w:r w:rsidR="0058165E" w:rsidRPr="00322BD0">
              <w:rPr>
                <w:rStyle w:val="Hyperlink"/>
                <w:rFonts w:ascii="Cambria" w:hAnsi="Cambria"/>
                <w:lang w:val="en-GB"/>
              </w:rPr>
              <w:t xml:space="preserve">2.3 </w:t>
            </w:r>
            <w:r w:rsidR="0058165E" w:rsidRPr="00322BD0">
              <w:rPr>
                <w:rStyle w:val="Hyperlink"/>
                <w:rFonts w:ascii="Cambria" w:eastAsia="Times New Roman" w:hAnsi="Cambria" w:cs="Times New Roman"/>
                <w:lang w:val="en-GB"/>
              </w:rPr>
              <w:t>Indicators of the investment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_Toc446310814 \h </w:instrText>
            </w:r>
            <w:r w:rsidR="0058165E" w:rsidRPr="00322BD0">
              <w:rPr>
                <w:webHidden/>
                <w:lang w:val="en-GB"/>
              </w:rPr>
            </w:r>
            <w:r w:rsidR="0058165E" w:rsidRPr="00322BD0">
              <w:rPr>
                <w:webHidden/>
                <w:lang w:val="en-GB"/>
              </w:rPr>
              <w:fldChar w:fldCharType="separate"/>
            </w:r>
            <w:r w:rsidR="00932E13">
              <w:rPr>
                <w:noProof/>
                <w:webHidden/>
                <w:lang w:val="en-GB"/>
              </w:rPr>
              <w:t>16</w:t>
            </w:r>
            <w:r w:rsidR="0058165E" w:rsidRPr="00322BD0">
              <w:rPr>
                <w:webHidden/>
                <w:lang w:val="en-GB"/>
              </w:rPr>
              <w:fldChar w:fldCharType="end"/>
            </w:r>
          </w:hyperlink>
        </w:p>
        <w:p w:rsidR="0058165E" w:rsidRPr="00322BD0" w:rsidRDefault="00BD6E82">
          <w:pPr>
            <w:pStyle w:val="TOC2"/>
            <w:rPr>
              <w:lang w:val="en-GB" w:eastAsia="en-US"/>
            </w:rPr>
          </w:pPr>
          <w:hyperlink w:anchor="_Toc446310815" w:history="1">
            <w:r w:rsidR="0058165E" w:rsidRPr="00322BD0">
              <w:rPr>
                <w:rStyle w:val="Hyperlink"/>
                <w:rFonts w:ascii="Cambria" w:hAnsi="Cambria"/>
                <w:lang w:val="en-GB"/>
              </w:rPr>
              <w:t xml:space="preserve">2.4 </w:t>
            </w:r>
            <w:r w:rsidR="0058165E" w:rsidRPr="00322BD0">
              <w:rPr>
                <w:rStyle w:val="Hyperlink"/>
                <w:rFonts w:ascii="Cambria" w:eastAsia="Times New Roman" w:hAnsi="Cambria" w:cs="Cambria"/>
                <w:lang w:val="en-GB"/>
              </w:rPr>
              <w:t>Indicators of management performance</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_Toc446310815 \h </w:instrText>
            </w:r>
            <w:r w:rsidR="0058165E" w:rsidRPr="00322BD0">
              <w:rPr>
                <w:webHidden/>
                <w:lang w:val="en-GB"/>
              </w:rPr>
            </w:r>
            <w:r w:rsidR="0058165E" w:rsidRPr="00322BD0">
              <w:rPr>
                <w:webHidden/>
                <w:lang w:val="en-GB"/>
              </w:rPr>
              <w:fldChar w:fldCharType="separate"/>
            </w:r>
            <w:r w:rsidR="00932E13">
              <w:rPr>
                <w:noProof/>
                <w:webHidden/>
                <w:lang w:val="en-GB"/>
              </w:rPr>
              <w:t>30</w:t>
            </w:r>
            <w:r w:rsidR="0058165E" w:rsidRPr="00322BD0">
              <w:rPr>
                <w:webHidden/>
                <w:lang w:val="en-GB"/>
              </w:rPr>
              <w:fldChar w:fldCharType="end"/>
            </w:r>
          </w:hyperlink>
        </w:p>
        <w:p w:rsidR="0058165E" w:rsidRPr="00322BD0" w:rsidRDefault="00BD6E82">
          <w:pPr>
            <w:pStyle w:val="TOC1"/>
            <w:rPr>
              <w:rFonts w:asciiTheme="minorHAnsi" w:hAnsiTheme="minorHAnsi"/>
              <w:noProof w:val="0"/>
              <w:lang w:val="en-GB" w:eastAsia="en-US"/>
            </w:rPr>
          </w:pPr>
          <w:hyperlink w:anchor="_Toc446310816" w:history="1">
            <w:r w:rsidR="0058165E" w:rsidRPr="00322BD0">
              <w:rPr>
                <w:rStyle w:val="Hyperlink"/>
                <w:rFonts w:eastAsia="Times New Roman"/>
                <w:noProof w:val="0"/>
                <w:lang w:val="en-GB"/>
              </w:rPr>
              <w:t>3. ANALYSIS OF THE COMPANY’S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_Toc446310816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36</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17" w:history="1">
            <w:r w:rsidR="0058165E" w:rsidRPr="00322BD0">
              <w:rPr>
                <w:rStyle w:val="Hyperlink"/>
                <w:rFonts w:eastAsia="Times New Roman" w:cs="Times New Roman"/>
                <w:lang w:val="en-GB"/>
              </w:rPr>
              <w:t xml:space="preserve">3.1 </w:t>
            </w:r>
            <w:r w:rsidR="0058165E" w:rsidRPr="00322BD0">
              <w:rPr>
                <w:rStyle w:val="Hyperlink"/>
                <w:rFonts w:eastAsia="Times New Roman"/>
                <w:lang w:val="en-GB"/>
              </w:rPr>
              <w:t>Analysis of the operational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_Toc446310817 \h </w:instrText>
            </w:r>
            <w:r w:rsidR="0058165E" w:rsidRPr="00322BD0">
              <w:rPr>
                <w:webHidden/>
                <w:lang w:val="en-GB"/>
              </w:rPr>
            </w:r>
            <w:r w:rsidR="0058165E" w:rsidRPr="00322BD0">
              <w:rPr>
                <w:webHidden/>
                <w:lang w:val="en-GB"/>
              </w:rPr>
              <w:fldChar w:fldCharType="separate"/>
            </w:r>
            <w:r w:rsidR="00932E13">
              <w:rPr>
                <w:noProof/>
                <w:webHidden/>
                <w:lang w:val="en-GB"/>
              </w:rPr>
              <w:t>36</w:t>
            </w:r>
            <w:r w:rsidR="0058165E" w:rsidRPr="00322BD0">
              <w:rPr>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18" w:history="1">
            <w:r w:rsidR="0058165E" w:rsidRPr="00322BD0">
              <w:rPr>
                <w:rStyle w:val="Hyperlink"/>
                <w:rFonts w:eastAsia="Times New Roman" w:cs="Times New Roman"/>
                <w:noProof w:val="0"/>
                <w:lang w:val="en-GB"/>
              </w:rPr>
              <w:t xml:space="preserve">3.1.1 </w:t>
            </w:r>
            <w:r w:rsidR="0058165E" w:rsidRPr="00322BD0">
              <w:rPr>
                <w:rStyle w:val="Hyperlink"/>
                <w:rFonts w:eastAsia="Times New Roman"/>
                <w:noProof w:val="0"/>
                <w:lang w:val="en-GB"/>
              </w:rPr>
              <w:t>Regulatory framework</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_Toc446310818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36</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19" w:history="1">
            <w:r w:rsidR="001A4579">
              <w:rPr>
                <w:rStyle w:val="Hyperlink"/>
                <w:noProof w:val="0"/>
                <w:lang w:val="en-GB"/>
              </w:rPr>
              <w:t>3.1.2 The activity of domestic</w:t>
            </w:r>
            <w:r w:rsidR="0058165E" w:rsidRPr="00322BD0">
              <w:rPr>
                <w:rStyle w:val="Hyperlink"/>
                <w:noProof w:val="0"/>
                <w:lang w:val="en-GB"/>
              </w:rPr>
              <w:t xml:space="preserve"> gas transmission</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_Toc446310819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51</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0" w:history="1">
            <w:r w:rsidR="0058165E" w:rsidRPr="00322BD0">
              <w:rPr>
                <w:rStyle w:val="Hyperlink"/>
                <w:noProof w:val="0"/>
                <w:lang w:val="en-GB"/>
              </w:rPr>
              <w:t>3</w:t>
            </w:r>
            <w:r w:rsidR="0058165E" w:rsidRPr="00322BD0">
              <w:rPr>
                <w:rStyle w:val="Hyperlink"/>
                <w:noProof w:val="0"/>
                <w:shd w:val="clear" w:color="auto" w:fill="DBE5F1" w:themeFill="accent1" w:themeFillTint="33"/>
                <w:lang w:val="en-GB"/>
              </w:rPr>
              <w:t xml:space="preserve">.1.3 </w:t>
            </w:r>
            <w:r w:rsidR="0058165E" w:rsidRPr="00322BD0">
              <w:rPr>
                <w:rStyle w:val="Hyperlink"/>
                <w:rFonts w:eastAsia="Times New Roman" w:cs="Cambria"/>
                <w:noProof w:val="0"/>
                <w:lang w:val="en-GB"/>
              </w:rPr>
              <w:t>International natural gas transmission</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_Toc446310820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54</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1" w:history="1">
            <w:r w:rsidR="0058165E" w:rsidRPr="00322BD0">
              <w:rPr>
                <w:rStyle w:val="Hyperlink"/>
                <w:noProof w:val="0"/>
                <w:lang w:val="en-GB"/>
              </w:rPr>
              <w:t xml:space="preserve">3.1.4 </w:t>
            </w:r>
            <w:r w:rsidR="0058165E" w:rsidRPr="00322BD0">
              <w:rPr>
                <w:rStyle w:val="Hyperlink"/>
                <w:rFonts w:eastAsia="Times New Roman" w:cs="Times New Roman"/>
                <w:noProof w:val="0"/>
                <w:lang w:val="en-GB"/>
              </w:rPr>
              <w:t>Other activities</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_Toc446310821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57</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2" w:history="1">
            <w:r w:rsidR="0058165E" w:rsidRPr="00322BD0">
              <w:rPr>
                <w:rStyle w:val="Hyperlink"/>
                <w:noProof w:val="0"/>
                <w:lang w:val="en-GB"/>
              </w:rPr>
              <w:t xml:space="preserve">3.1.5 </w:t>
            </w:r>
            <w:r w:rsidR="0058165E" w:rsidRPr="00322BD0">
              <w:rPr>
                <w:rStyle w:val="Hyperlink"/>
                <w:rFonts w:eastAsia="Times New Roman" w:cs="Cambria"/>
                <w:noProof w:val="0"/>
                <w:lang w:val="en-GB"/>
              </w:rPr>
              <w:t>Evaluation of the provision of natural gas transmission service</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_Toc446310822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57</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3" w:history="1">
            <w:r w:rsidR="0058165E" w:rsidRPr="00322BD0">
              <w:rPr>
                <w:rStyle w:val="Hyperlink"/>
                <w:rFonts w:eastAsia="Times New Roman"/>
                <w:noProof w:val="0"/>
                <w:lang w:val="en-GB" w:eastAsia="ro-RO"/>
              </w:rPr>
              <w:t xml:space="preserve">3.1.6 </w:t>
            </w:r>
            <w:r w:rsidR="0058165E" w:rsidRPr="00322BD0">
              <w:rPr>
                <w:rStyle w:val="Hyperlink"/>
                <w:rFonts w:eastAsia="Times New Roman" w:cs="Cambria"/>
                <w:noProof w:val="0"/>
                <w:lang w:val="en-GB"/>
              </w:rPr>
              <w:t>Evaluation of the research and design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_Toc446310823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66</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4" w:history="1">
            <w:r w:rsidR="0058165E" w:rsidRPr="00322BD0">
              <w:rPr>
                <w:rStyle w:val="Hyperlink"/>
                <w:rFonts w:eastAsia="Times New Roman"/>
                <w:noProof w:val="0"/>
                <w:lang w:val="en-GB" w:eastAsia="ro-RO"/>
              </w:rPr>
              <w:t>3.1.7 Evaluation of the procurement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_Toc446310824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70</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5" w:history="1">
            <w:r w:rsidR="0058165E" w:rsidRPr="00322BD0">
              <w:rPr>
                <w:rStyle w:val="Hyperlink"/>
                <w:rFonts w:eastAsia="Times New Roman" w:cs="Times New Roman"/>
                <w:noProof w:val="0"/>
                <w:lang w:val="en-GB" w:eastAsia="ro-RO"/>
              </w:rPr>
              <w:t xml:space="preserve">3.1.8 </w:t>
            </w:r>
            <w:r w:rsidR="0058165E" w:rsidRPr="00322BD0">
              <w:rPr>
                <w:rStyle w:val="Hyperlink"/>
                <w:rFonts w:eastAsia="Times New Roman"/>
                <w:noProof w:val="0"/>
                <w:lang w:val="en-GB"/>
              </w:rPr>
              <w:t>Procurement and disposals of assets</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_Toc446310825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74</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6" w:history="1">
            <w:r w:rsidR="0058165E" w:rsidRPr="00322BD0">
              <w:rPr>
                <w:rStyle w:val="Hyperlink"/>
                <w:rFonts w:eastAsia="Times New Roman" w:cs="Times New Roman"/>
                <w:noProof w:val="0"/>
                <w:lang w:val="en-GB" w:eastAsia="ro-RO"/>
              </w:rPr>
              <w:t xml:space="preserve">3.1.9 </w:t>
            </w:r>
            <w:r w:rsidR="0058165E" w:rsidRPr="00322BD0">
              <w:rPr>
                <w:rStyle w:val="Hyperlink"/>
                <w:rFonts w:eastAsia="Times New Roman"/>
                <w:noProof w:val="0"/>
                <w:lang w:val="en-GB"/>
              </w:rPr>
              <w:t>Internal and external audit of the Company's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_Toc446310826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74</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7" w:history="1">
            <w:r w:rsidR="0058165E" w:rsidRPr="00322BD0">
              <w:rPr>
                <w:rStyle w:val="Hyperlink"/>
                <w:rFonts w:eastAsia="Times New Roman"/>
                <w:noProof w:val="0"/>
                <w:lang w:val="en-GB" w:eastAsia="ro-RO"/>
              </w:rPr>
              <w:t>3.1.10 Evaluation of the human resources and social dialogue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_Toc446310827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75</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8" w:history="1">
            <w:r w:rsidR="0058165E" w:rsidRPr="00322BD0">
              <w:rPr>
                <w:rStyle w:val="Hyperlink"/>
                <w:rFonts w:eastAsia="Times New Roman"/>
                <w:noProof w:val="0"/>
                <w:lang w:val="en-GB" w:eastAsia="ro-RO"/>
              </w:rPr>
              <w:t>3.1.11 Evaluation of the activity of HSSEQ</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_Toc446310828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78</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29" w:history="1">
            <w:r w:rsidR="0058165E" w:rsidRPr="00322BD0">
              <w:rPr>
                <w:rStyle w:val="Hyperlink"/>
                <w:rFonts w:eastAsia="Times New Roman"/>
                <w:noProof w:val="0"/>
                <w:lang w:val="en-GB" w:eastAsia="ro-RO"/>
              </w:rPr>
              <w:t>3.1.12 Disputes</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_Toc446310829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79</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0" w:history="1">
            <w:r w:rsidR="0058165E" w:rsidRPr="00322BD0">
              <w:rPr>
                <w:rStyle w:val="Hyperlink"/>
                <w:rFonts w:eastAsia="Times New Roman"/>
                <w:noProof w:val="0"/>
                <w:lang w:val="en-GB" w:eastAsia="ro-RO"/>
              </w:rPr>
              <w:t>3.1.13 Other aspects of the company’s activity</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_Toc446310830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80</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31" w:history="1">
            <w:r w:rsidR="0058165E" w:rsidRPr="00322BD0">
              <w:rPr>
                <w:rStyle w:val="Hyperlink"/>
                <w:rFonts w:eastAsia="Times New Roman"/>
                <w:lang w:val="en-GB"/>
              </w:rPr>
              <w:t>3.2 Analysis of the development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_Toc446310831 \h </w:instrText>
            </w:r>
            <w:r w:rsidR="0058165E" w:rsidRPr="00322BD0">
              <w:rPr>
                <w:webHidden/>
                <w:lang w:val="en-GB"/>
              </w:rPr>
            </w:r>
            <w:r w:rsidR="0058165E" w:rsidRPr="00322BD0">
              <w:rPr>
                <w:webHidden/>
                <w:lang w:val="en-GB"/>
              </w:rPr>
              <w:fldChar w:fldCharType="separate"/>
            </w:r>
            <w:r w:rsidR="00932E13">
              <w:rPr>
                <w:noProof/>
                <w:webHidden/>
                <w:lang w:val="en-GB"/>
              </w:rPr>
              <w:t>100</w:t>
            </w:r>
            <w:r w:rsidR="0058165E" w:rsidRPr="00322BD0">
              <w:rPr>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2" w:history="1">
            <w:r w:rsidR="0058165E" w:rsidRPr="00322BD0">
              <w:rPr>
                <w:rStyle w:val="Hyperlink"/>
                <w:rFonts w:eastAsia="Times New Roman"/>
                <w:noProof w:val="0"/>
                <w:lang w:val="en-GB"/>
              </w:rPr>
              <w:t>3.2.1 The main components of the NTS infrastructure</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_Toc446310832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100</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3" w:history="1">
            <w:r w:rsidR="001A4579">
              <w:rPr>
                <w:rStyle w:val="Hyperlink"/>
                <w:rFonts w:eastAsia="Times New Roman"/>
                <w:noProof w:val="0"/>
                <w:lang w:val="en-GB"/>
              </w:rPr>
              <w:t>3.2.2 Investments made in 2016</w:t>
            </w:r>
            <w:r w:rsidR="0058165E" w:rsidRPr="00322BD0">
              <w:rPr>
                <w:rStyle w:val="Hyperlink"/>
                <w:rFonts w:eastAsia="Times New Roman"/>
                <w:noProof w:val="0"/>
                <w:lang w:val="en-GB"/>
              </w:rPr>
              <w:t xml:space="preserve"> vers</w:t>
            </w:r>
            <w:r w:rsidR="001A4579">
              <w:rPr>
                <w:rStyle w:val="Hyperlink"/>
                <w:rFonts w:eastAsia="Times New Roman"/>
                <w:noProof w:val="0"/>
                <w:lang w:val="en-GB"/>
              </w:rPr>
              <w:t>us Investments scheduled in 2016</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_Toc446310833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104</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4" w:history="1">
            <w:r w:rsidR="0058165E" w:rsidRPr="00322BD0">
              <w:rPr>
                <w:rStyle w:val="Hyperlink"/>
                <w:rFonts w:eastAsia="Times New Roman"/>
                <w:noProof w:val="0"/>
                <w:lang w:val="en-GB"/>
              </w:rPr>
              <w:t>3.2.3 Development projects</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_Toc446310834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111</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35" w:history="1">
            <w:r w:rsidR="0058165E" w:rsidRPr="00322BD0">
              <w:rPr>
                <w:rStyle w:val="Hyperlink"/>
                <w:rFonts w:eastAsia="Times New Roman"/>
                <w:lang w:val="en-GB"/>
              </w:rPr>
              <w:t>3.3 Analysis of the corporate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_Toc446310835 \h </w:instrText>
            </w:r>
            <w:r w:rsidR="0058165E" w:rsidRPr="00322BD0">
              <w:rPr>
                <w:webHidden/>
                <w:lang w:val="en-GB"/>
              </w:rPr>
            </w:r>
            <w:r w:rsidR="0058165E" w:rsidRPr="00322BD0">
              <w:rPr>
                <w:webHidden/>
                <w:lang w:val="en-GB"/>
              </w:rPr>
              <w:fldChar w:fldCharType="separate"/>
            </w:r>
            <w:r w:rsidR="00932E13">
              <w:rPr>
                <w:noProof/>
                <w:webHidden/>
                <w:lang w:val="en-GB"/>
              </w:rPr>
              <w:t>118</w:t>
            </w:r>
            <w:r w:rsidR="0058165E" w:rsidRPr="00322BD0">
              <w:rPr>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6" w:history="1">
            <w:r w:rsidR="0058165E" w:rsidRPr="00322BD0">
              <w:rPr>
                <w:rStyle w:val="Hyperlink"/>
                <w:rFonts w:eastAsia="Times New Roman"/>
                <w:noProof w:val="0"/>
                <w:lang w:val="en-GB" w:eastAsia="ro-RO"/>
              </w:rPr>
              <w:t>3.3.1 Activity on the capital market</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_Toc446310836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118</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37" w:history="1">
            <w:r w:rsidR="0058165E" w:rsidRPr="00322BD0">
              <w:rPr>
                <w:rStyle w:val="Hyperlink"/>
                <w:rFonts w:eastAsia="Times New Roman"/>
                <w:noProof w:val="0"/>
                <w:lang w:val="en-GB" w:eastAsia="ro-RO"/>
              </w:rPr>
              <w:t>3.3.2 Significant mergers or reorganizations during the financial year</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_Toc446310837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124</w:t>
            </w:r>
            <w:r w:rsidR="0058165E" w:rsidRPr="00322BD0">
              <w:rPr>
                <w:noProof w:val="0"/>
                <w:webHidden/>
                <w:lang w:val="en-GB"/>
              </w:rPr>
              <w:fldChar w:fldCharType="end"/>
            </w:r>
          </w:hyperlink>
        </w:p>
        <w:p w:rsidR="0058165E" w:rsidRPr="00D80C34" w:rsidRDefault="00BD6E82" w:rsidP="00D80C34">
          <w:pPr>
            <w:pStyle w:val="TOC3"/>
            <w:rPr>
              <w:rFonts w:asciiTheme="minorHAnsi" w:hAnsiTheme="minorHAnsi"/>
              <w:noProof w:val="0"/>
              <w:lang w:val="en-GB" w:eastAsia="en-US"/>
            </w:rPr>
          </w:pPr>
          <w:hyperlink w:anchor="_Toc446310838" w:history="1">
            <w:r w:rsidR="0058165E" w:rsidRPr="00322BD0">
              <w:rPr>
                <w:rStyle w:val="Hyperlink"/>
                <w:rFonts w:eastAsia="Times New Roman"/>
                <w:noProof w:val="0"/>
                <w:lang w:val="en-GB" w:eastAsia="ro-RO"/>
              </w:rPr>
              <w:t>3.3.3 Corporate Governance</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_Toc446310838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124</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77" w:history="1">
            <w:r w:rsidR="0058165E" w:rsidRPr="00322BD0">
              <w:rPr>
                <w:rStyle w:val="Hyperlink"/>
                <w:lang w:val="en-GB"/>
              </w:rPr>
              <w:t>3.4 Analysis of the financial activity</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_Toc446310877 \h </w:instrText>
            </w:r>
            <w:r w:rsidR="0058165E" w:rsidRPr="00322BD0">
              <w:rPr>
                <w:webHidden/>
                <w:lang w:val="en-GB"/>
              </w:rPr>
            </w:r>
            <w:r w:rsidR="0058165E" w:rsidRPr="00322BD0">
              <w:rPr>
                <w:webHidden/>
                <w:lang w:val="en-GB"/>
              </w:rPr>
              <w:fldChar w:fldCharType="separate"/>
            </w:r>
            <w:r w:rsidR="00932E13">
              <w:rPr>
                <w:noProof/>
                <w:webHidden/>
                <w:lang w:val="en-GB"/>
              </w:rPr>
              <w:t>153</w:t>
            </w:r>
            <w:r w:rsidR="0058165E" w:rsidRPr="00322BD0">
              <w:rPr>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78" w:history="1">
            <w:r w:rsidR="0058165E" w:rsidRPr="00322BD0">
              <w:rPr>
                <w:rStyle w:val="Hyperlink"/>
                <w:rFonts w:eastAsia="Times New Roman"/>
                <w:noProof w:val="0"/>
                <w:lang w:val="en-GB" w:eastAsia="ro-RO"/>
              </w:rPr>
              <w:t>3.4.1 Financial standing</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_Toc446310878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153</w:t>
            </w:r>
            <w:r w:rsidR="0058165E" w:rsidRPr="00322BD0">
              <w:rPr>
                <w:noProof w:val="0"/>
                <w:webHidden/>
                <w:lang w:val="en-GB"/>
              </w:rPr>
              <w:fldChar w:fldCharType="end"/>
            </w:r>
          </w:hyperlink>
        </w:p>
        <w:p w:rsidR="0058165E" w:rsidRPr="00322BD0" w:rsidRDefault="00BD6E82" w:rsidP="001A4579">
          <w:pPr>
            <w:pStyle w:val="TOC3"/>
            <w:rPr>
              <w:rFonts w:asciiTheme="minorHAnsi" w:hAnsiTheme="minorHAnsi"/>
              <w:noProof w:val="0"/>
              <w:lang w:val="en-GB" w:eastAsia="en-US"/>
            </w:rPr>
          </w:pPr>
          <w:hyperlink w:anchor="_Toc446310879" w:history="1">
            <w:r w:rsidR="0058165E" w:rsidRPr="00322BD0">
              <w:rPr>
                <w:rStyle w:val="Hyperlink"/>
                <w:rFonts w:eastAsia="Times New Roman" w:cs="Times New Roman"/>
                <w:noProof w:val="0"/>
                <w:lang w:val="en-GB" w:eastAsia="ro-RO"/>
              </w:rPr>
              <w:t xml:space="preserve">3.4.2 </w:t>
            </w:r>
            <w:r w:rsidR="0058165E" w:rsidRPr="00322BD0">
              <w:rPr>
                <w:rStyle w:val="Hyperlink"/>
                <w:rFonts w:eastAsia="Cambria"/>
                <w:noProof w:val="0"/>
                <w:lang w:val="en-GB"/>
              </w:rPr>
              <w:t>Comprehensive income</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_Toc446310879 \h </w:instrText>
            </w:r>
            <w:r w:rsidR="0058165E" w:rsidRPr="00322BD0">
              <w:rPr>
                <w:noProof w:val="0"/>
                <w:webHidden/>
                <w:lang w:val="en-GB"/>
              </w:rPr>
              <w:fldChar w:fldCharType="separate"/>
            </w:r>
            <w:r w:rsidR="00932E13">
              <w:rPr>
                <w:b/>
                <w:bCs/>
                <w:webHidden/>
              </w:rPr>
              <w:t>Error! Bookmark not defined.</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81" w:history="1">
            <w:r w:rsidR="0058165E" w:rsidRPr="00322BD0">
              <w:rPr>
                <w:rStyle w:val="Hyperlink"/>
                <w:rFonts w:eastAsia="Times New Roman"/>
                <w:noProof w:val="0"/>
                <w:lang w:val="en-GB" w:eastAsia="ro-RO"/>
              </w:rPr>
              <w:t>3.4.3 Cash flow statement</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_Toc446310881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159</w:t>
            </w:r>
            <w:r w:rsidR="0058165E" w:rsidRPr="00322BD0">
              <w:rPr>
                <w:noProof w:val="0"/>
                <w:webHidden/>
                <w:lang w:val="en-GB"/>
              </w:rPr>
              <w:fldChar w:fldCharType="end"/>
            </w:r>
          </w:hyperlink>
        </w:p>
        <w:p w:rsidR="0058165E" w:rsidRPr="00322BD0" w:rsidRDefault="00BD6E82">
          <w:pPr>
            <w:pStyle w:val="TOC3"/>
            <w:rPr>
              <w:rFonts w:asciiTheme="minorHAnsi" w:hAnsiTheme="minorHAnsi"/>
              <w:noProof w:val="0"/>
              <w:lang w:val="en-GB" w:eastAsia="en-US"/>
            </w:rPr>
          </w:pPr>
          <w:hyperlink w:anchor="_Toc446310882" w:history="1">
            <w:r w:rsidR="0058165E" w:rsidRPr="00322BD0">
              <w:rPr>
                <w:rStyle w:val="Hyperlink"/>
                <w:rFonts w:eastAsia="Times New Roman" w:cs="Times New Roman"/>
                <w:noProof w:val="0"/>
                <w:lang w:val="en-GB" w:eastAsia="ro-RO"/>
              </w:rPr>
              <w:t xml:space="preserve">3.4.4 </w:t>
            </w:r>
            <w:r w:rsidR="0058165E" w:rsidRPr="00322BD0">
              <w:rPr>
                <w:rStyle w:val="Hyperlink"/>
                <w:rFonts w:eastAsia="Cambria"/>
                <w:noProof w:val="0"/>
                <w:lang w:val="en-GB"/>
              </w:rPr>
              <w:t>Evaluation of activity on financial risk management</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_Toc446310882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161</w:t>
            </w:r>
            <w:r w:rsidR="0058165E" w:rsidRPr="00322BD0">
              <w:rPr>
                <w:noProof w:val="0"/>
                <w:webHidden/>
                <w:lang w:val="en-GB"/>
              </w:rPr>
              <w:fldChar w:fldCharType="end"/>
            </w:r>
          </w:hyperlink>
        </w:p>
        <w:p w:rsidR="0058165E" w:rsidRPr="00322BD0" w:rsidRDefault="00BD6E82">
          <w:pPr>
            <w:pStyle w:val="TOC1"/>
            <w:rPr>
              <w:rFonts w:asciiTheme="minorHAnsi" w:hAnsiTheme="minorHAnsi"/>
              <w:noProof w:val="0"/>
              <w:lang w:val="en-GB" w:eastAsia="en-US"/>
            </w:rPr>
          </w:pPr>
          <w:hyperlink w:anchor="_Toc446310883" w:history="1">
            <w:r w:rsidR="0058165E" w:rsidRPr="00322BD0">
              <w:rPr>
                <w:rStyle w:val="Hyperlink"/>
                <w:rFonts w:eastAsia="Times New Roman"/>
                <w:noProof w:val="0"/>
                <w:lang w:val="en-GB"/>
              </w:rPr>
              <w:t>4. COMPANY MANAGEMENT</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_Toc446310883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165</w:t>
            </w:r>
            <w:r w:rsidR="0058165E" w:rsidRPr="00322BD0">
              <w:rPr>
                <w:noProof w:val="0"/>
                <w:webHidden/>
                <w:lang w:val="en-GB"/>
              </w:rPr>
              <w:fldChar w:fldCharType="end"/>
            </w:r>
          </w:hyperlink>
        </w:p>
        <w:p w:rsidR="0058165E" w:rsidRPr="00322BD0" w:rsidRDefault="00BD6E82">
          <w:pPr>
            <w:pStyle w:val="TOC2"/>
            <w:rPr>
              <w:lang w:val="en-GB" w:eastAsia="en-US"/>
            </w:rPr>
          </w:pPr>
          <w:hyperlink w:anchor="_Toc446310884" w:history="1">
            <w:r w:rsidR="0058165E" w:rsidRPr="00322BD0">
              <w:rPr>
                <w:rStyle w:val="Hyperlink"/>
                <w:rFonts w:eastAsia="Times New Roman"/>
                <w:lang w:val="en-GB" w:eastAsia="ro-RO"/>
              </w:rPr>
              <w:t>4.1 The Board of Administration</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_Toc446310884 \h </w:instrText>
            </w:r>
            <w:r w:rsidR="0058165E" w:rsidRPr="00322BD0">
              <w:rPr>
                <w:webHidden/>
                <w:lang w:val="en-GB"/>
              </w:rPr>
            </w:r>
            <w:r w:rsidR="0058165E" w:rsidRPr="00322BD0">
              <w:rPr>
                <w:webHidden/>
                <w:lang w:val="en-GB"/>
              </w:rPr>
              <w:fldChar w:fldCharType="separate"/>
            </w:r>
            <w:r w:rsidR="00932E13">
              <w:rPr>
                <w:noProof/>
                <w:webHidden/>
                <w:lang w:val="en-GB"/>
              </w:rPr>
              <w:t>165</w:t>
            </w:r>
            <w:r w:rsidR="0058165E" w:rsidRPr="00322BD0">
              <w:rPr>
                <w:webHidden/>
                <w:lang w:val="en-GB"/>
              </w:rPr>
              <w:fldChar w:fldCharType="end"/>
            </w:r>
          </w:hyperlink>
        </w:p>
        <w:p w:rsidR="0058165E" w:rsidRPr="00322BD0" w:rsidRDefault="00BD6E82">
          <w:pPr>
            <w:pStyle w:val="TOC2"/>
            <w:rPr>
              <w:lang w:val="en-GB" w:eastAsia="en-US"/>
            </w:rPr>
          </w:pPr>
          <w:hyperlink w:anchor="_Toc446310885" w:history="1">
            <w:r w:rsidR="0058165E" w:rsidRPr="00322BD0">
              <w:rPr>
                <w:rStyle w:val="Hyperlink"/>
                <w:rFonts w:eastAsia="Times New Roman"/>
                <w:lang w:val="en-GB" w:eastAsia="ro-RO"/>
              </w:rPr>
              <w:t>4.2 Executive management</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_Toc446310885 \h </w:instrText>
            </w:r>
            <w:r w:rsidR="0058165E" w:rsidRPr="00322BD0">
              <w:rPr>
                <w:webHidden/>
                <w:lang w:val="en-GB"/>
              </w:rPr>
            </w:r>
            <w:r w:rsidR="0058165E" w:rsidRPr="00322BD0">
              <w:rPr>
                <w:webHidden/>
                <w:lang w:val="en-GB"/>
              </w:rPr>
              <w:fldChar w:fldCharType="separate"/>
            </w:r>
            <w:r w:rsidR="00932E13">
              <w:rPr>
                <w:noProof/>
                <w:webHidden/>
                <w:lang w:val="en-GB"/>
              </w:rPr>
              <w:t>166</w:t>
            </w:r>
            <w:r w:rsidR="0058165E" w:rsidRPr="00322BD0">
              <w:rPr>
                <w:webHidden/>
                <w:lang w:val="en-GB"/>
              </w:rPr>
              <w:fldChar w:fldCharType="end"/>
            </w:r>
          </w:hyperlink>
        </w:p>
        <w:p w:rsidR="0058165E" w:rsidRPr="00322BD0" w:rsidRDefault="00BD6E82">
          <w:pPr>
            <w:pStyle w:val="TOC2"/>
            <w:rPr>
              <w:lang w:val="en-GB" w:eastAsia="en-US"/>
            </w:rPr>
          </w:pPr>
          <w:hyperlink w:anchor="_Toc446310886" w:history="1">
            <w:r w:rsidR="0058165E" w:rsidRPr="00322BD0">
              <w:rPr>
                <w:rStyle w:val="Hyperlink"/>
                <w:rFonts w:eastAsia="Times New Roman" w:cs="Times New Roman"/>
                <w:lang w:val="en-GB" w:eastAsia="ro-RO"/>
              </w:rPr>
              <w:t xml:space="preserve">4.3. </w:t>
            </w:r>
            <w:r w:rsidR="0058165E" w:rsidRPr="00322BD0">
              <w:rPr>
                <w:rStyle w:val="Hyperlink"/>
                <w:rFonts w:eastAsia="Cambria"/>
                <w:lang w:val="en-GB"/>
              </w:rPr>
              <w:t>Potential litigation or administrative procedures</w:t>
            </w:r>
            <w:r w:rsidR="0058165E" w:rsidRPr="00322BD0">
              <w:rPr>
                <w:webHidden/>
                <w:lang w:val="en-GB"/>
              </w:rPr>
              <w:tab/>
            </w:r>
            <w:r w:rsidR="0058165E" w:rsidRPr="00322BD0">
              <w:rPr>
                <w:webHidden/>
                <w:lang w:val="en-GB"/>
              </w:rPr>
              <w:fldChar w:fldCharType="begin"/>
            </w:r>
            <w:r w:rsidR="0058165E" w:rsidRPr="00322BD0">
              <w:rPr>
                <w:webHidden/>
                <w:lang w:val="en-GB"/>
              </w:rPr>
              <w:instrText xml:space="preserve"> PAGEREF _Toc446310886 \h </w:instrText>
            </w:r>
            <w:r w:rsidR="0058165E" w:rsidRPr="00322BD0">
              <w:rPr>
                <w:webHidden/>
                <w:lang w:val="en-GB"/>
              </w:rPr>
            </w:r>
            <w:r w:rsidR="0058165E" w:rsidRPr="00322BD0">
              <w:rPr>
                <w:webHidden/>
                <w:lang w:val="en-GB"/>
              </w:rPr>
              <w:fldChar w:fldCharType="separate"/>
            </w:r>
            <w:r w:rsidR="00932E13">
              <w:rPr>
                <w:noProof/>
                <w:webHidden/>
                <w:lang w:val="en-GB"/>
              </w:rPr>
              <w:t>168</w:t>
            </w:r>
            <w:r w:rsidR="0058165E" w:rsidRPr="00322BD0">
              <w:rPr>
                <w:webHidden/>
                <w:lang w:val="en-GB"/>
              </w:rPr>
              <w:fldChar w:fldCharType="end"/>
            </w:r>
          </w:hyperlink>
        </w:p>
        <w:p w:rsidR="0058165E" w:rsidRPr="00322BD0" w:rsidRDefault="00BD6E82">
          <w:pPr>
            <w:pStyle w:val="TOC1"/>
            <w:rPr>
              <w:rFonts w:asciiTheme="minorHAnsi" w:hAnsiTheme="minorHAnsi"/>
              <w:noProof w:val="0"/>
              <w:lang w:val="en-GB" w:eastAsia="en-US"/>
            </w:rPr>
          </w:pPr>
          <w:hyperlink w:anchor="_Toc446310887" w:history="1">
            <w:r w:rsidR="0058165E" w:rsidRPr="00322BD0">
              <w:rPr>
                <w:rStyle w:val="Hyperlink"/>
                <w:rFonts w:eastAsia="Times New Roman"/>
                <w:noProof w:val="0"/>
                <w:lang w:val="en-GB"/>
              </w:rPr>
              <w:t>5. OTHER ASPECTS</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_Toc446310887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168</w:t>
            </w:r>
            <w:r w:rsidR="0058165E" w:rsidRPr="00322BD0">
              <w:rPr>
                <w:noProof w:val="0"/>
                <w:webHidden/>
                <w:lang w:val="en-GB"/>
              </w:rPr>
              <w:fldChar w:fldCharType="end"/>
            </w:r>
          </w:hyperlink>
        </w:p>
        <w:p w:rsidR="0058165E" w:rsidRPr="00322BD0" w:rsidRDefault="00BD6E82">
          <w:pPr>
            <w:pStyle w:val="TOC1"/>
            <w:rPr>
              <w:rFonts w:asciiTheme="minorHAnsi" w:hAnsiTheme="minorHAnsi"/>
              <w:noProof w:val="0"/>
              <w:lang w:val="en-GB" w:eastAsia="en-US"/>
            </w:rPr>
          </w:pPr>
          <w:hyperlink w:anchor="_Toc446310888" w:history="1">
            <w:r w:rsidR="0058165E" w:rsidRPr="00322BD0">
              <w:rPr>
                <w:rStyle w:val="Hyperlink"/>
                <w:rFonts w:eastAsia="Times New Roman"/>
                <w:noProof w:val="0"/>
                <w:lang w:val="en-GB"/>
              </w:rPr>
              <w:t>6.</w:t>
            </w:r>
            <w:r w:rsidR="0058165E" w:rsidRPr="00322BD0">
              <w:rPr>
                <w:rFonts w:asciiTheme="minorHAnsi" w:hAnsiTheme="minorHAnsi"/>
                <w:noProof w:val="0"/>
                <w:lang w:val="en-GB" w:eastAsia="en-US"/>
              </w:rPr>
              <w:tab/>
            </w:r>
            <w:r w:rsidR="0058165E" w:rsidRPr="00322BD0">
              <w:rPr>
                <w:rStyle w:val="Hyperlink"/>
                <w:rFonts w:eastAsia="Times New Roman"/>
                <w:noProof w:val="0"/>
                <w:lang w:val="en-GB"/>
              </w:rPr>
              <w:t>ADMINISTRATORS’ DISCHARGE</w:t>
            </w:r>
            <w:r w:rsidR="0058165E" w:rsidRPr="00322BD0">
              <w:rPr>
                <w:noProof w:val="0"/>
                <w:webHidden/>
                <w:lang w:val="en-GB"/>
              </w:rPr>
              <w:tab/>
            </w:r>
            <w:r w:rsidR="0058165E" w:rsidRPr="00322BD0">
              <w:rPr>
                <w:noProof w:val="0"/>
                <w:webHidden/>
                <w:lang w:val="en-GB"/>
              </w:rPr>
              <w:fldChar w:fldCharType="begin"/>
            </w:r>
            <w:r w:rsidR="0058165E" w:rsidRPr="00322BD0">
              <w:rPr>
                <w:noProof w:val="0"/>
                <w:webHidden/>
                <w:lang w:val="en-GB"/>
              </w:rPr>
              <w:instrText xml:space="preserve"> PAGEREF _Toc446310888 \h </w:instrText>
            </w:r>
            <w:r w:rsidR="0058165E" w:rsidRPr="00322BD0">
              <w:rPr>
                <w:noProof w:val="0"/>
                <w:webHidden/>
                <w:lang w:val="en-GB"/>
              </w:rPr>
            </w:r>
            <w:r w:rsidR="0058165E" w:rsidRPr="00322BD0">
              <w:rPr>
                <w:noProof w:val="0"/>
                <w:webHidden/>
                <w:lang w:val="en-GB"/>
              </w:rPr>
              <w:fldChar w:fldCharType="separate"/>
            </w:r>
            <w:r w:rsidR="00932E13">
              <w:rPr>
                <w:webHidden/>
                <w:lang w:val="en-GB"/>
              </w:rPr>
              <w:t>171</w:t>
            </w:r>
            <w:r w:rsidR="0058165E" w:rsidRPr="00322BD0">
              <w:rPr>
                <w:noProof w:val="0"/>
                <w:webHidden/>
                <w:lang w:val="en-GB"/>
              </w:rPr>
              <w:fldChar w:fldCharType="end"/>
            </w:r>
          </w:hyperlink>
        </w:p>
        <w:p w:rsidR="00493073" w:rsidRPr="00322BD0" w:rsidRDefault="00493073">
          <w:pPr>
            <w:rPr>
              <w:lang w:val="en-GB"/>
            </w:rPr>
          </w:pPr>
          <w:r w:rsidRPr="00322BD0">
            <w:rPr>
              <w:b/>
              <w:bCs/>
              <w:lang w:val="en-GB"/>
            </w:rPr>
            <w:fldChar w:fldCharType="end"/>
          </w:r>
        </w:p>
      </w:sdtContent>
    </w:sdt>
    <w:p w:rsidR="00837E21" w:rsidRPr="00322BD0" w:rsidRDefault="00837E21" w:rsidP="001F00CB">
      <w:pPr>
        <w:shd w:val="clear" w:color="auto" w:fill="FFFFFF"/>
        <w:spacing w:after="0" w:line="240" w:lineRule="auto"/>
        <w:ind w:firstLine="0"/>
        <w:jc w:val="both"/>
        <w:rPr>
          <w:rFonts w:ascii="Cambria" w:eastAsia="Times New Roman" w:hAnsi="Cambria" w:cs="Times New Roman"/>
          <w:b/>
          <w:sz w:val="24"/>
          <w:szCs w:val="24"/>
          <w:lang w:val="en-GB" w:bidi="en-US"/>
        </w:rPr>
      </w:pPr>
    </w:p>
    <w:p w:rsidR="00493073" w:rsidRPr="00322BD0" w:rsidRDefault="00493073" w:rsidP="001F00CB">
      <w:pPr>
        <w:shd w:val="clear" w:color="auto" w:fill="FFFFFF"/>
        <w:spacing w:after="0" w:line="240" w:lineRule="auto"/>
        <w:ind w:firstLine="0"/>
        <w:jc w:val="both"/>
        <w:rPr>
          <w:rFonts w:ascii="Cambria" w:eastAsia="Times New Roman" w:hAnsi="Cambria" w:cs="Times New Roman"/>
          <w:b/>
          <w:sz w:val="24"/>
          <w:szCs w:val="24"/>
          <w:lang w:val="en-GB" w:bidi="en-US"/>
        </w:rPr>
      </w:pPr>
    </w:p>
    <w:p w:rsidR="00837E21" w:rsidRPr="00322BD0" w:rsidRDefault="00837E21" w:rsidP="001F00CB">
      <w:pPr>
        <w:shd w:val="clear" w:color="auto" w:fill="FFFFFF"/>
        <w:spacing w:after="0" w:line="240" w:lineRule="auto"/>
        <w:ind w:firstLine="0"/>
        <w:jc w:val="both"/>
        <w:rPr>
          <w:rFonts w:ascii="Cambria" w:eastAsia="Times New Roman" w:hAnsi="Cambria" w:cs="Times New Roman"/>
          <w:b/>
          <w:sz w:val="24"/>
          <w:szCs w:val="24"/>
          <w:lang w:val="en-GB" w:bidi="en-US"/>
        </w:rPr>
      </w:pPr>
    </w:p>
    <w:p w:rsidR="0058165E" w:rsidRPr="00322BD0" w:rsidRDefault="0058165E" w:rsidP="001F00CB">
      <w:pPr>
        <w:shd w:val="clear" w:color="auto" w:fill="FFFFFF"/>
        <w:spacing w:after="0" w:line="240" w:lineRule="auto"/>
        <w:ind w:firstLine="0"/>
        <w:jc w:val="both"/>
        <w:rPr>
          <w:rFonts w:ascii="Cambria" w:eastAsia="Times New Roman" w:hAnsi="Cambria" w:cs="Times New Roman"/>
          <w:b/>
          <w:sz w:val="24"/>
          <w:szCs w:val="24"/>
          <w:lang w:val="en-GB" w:bidi="en-US"/>
        </w:rPr>
      </w:pPr>
    </w:p>
    <w:p w:rsidR="0058165E" w:rsidRPr="00322BD0" w:rsidRDefault="0058165E" w:rsidP="001F00CB">
      <w:pPr>
        <w:shd w:val="clear" w:color="auto" w:fill="FFFFFF"/>
        <w:spacing w:after="0" w:line="240" w:lineRule="auto"/>
        <w:ind w:firstLine="0"/>
        <w:jc w:val="both"/>
        <w:rPr>
          <w:rFonts w:ascii="Cambria" w:eastAsia="Times New Roman" w:hAnsi="Cambria" w:cs="Times New Roman"/>
          <w:b/>
          <w:sz w:val="24"/>
          <w:szCs w:val="24"/>
          <w:lang w:val="en-GB" w:bidi="en-US"/>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b/>
          <w:sz w:val="24"/>
          <w:szCs w:val="24"/>
          <w:lang w:val="en-GB" w:bidi="en-US"/>
        </w:rPr>
      </w:pPr>
      <w:r w:rsidRPr="00322BD0">
        <w:rPr>
          <w:rFonts w:ascii="Cambria" w:eastAsia="Times New Roman" w:hAnsi="Cambria" w:cs="Times New Roman"/>
          <w:b/>
          <w:sz w:val="24"/>
          <w:szCs w:val="24"/>
          <w:lang w:val="en-GB" w:bidi="en-US"/>
        </w:rPr>
        <w:t>MESSAGE OF THE CH</w:t>
      </w:r>
      <w:r w:rsidR="005440C8" w:rsidRPr="00322BD0">
        <w:rPr>
          <w:rFonts w:ascii="Cambria" w:eastAsia="Times New Roman" w:hAnsi="Cambria" w:cs="Times New Roman"/>
          <w:b/>
          <w:sz w:val="24"/>
          <w:szCs w:val="24"/>
          <w:lang w:val="en-GB" w:bidi="en-US"/>
        </w:rPr>
        <w:t xml:space="preserve">AIRMAN OF THE </w:t>
      </w:r>
      <w:r w:rsidR="00CE05FA" w:rsidRPr="00322BD0">
        <w:rPr>
          <w:rFonts w:ascii="Cambria" w:eastAsia="Times New Roman" w:hAnsi="Cambria" w:cs="Times New Roman"/>
          <w:b/>
          <w:sz w:val="24"/>
          <w:szCs w:val="24"/>
          <w:lang w:val="en-GB" w:bidi="en-US"/>
        </w:rPr>
        <w:t>BOARD OF ADMINISTRATION</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 w:val="24"/>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 w:val="24"/>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Dear shareholders,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Dear investors,</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 w:val="24"/>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The National Natural Gas Transmission Company TRANSGAZ is the technical operator of the National Natural Gas Transmission System and ensures the performance in terms of efficiency, transparency, safety, non-discriminatory access and competitiveness</w:t>
      </w:r>
      <w:r w:rsidRPr="00322BD0">
        <w:rPr>
          <w:rFonts w:ascii="Century Gothic" w:eastAsia="Times New Roman" w:hAnsi="Century Gothic" w:cs="Times New Roman"/>
          <w:sz w:val="20"/>
          <w:lang w:val="en-GB"/>
        </w:rPr>
        <w:t xml:space="preserve"> </w:t>
      </w:r>
      <w:r w:rsidRPr="00322BD0">
        <w:rPr>
          <w:rFonts w:ascii="Cambria" w:eastAsia="Times New Roman" w:hAnsi="Cambria" w:cs="Times New Roman"/>
          <w:szCs w:val="24"/>
          <w:lang w:val="en-GB"/>
        </w:rPr>
        <w:t xml:space="preserve">of the national strategy established for domestic and international transmission, natural gas dispatching, research and design in the field of natural gas transmission, in compliance with the national and European legislation and standards of quality, performance, environment and sustainable development.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TRANSGAZ is a joint stock company, listed at the Bucharest Stock Exchange and it is administered by the Board of Directors using a unitary system. In compliance with the current legislation on corporate governance, the Board of Directors was appointed by the General Meeting of Shareholders</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 xml:space="preserve">by cumulative vote on 10.07.2013, and it ensures the administration of the company in line with the </w:t>
      </w:r>
      <w:r w:rsidRPr="00322BD0">
        <w:rPr>
          <w:rFonts w:ascii="Cambria" w:eastAsia="Times New Roman" w:hAnsi="Cambria" w:cs="Times New Roman"/>
          <w:b/>
          <w:szCs w:val="24"/>
          <w:lang w:val="en-GB"/>
        </w:rPr>
        <w:t>Management plan of the company between 2013 and 2017</w:t>
      </w:r>
      <w:r w:rsidRPr="00322BD0">
        <w:rPr>
          <w:rFonts w:ascii="Cambria" w:eastAsia="Times New Roman" w:hAnsi="Cambria" w:cs="Times New Roman"/>
          <w:szCs w:val="24"/>
          <w:lang w:val="en-GB"/>
        </w:rPr>
        <w:t xml:space="preserve">, a plan unanimously approved by the company’s shareholders by the Decision No. 9/23.09.2013 of the General Ordinary Assembly of the Shareholders.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b/>
          <w:sz w:val="24"/>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 xml:space="preserve">In compliance with the legal provisions, the Board of Directors has delegated the management of the company to the general manager, Mr </w:t>
      </w:r>
      <w:r w:rsidRPr="00322BD0">
        <w:rPr>
          <w:rFonts w:ascii="Cambria" w:eastAsia="Times New Roman" w:hAnsi="Cambria" w:cs="Times New Roman"/>
          <w:b/>
          <w:szCs w:val="24"/>
          <w:lang w:val="en-GB"/>
        </w:rPr>
        <w:t xml:space="preserve">Petru Ion Vaduva </w:t>
      </w:r>
      <w:r w:rsidRPr="00322BD0">
        <w:rPr>
          <w:rFonts w:ascii="Cambria" w:eastAsia="Times New Roman" w:hAnsi="Cambria" w:cs="Times New Roman"/>
          <w:szCs w:val="24"/>
          <w:lang w:val="en-GB"/>
        </w:rPr>
        <w:t xml:space="preserve">who, together with the executive management, ensures through the management plan, the operationalization of strategic directions approved by the Management Plan of the company.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The management plan of SNTGN Transgaz SA Medias is governed by a responsible, professional and ethical attitude</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in relation to all stakeholders (shareholders, employees, partners, community, state authorities and institutions, media, etc.) and reflects the administrators’ vision on strategic redefining and company streamlining directions</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in line with the safety and energy security requirements of the European energy policy, with the competitiveness and sustainable development as well as with the future needs and opportunities of Romania</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to become a major player on the European natural gas market.</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Making the company’s importance more responsible both as an engine of the national economy and as a vector of the country's economic growth, through its role in the development of the energy sector</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 xml:space="preserve">and transformation of Romania into a European energy power, the company administrators are currently on the verge of starting one of the largest and most important development programs of natural gas transmission infrastructure of Romania in the last 20 years, having investment projects </w:t>
      </w:r>
      <w:r w:rsidRPr="00322BD0">
        <w:rPr>
          <w:rFonts w:ascii="Cambria" w:eastAsia="Times New Roman" w:hAnsi="Cambria" w:cs="Times New Roman"/>
          <w:b/>
          <w:szCs w:val="24"/>
          <w:lang w:val="en-GB"/>
        </w:rPr>
        <w:t>estimated at EUR 1.5 billion</w:t>
      </w:r>
      <w:r w:rsidRPr="00322BD0">
        <w:rPr>
          <w:rFonts w:ascii="Cambria" w:eastAsia="Times New Roman" w:hAnsi="Cambria" w:cs="Times New Roman"/>
          <w:szCs w:val="24"/>
          <w:lang w:val="en-GB"/>
        </w:rPr>
        <w:t>.</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 xml:space="preserve">In the context of profiling two major new sources of natural gas supply, </w:t>
      </w:r>
      <w:r w:rsidRPr="00322BD0">
        <w:rPr>
          <w:rFonts w:ascii="Cambria" w:eastAsia="Times New Roman" w:hAnsi="Cambria" w:cs="Times New Roman"/>
          <w:b/>
          <w:szCs w:val="24"/>
          <w:lang w:val="en-GB"/>
        </w:rPr>
        <w:t>the natural gases from the Caspian Sea region</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 xml:space="preserve">and </w:t>
      </w:r>
      <w:r w:rsidRPr="00322BD0">
        <w:rPr>
          <w:rFonts w:ascii="Cambria" w:eastAsia="Times New Roman" w:hAnsi="Cambria" w:cs="Times New Roman"/>
          <w:b/>
          <w:szCs w:val="24"/>
          <w:lang w:val="en-GB"/>
        </w:rPr>
        <w:t>those recently discovered in the Black Sea</w:t>
      </w:r>
      <w:r w:rsidRPr="00322BD0">
        <w:rPr>
          <w:rFonts w:ascii="Cambria" w:eastAsia="Times New Roman" w:hAnsi="Cambria" w:cs="Times New Roman"/>
          <w:szCs w:val="24"/>
          <w:lang w:val="en-GB"/>
        </w:rPr>
        <w:t xml:space="preserve">, the investments proposed by Transgaz in the </w:t>
      </w:r>
      <w:r w:rsidRPr="00322BD0">
        <w:rPr>
          <w:rFonts w:ascii="Cambria" w:eastAsia="Times New Roman" w:hAnsi="Cambria" w:cs="Times New Roman"/>
          <w:b/>
          <w:szCs w:val="24"/>
          <w:lang w:val="en-GB"/>
        </w:rPr>
        <w:t>Development Plan of the National Transmission System of natural gases over the next 10 years</w:t>
      </w:r>
      <w:r w:rsidRPr="00322BD0">
        <w:rPr>
          <w:rFonts w:ascii="Cambria" w:eastAsia="Times New Roman" w:hAnsi="Cambria" w:cs="Times New Roman"/>
          <w:szCs w:val="24"/>
          <w:lang w:val="en-GB"/>
        </w:rPr>
        <w:t>, plan approved by the NREA by the Decision no. 2819/17.12.2014 are strategic investments in the energy field for the development of the natural gas transmission infrastructure of Romania and its compliance with the requirements of European legislation in the field.</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The proposed investments will result in securing an appropriate degree of interconnectivity with neighbouring countries; creating several natural gas transmission routes at a regional level for natural gas transmission from various new sources of supply; creating the necessary infrastructure for takeover and transmission of natural gases from offshore perimeters in the Black Sea</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t>in order to capitalize them on the Romanian market and other markets in the region;</w:t>
      </w:r>
      <w:r w:rsidRPr="00322BD0">
        <w:rPr>
          <w:rFonts w:ascii="Century Gothic" w:eastAsia="Times New Roman" w:hAnsi="Century Gothic" w:cs="Times New Roman"/>
          <w:lang w:val="en-GB"/>
        </w:rPr>
        <w:t xml:space="preserve"> </w:t>
      </w:r>
      <w:r w:rsidRPr="00322BD0">
        <w:rPr>
          <w:rFonts w:ascii="Cambria" w:eastAsia="Times New Roman" w:hAnsi="Cambria" w:cs="Times New Roman"/>
          <w:szCs w:val="24"/>
          <w:lang w:val="en-GB"/>
        </w:rPr>
        <w:lastRenderedPageBreak/>
        <w:t>extending the natural gas transmission infrastructure in order to improve natural gas supply in deficient areas; creating an integrated single market in the European Union.</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Given the complex and extensive invest</w:t>
      </w:r>
      <w:r w:rsidR="00596C8C" w:rsidRPr="00322BD0">
        <w:rPr>
          <w:rFonts w:ascii="Cambria" w:eastAsia="Times New Roman" w:hAnsi="Cambria" w:cs="Times New Roman"/>
          <w:szCs w:val="24"/>
          <w:lang w:val="en-GB"/>
        </w:rPr>
        <w:t xml:space="preserve">ment </w:t>
      </w:r>
      <w:r w:rsidR="002C144B" w:rsidRPr="00322BD0">
        <w:rPr>
          <w:rFonts w:ascii="Cambria" w:eastAsia="Times New Roman" w:hAnsi="Cambria" w:cs="Times New Roman"/>
          <w:szCs w:val="24"/>
          <w:lang w:val="en-GB"/>
        </w:rPr>
        <w:t>programme</w:t>
      </w:r>
      <w:r w:rsidR="00596C8C" w:rsidRPr="00322BD0">
        <w:rPr>
          <w:rFonts w:ascii="Cambria" w:eastAsia="Times New Roman" w:hAnsi="Cambria" w:cs="Times New Roman"/>
          <w:szCs w:val="24"/>
          <w:lang w:val="en-GB"/>
        </w:rPr>
        <w:t>, Transgaz envisages</w:t>
      </w:r>
      <w:r w:rsidRPr="00322BD0">
        <w:rPr>
          <w:rFonts w:ascii="Cambria" w:eastAsia="Times New Roman" w:hAnsi="Cambria" w:cs="Times New Roman"/>
          <w:szCs w:val="24"/>
          <w:lang w:val="en-GB"/>
        </w:rPr>
        <w:t>, in addition to its own sources of funding,</w:t>
      </w:r>
      <w:r w:rsidR="00596C8C" w:rsidRPr="00322BD0">
        <w:rPr>
          <w:rFonts w:ascii="Cambria" w:eastAsia="Times New Roman" w:hAnsi="Cambria" w:cs="Times New Roman"/>
          <w:szCs w:val="24"/>
          <w:lang w:val="en-GB"/>
        </w:rPr>
        <w:t xml:space="preserve"> the use of additional external funding under advantageous conditions. Thus, the</w:t>
      </w:r>
      <w:r w:rsidRPr="00322BD0">
        <w:rPr>
          <w:rFonts w:ascii="Cambria" w:eastAsia="Times New Roman" w:hAnsi="Cambria" w:cs="Times New Roman"/>
          <w:szCs w:val="24"/>
          <w:lang w:val="en-GB"/>
        </w:rPr>
        <w:t xml:space="preserve"> company has a professional department for accessing European funds and for International Relations, having the r</w:t>
      </w:r>
      <w:r w:rsidR="00596C8C" w:rsidRPr="00322BD0">
        <w:rPr>
          <w:rFonts w:ascii="Cambria" w:eastAsia="Times New Roman" w:hAnsi="Cambria" w:cs="Times New Roman"/>
          <w:szCs w:val="24"/>
          <w:lang w:val="en-GB"/>
        </w:rPr>
        <w:t>ole of accessing European funds</w:t>
      </w:r>
      <w:r w:rsidRPr="00322BD0">
        <w:rPr>
          <w:rFonts w:ascii="Cambria" w:eastAsia="Times New Roman" w:hAnsi="Cambria" w:cs="Times New Roman"/>
          <w:szCs w:val="24"/>
          <w:lang w:val="en-GB"/>
        </w:rPr>
        <w:t xml:space="preserve"> and of developing international cooperation relations.</w:t>
      </w:r>
      <w:r w:rsidR="00596C8C" w:rsidRPr="00322BD0">
        <w:rPr>
          <w:rFonts w:ascii="Cambria" w:eastAsia="Times New Roman" w:hAnsi="Cambria" w:cs="Times New Roman"/>
          <w:szCs w:val="24"/>
          <w:lang w:val="en-GB"/>
        </w:rPr>
        <w:t xml:space="preserve"> At the same time, Transgaz developed a Financing Committee having the role of attracting funding from international financial institutions,</w:t>
      </w:r>
      <w:r w:rsidR="00596C8C" w:rsidRPr="00322BD0">
        <w:rPr>
          <w:rFonts w:ascii="Century Gothic" w:eastAsia="Times New Roman" w:hAnsi="Century Gothic" w:cs="Times New Roman"/>
          <w:lang w:val="en-GB"/>
        </w:rPr>
        <w:t xml:space="preserve"> </w:t>
      </w:r>
      <w:r w:rsidR="00596C8C" w:rsidRPr="00322BD0">
        <w:rPr>
          <w:rFonts w:ascii="Cambria" w:eastAsia="Times New Roman" w:hAnsi="Cambria" w:cs="Times New Roman"/>
          <w:szCs w:val="24"/>
          <w:lang w:val="en-GB"/>
        </w:rPr>
        <w:t xml:space="preserve">from other banking and financial institutions as well as from the capital market by issuing bonds.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 xml:space="preserve">The strategic vision of those who today bear the responsibility of this company’s destiny focuses on professional and efficient management, on being able to face challenges and constraints, on the development and modernization of the national transmission infrastructure of natural gases, on competitiveness and capitalizing on existing and future opportunities, so as TRANSGAZ shall become a recognized carrier of natural gases on the international market of natural gases, a leader on the energy market in the region, an important link in the national and European energy chain. </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Pursuing our proposed objectives on operational effectiveness, performance optimization and sustainable development of society, and observing the principles of good corporate governance, the company administrators shall fulfil their mandate responsibly, efficiently, transparently and professionally towards all stakeholders.</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r w:rsidRPr="00322BD0">
        <w:rPr>
          <w:rFonts w:ascii="Cambria" w:eastAsia="Times New Roman" w:hAnsi="Cambria" w:cs="Times New Roman"/>
          <w:szCs w:val="24"/>
          <w:lang w:val="en-GB"/>
        </w:rPr>
        <w:t>Yours sincerely,</w:t>
      </w:r>
    </w:p>
    <w:p w:rsidR="001F00CB" w:rsidRPr="00322BD0" w:rsidRDefault="001F00CB" w:rsidP="001F00CB">
      <w:pPr>
        <w:shd w:val="clear" w:color="auto" w:fill="FFFFFF"/>
        <w:spacing w:after="0" w:line="240" w:lineRule="auto"/>
        <w:ind w:firstLine="0"/>
        <w:jc w:val="both"/>
        <w:rPr>
          <w:rFonts w:ascii="Cambria" w:eastAsia="Times New Roman" w:hAnsi="Cambria" w:cs="Times New Roman"/>
          <w:szCs w:val="24"/>
          <w:lang w:val="en-GB"/>
        </w:rPr>
      </w:pPr>
    </w:p>
    <w:p w:rsidR="001F00CB" w:rsidRPr="00322BD0" w:rsidRDefault="001F00CB" w:rsidP="001F00CB">
      <w:pPr>
        <w:spacing w:after="0" w:line="240" w:lineRule="auto"/>
        <w:jc w:val="center"/>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ION STERIAN</w:t>
      </w:r>
    </w:p>
    <w:p w:rsidR="001F00CB" w:rsidRPr="00322BD0" w:rsidRDefault="001F00CB" w:rsidP="001F00CB">
      <w:pPr>
        <w:spacing w:after="0" w:line="240" w:lineRule="auto"/>
        <w:jc w:val="center"/>
        <w:rPr>
          <w:rFonts w:ascii="Cambria" w:eastAsia="Times New Roman" w:hAnsi="Cambria" w:cs="Times New Roman"/>
          <w:b/>
          <w:sz w:val="24"/>
          <w:szCs w:val="24"/>
          <w:lang w:val="en-GB"/>
        </w:rPr>
      </w:pPr>
    </w:p>
    <w:p w:rsidR="001F00CB" w:rsidRPr="00322BD0" w:rsidRDefault="001F00CB" w:rsidP="001F00CB">
      <w:pPr>
        <w:shd w:val="clear" w:color="auto" w:fill="FFFFFF"/>
        <w:spacing w:after="0" w:line="240" w:lineRule="auto"/>
        <w:ind w:firstLine="0"/>
        <w:jc w:val="center"/>
        <w:rPr>
          <w:rFonts w:ascii="Cambria" w:eastAsia="Times New Roman" w:hAnsi="Cambria" w:cs="Times New Roman"/>
          <w:szCs w:val="24"/>
          <w:lang w:val="en-GB"/>
        </w:rPr>
      </w:pPr>
      <w:r w:rsidRPr="00322BD0">
        <w:rPr>
          <w:rFonts w:ascii="Cambria" w:eastAsia="Times New Roman" w:hAnsi="Cambria" w:cs="Times New Roman"/>
          <w:b/>
          <w:sz w:val="24"/>
          <w:szCs w:val="24"/>
          <w:lang w:val="en-GB" w:bidi="en-US"/>
        </w:rPr>
        <w:t>Ch</w:t>
      </w:r>
      <w:r w:rsidR="005440C8" w:rsidRPr="00322BD0">
        <w:rPr>
          <w:rFonts w:ascii="Cambria" w:eastAsia="Times New Roman" w:hAnsi="Cambria" w:cs="Times New Roman"/>
          <w:b/>
          <w:sz w:val="24"/>
          <w:szCs w:val="24"/>
          <w:lang w:val="en-GB" w:bidi="en-US"/>
        </w:rPr>
        <w:t xml:space="preserve">airman of the </w:t>
      </w:r>
      <w:r w:rsidR="00CE05FA" w:rsidRPr="00322BD0">
        <w:rPr>
          <w:rFonts w:ascii="Cambria" w:eastAsia="Times New Roman" w:hAnsi="Cambria" w:cs="Times New Roman"/>
          <w:b/>
          <w:sz w:val="24"/>
          <w:szCs w:val="24"/>
          <w:lang w:val="en-GB" w:bidi="en-US"/>
        </w:rPr>
        <w:t>Board of Administration</w:t>
      </w:r>
    </w:p>
    <w:p w:rsidR="00A21A3D" w:rsidRPr="00322BD0" w:rsidRDefault="00A21A3D" w:rsidP="00A21A3D">
      <w:pPr>
        <w:pStyle w:val="Heading2"/>
        <w:jc w:val="both"/>
        <w:rPr>
          <w:szCs w:val="24"/>
          <w:lang w:val="en-GB"/>
        </w:rPr>
      </w:pPr>
    </w:p>
    <w:p w:rsidR="00A21A3D" w:rsidRPr="00322BD0" w:rsidRDefault="00A21A3D" w:rsidP="005724D6">
      <w:pPr>
        <w:pStyle w:val="NoSpacing"/>
        <w:shd w:val="clear" w:color="auto" w:fill="FFFFFF" w:themeFill="background1"/>
        <w:jc w:val="both"/>
        <w:rPr>
          <w:rFonts w:ascii="Cambria" w:hAnsi="Cambria"/>
          <w:b/>
          <w:sz w:val="24"/>
          <w:szCs w:val="24"/>
          <w:lang w:val="en-GB"/>
        </w:rPr>
      </w:pPr>
    </w:p>
    <w:p w:rsidR="001023E0" w:rsidRPr="00322BD0" w:rsidRDefault="001023E0" w:rsidP="005724D6">
      <w:pPr>
        <w:pStyle w:val="NoSpacing"/>
        <w:shd w:val="clear" w:color="auto" w:fill="FFFFFF" w:themeFill="background1"/>
        <w:jc w:val="both"/>
        <w:rPr>
          <w:rFonts w:ascii="Cambria" w:hAnsi="Cambria"/>
          <w:b/>
          <w:sz w:val="24"/>
          <w:szCs w:val="24"/>
          <w:lang w:val="en-GB"/>
        </w:rPr>
      </w:pPr>
    </w:p>
    <w:p w:rsidR="00596C8C" w:rsidRPr="00322BD0" w:rsidRDefault="00596C8C" w:rsidP="005724D6">
      <w:pPr>
        <w:pStyle w:val="NoSpacing"/>
        <w:shd w:val="clear" w:color="auto" w:fill="FFFFFF" w:themeFill="background1"/>
        <w:jc w:val="both"/>
        <w:rPr>
          <w:rFonts w:ascii="Cambria" w:hAnsi="Cambria"/>
          <w:b/>
          <w:sz w:val="24"/>
          <w:szCs w:val="24"/>
          <w:lang w:val="en-GB"/>
        </w:rPr>
      </w:pPr>
    </w:p>
    <w:p w:rsidR="00596C8C" w:rsidRPr="00322BD0" w:rsidRDefault="00596C8C" w:rsidP="005724D6">
      <w:pPr>
        <w:pStyle w:val="NoSpacing"/>
        <w:shd w:val="clear" w:color="auto" w:fill="FFFFFF" w:themeFill="background1"/>
        <w:jc w:val="both"/>
        <w:rPr>
          <w:rFonts w:ascii="Cambria" w:hAnsi="Cambria"/>
          <w:b/>
          <w:sz w:val="24"/>
          <w:szCs w:val="24"/>
          <w:lang w:val="en-GB"/>
        </w:rPr>
      </w:pPr>
    </w:p>
    <w:p w:rsidR="001F00CB" w:rsidRPr="00322BD0" w:rsidRDefault="001F00CB" w:rsidP="005724D6">
      <w:pPr>
        <w:pStyle w:val="NoSpacing"/>
        <w:shd w:val="clear" w:color="auto" w:fill="FFFFFF" w:themeFill="background1"/>
        <w:jc w:val="both"/>
        <w:rPr>
          <w:rFonts w:ascii="Cambria" w:hAnsi="Cambria"/>
          <w:b/>
          <w:sz w:val="24"/>
          <w:szCs w:val="24"/>
          <w:lang w:val="en-GB"/>
        </w:rPr>
      </w:pPr>
    </w:p>
    <w:p w:rsidR="001F00CB" w:rsidRPr="00322BD0" w:rsidRDefault="001F00CB" w:rsidP="005724D6">
      <w:pPr>
        <w:pStyle w:val="NoSpacing"/>
        <w:shd w:val="clear" w:color="auto" w:fill="FFFFFF" w:themeFill="background1"/>
        <w:jc w:val="both"/>
        <w:rPr>
          <w:rFonts w:ascii="Cambria" w:hAnsi="Cambria"/>
          <w:b/>
          <w:sz w:val="24"/>
          <w:szCs w:val="24"/>
          <w:lang w:val="en-GB"/>
        </w:rPr>
      </w:pPr>
    </w:p>
    <w:p w:rsidR="001F00CB" w:rsidRPr="00322BD0" w:rsidRDefault="001F00CB" w:rsidP="005724D6">
      <w:pPr>
        <w:pStyle w:val="NoSpacing"/>
        <w:shd w:val="clear" w:color="auto" w:fill="FFFFFF" w:themeFill="background1"/>
        <w:jc w:val="both"/>
        <w:rPr>
          <w:rFonts w:ascii="Cambria" w:hAnsi="Cambria"/>
          <w:b/>
          <w:sz w:val="24"/>
          <w:szCs w:val="24"/>
          <w:lang w:val="en-GB"/>
        </w:rPr>
      </w:pPr>
    </w:p>
    <w:p w:rsidR="001023E0" w:rsidRPr="00322BD0" w:rsidRDefault="001023E0" w:rsidP="005724D6">
      <w:pPr>
        <w:pStyle w:val="NoSpacing"/>
        <w:shd w:val="clear" w:color="auto" w:fill="FFFFFF" w:themeFill="background1"/>
        <w:jc w:val="both"/>
        <w:rPr>
          <w:rFonts w:ascii="Cambria" w:hAnsi="Cambria"/>
          <w:b/>
          <w:sz w:val="24"/>
          <w:szCs w:val="24"/>
          <w:lang w:val="en-GB"/>
        </w:rPr>
      </w:pPr>
    </w:p>
    <w:p w:rsidR="001023E0" w:rsidRPr="00322BD0" w:rsidRDefault="001023E0" w:rsidP="005724D6">
      <w:pPr>
        <w:pStyle w:val="NoSpacing"/>
        <w:shd w:val="clear" w:color="auto" w:fill="FFFFFF" w:themeFill="background1"/>
        <w:jc w:val="both"/>
        <w:rPr>
          <w:rFonts w:ascii="Cambria" w:hAnsi="Cambria"/>
          <w:b/>
          <w:sz w:val="24"/>
          <w:szCs w:val="24"/>
          <w:lang w:val="en-GB"/>
        </w:rPr>
      </w:pPr>
    </w:p>
    <w:p w:rsidR="009B627F" w:rsidRPr="00322BD0" w:rsidRDefault="009B627F" w:rsidP="005724D6">
      <w:pPr>
        <w:pStyle w:val="NoSpacing"/>
        <w:shd w:val="clear" w:color="auto" w:fill="FFFFFF" w:themeFill="background1"/>
        <w:jc w:val="both"/>
        <w:rPr>
          <w:rFonts w:ascii="Cambria" w:hAnsi="Cambria"/>
          <w:b/>
          <w:sz w:val="24"/>
          <w:szCs w:val="24"/>
          <w:lang w:val="en-GB"/>
        </w:rPr>
      </w:pPr>
    </w:p>
    <w:p w:rsidR="00D15401" w:rsidRPr="00322BD0" w:rsidRDefault="00D15401" w:rsidP="00BB2151">
      <w:pPr>
        <w:pStyle w:val="Heading11"/>
        <w:rPr>
          <w:i w:val="0"/>
          <w:lang w:val="en-GB"/>
        </w:rPr>
      </w:pPr>
    </w:p>
    <w:p w:rsidR="00D15401" w:rsidRPr="00322BD0" w:rsidRDefault="00D15401" w:rsidP="00BB2151">
      <w:pPr>
        <w:pStyle w:val="Heading11"/>
        <w:rPr>
          <w:i w:val="0"/>
          <w:lang w:val="en-GB"/>
        </w:rPr>
      </w:pPr>
    </w:p>
    <w:p w:rsidR="00596C8C" w:rsidRPr="00322BD0" w:rsidRDefault="009E5DDB" w:rsidP="00BB2151">
      <w:pPr>
        <w:pStyle w:val="Heading11"/>
        <w:rPr>
          <w:i w:val="0"/>
          <w:lang w:val="en-GB"/>
        </w:rPr>
      </w:pPr>
      <w:bookmarkStart w:id="1" w:name="_Toc446310806"/>
      <w:r w:rsidRPr="00322BD0">
        <w:rPr>
          <w:i w:val="0"/>
          <w:lang w:val="en-GB"/>
        </w:rPr>
        <w:lastRenderedPageBreak/>
        <w:t xml:space="preserve">1. </w:t>
      </w:r>
      <w:r w:rsidR="00596C8C" w:rsidRPr="00322BD0">
        <w:rPr>
          <w:i w:val="0"/>
          <w:lang w:val="en-GB"/>
        </w:rPr>
        <w:t>ISSUER IDENTIFICATION DATA</w:t>
      </w:r>
      <w:bookmarkEnd w:id="1"/>
    </w:p>
    <w:p w:rsidR="00CD0E3B" w:rsidRPr="00322BD0" w:rsidRDefault="00D557E0" w:rsidP="00D557E0">
      <w:pPr>
        <w:pStyle w:val="Heading2"/>
        <w:rPr>
          <w:rFonts w:ascii="Cambria" w:hAnsi="Cambria"/>
          <w:i w:val="0"/>
          <w:sz w:val="24"/>
          <w:szCs w:val="24"/>
          <w:lang w:val="en-GB"/>
        </w:rPr>
      </w:pPr>
      <w:r w:rsidRPr="00322BD0">
        <w:rPr>
          <w:rFonts w:ascii="Cambria" w:hAnsi="Cambria"/>
          <w:i w:val="0"/>
          <w:sz w:val="24"/>
          <w:szCs w:val="24"/>
          <w:lang w:val="en-GB"/>
        </w:rPr>
        <w:t xml:space="preserve"> </w:t>
      </w:r>
      <w:bookmarkStart w:id="2" w:name="_Toc414263609"/>
      <w:bookmarkStart w:id="3" w:name="_Toc446310807"/>
      <w:r w:rsidRPr="00322BD0">
        <w:rPr>
          <w:rFonts w:ascii="Cambria" w:hAnsi="Cambria"/>
          <w:i w:val="0"/>
          <w:sz w:val="24"/>
          <w:szCs w:val="24"/>
          <w:lang w:val="en-GB"/>
        </w:rPr>
        <w:t xml:space="preserve">1.1 </w:t>
      </w:r>
      <w:bookmarkEnd w:id="2"/>
      <w:r w:rsidR="00596C8C" w:rsidRPr="00322BD0">
        <w:rPr>
          <w:rFonts w:ascii="Cambria" w:eastAsia="Times New Roman" w:hAnsi="Cambria" w:cs="Times New Roman"/>
          <w:bCs w:val="0"/>
          <w:i w:val="0"/>
          <w:iCs w:val="0"/>
          <w:sz w:val="24"/>
          <w:szCs w:val="24"/>
          <w:lang w:val="en-GB"/>
        </w:rPr>
        <w:t>Report and issuer identification data</w:t>
      </w:r>
      <w:bookmarkEnd w:id="3"/>
    </w:p>
    <w:p w:rsidR="006B20C9" w:rsidRPr="00322BD0" w:rsidRDefault="006B20C9" w:rsidP="00A86AF4">
      <w:pPr>
        <w:spacing w:after="0" w:line="240" w:lineRule="auto"/>
        <w:ind w:firstLine="0"/>
        <w:jc w:val="both"/>
        <w:rPr>
          <w:rFonts w:ascii="Cambria" w:hAnsi="Cambria"/>
          <w:sz w:val="24"/>
          <w:szCs w:val="24"/>
          <w:lang w:val="en-GB"/>
        </w:rPr>
      </w:pPr>
    </w:p>
    <w:p w:rsidR="00596C8C" w:rsidRPr="00322BD0" w:rsidRDefault="007A766E"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Half year </w:t>
      </w:r>
      <w:r w:rsidR="00596C8C" w:rsidRPr="00322BD0">
        <w:rPr>
          <w:rFonts w:ascii="Cambria" w:eastAsia="Times New Roman" w:hAnsi="Cambria" w:cs="Times New Roman"/>
          <w:sz w:val="24"/>
          <w:szCs w:val="24"/>
          <w:lang w:val="en-GB"/>
        </w:rPr>
        <w:t>report according to the provisions of Article 227 of Law no. 297/June 28, 2004, regarding the capital market, as amended and supplemented</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For the year concluded on</w:t>
      </w:r>
      <w:r w:rsidRPr="00322BD0">
        <w:rPr>
          <w:rFonts w:ascii="Cambria" w:eastAsia="Times New Roman" w:hAnsi="Cambria" w:cs="Times New Roman"/>
          <w:sz w:val="24"/>
          <w:szCs w:val="24"/>
          <w:lang w:val="en-GB"/>
        </w:rPr>
        <w:t xml:space="preserve">: </w:t>
      </w:r>
      <w:r w:rsidR="007A766E" w:rsidRPr="00322BD0">
        <w:rPr>
          <w:rFonts w:ascii="Cambria" w:eastAsia="Times New Roman" w:hAnsi="Cambria" w:cs="Times New Roman"/>
          <w:sz w:val="24"/>
          <w:szCs w:val="24"/>
          <w:lang w:val="en-GB"/>
        </w:rPr>
        <w:t xml:space="preserve">31 </w:t>
      </w:r>
      <w:r w:rsidRPr="00322BD0">
        <w:rPr>
          <w:rFonts w:ascii="Cambria" w:eastAsia="Times New Roman" w:hAnsi="Cambria" w:cs="Times New Roman"/>
          <w:sz w:val="24"/>
          <w:szCs w:val="24"/>
          <w:lang w:val="en-GB"/>
        </w:rPr>
        <w:t>December 201</w:t>
      </w:r>
      <w:r w:rsidR="00E273B9" w:rsidRPr="00322BD0">
        <w:rPr>
          <w:rFonts w:ascii="Cambria" w:eastAsia="Times New Roman" w:hAnsi="Cambria" w:cs="Times New Roman"/>
          <w:sz w:val="24"/>
          <w:szCs w:val="24"/>
          <w:lang w:val="en-GB"/>
        </w:rPr>
        <w:t>6</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Report date</w:t>
      </w:r>
      <w:r w:rsidRPr="00322BD0">
        <w:rPr>
          <w:rFonts w:ascii="Cambria" w:eastAsia="Times New Roman" w:hAnsi="Cambria" w:cs="Times New Roman"/>
          <w:sz w:val="24"/>
          <w:szCs w:val="24"/>
          <w:lang w:val="en-GB"/>
        </w:rPr>
        <w:t xml:space="preserve">: </w:t>
      </w:r>
      <w:r w:rsidR="007A766E" w:rsidRPr="00322BD0">
        <w:rPr>
          <w:rFonts w:ascii="Cambria" w:eastAsia="Times New Roman" w:hAnsi="Cambria" w:cs="Times New Roman"/>
          <w:sz w:val="24"/>
          <w:szCs w:val="24"/>
          <w:lang w:val="en-GB"/>
        </w:rPr>
        <w:t xml:space="preserve">15 </w:t>
      </w:r>
      <w:r w:rsidR="005440C8" w:rsidRPr="00322BD0">
        <w:rPr>
          <w:rFonts w:ascii="Cambria" w:eastAsia="Times New Roman" w:hAnsi="Cambria" w:cs="Times New Roman"/>
          <w:sz w:val="24"/>
          <w:szCs w:val="24"/>
          <w:lang w:val="en-GB"/>
        </w:rPr>
        <w:t>March</w:t>
      </w:r>
      <w:r w:rsidRPr="00322BD0">
        <w:rPr>
          <w:rFonts w:ascii="Cambria" w:eastAsia="Times New Roman" w:hAnsi="Cambria" w:cs="Times New Roman"/>
          <w:sz w:val="24"/>
          <w:szCs w:val="24"/>
          <w:lang w:val="en-GB"/>
        </w:rPr>
        <w:t xml:space="preserve"> 201</w:t>
      </w:r>
      <w:r w:rsidR="00E273B9" w:rsidRPr="00322BD0">
        <w:rPr>
          <w:rFonts w:ascii="Cambria" w:eastAsia="Times New Roman" w:hAnsi="Cambria" w:cs="Times New Roman"/>
          <w:sz w:val="24"/>
          <w:szCs w:val="24"/>
          <w:lang w:val="en-GB"/>
        </w:rPr>
        <w:t>7</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Company name:</w:t>
      </w:r>
      <w:r w:rsidRPr="00322BD0">
        <w:rPr>
          <w:rFonts w:ascii="Cambria" w:eastAsia="Times New Roman" w:hAnsi="Cambria" w:cs="Times New Roman"/>
          <w:sz w:val="24"/>
          <w:szCs w:val="24"/>
          <w:lang w:val="en-GB"/>
        </w:rPr>
        <w:t xml:space="preserve"> The Nat</w:t>
      </w:r>
      <w:r w:rsidR="009D379A" w:rsidRPr="00322BD0">
        <w:rPr>
          <w:rFonts w:ascii="Cambria" w:eastAsia="Times New Roman" w:hAnsi="Cambria" w:cs="Times New Roman"/>
          <w:sz w:val="24"/>
          <w:szCs w:val="24"/>
          <w:lang w:val="en-GB"/>
        </w:rPr>
        <w:t>ional Gas Transmission Company TRANSGAZ</w:t>
      </w:r>
      <w:r w:rsidRPr="00322BD0">
        <w:rPr>
          <w:rFonts w:ascii="Cambria" w:eastAsia="Times New Roman" w:hAnsi="Cambria" w:cs="Times New Roman"/>
          <w:sz w:val="24"/>
          <w:szCs w:val="24"/>
          <w:lang w:val="en-GB"/>
        </w:rPr>
        <w:t xml:space="preserve"> SA </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Telephone/Fax number</w:t>
      </w:r>
      <w:r w:rsidRPr="00322BD0">
        <w:rPr>
          <w:rFonts w:ascii="Cambria" w:eastAsia="Times New Roman" w:hAnsi="Cambria" w:cs="Times New Roman"/>
          <w:sz w:val="24"/>
          <w:szCs w:val="24"/>
          <w:lang w:val="en-GB"/>
        </w:rPr>
        <w:t>: 0269-803333/0269-839029</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VAT Number</w:t>
      </w:r>
      <w:r w:rsidRPr="00322BD0">
        <w:rPr>
          <w:rFonts w:ascii="Cambria" w:eastAsia="Times New Roman" w:hAnsi="Cambria" w:cs="Times New Roman"/>
          <w:sz w:val="24"/>
          <w:szCs w:val="24"/>
          <w:lang w:val="en-GB"/>
        </w:rPr>
        <w:t>: RO13068733</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Registration number with the Trade Register:</w:t>
      </w:r>
      <w:r w:rsidRPr="00322BD0">
        <w:rPr>
          <w:rFonts w:ascii="Cambria" w:eastAsia="Times New Roman" w:hAnsi="Cambria" w:cs="Times New Roman"/>
          <w:sz w:val="24"/>
          <w:szCs w:val="24"/>
          <w:lang w:val="en-GB"/>
        </w:rPr>
        <w:t xml:space="preserve"> J32/301/2000</w:t>
      </w: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b/>
          <w:sz w:val="24"/>
          <w:szCs w:val="24"/>
          <w:lang w:val="en-GB"/>
        </w:rPr>
        <w:t>Subscribed and paid up capital:</w:t>
      </w:r>
      <w:r w:rsidRPr="00322BD0">
        <w:rPr>
          <w:rFonts w:ascii="Cambria" w:eastAsia="Times New Roman" w:hAnsi="Cambria" w:cs="Times New Roman"/>
          <w:sz w:val="24"/>
          <w:szCs w:val="24"/>
          <w:lang w:val="en-GB"/>
        </w:rPr>
        <w:t xml:space="preserve"> RON 117,738,440 </w:t>
      </w:r>
    </w:p>
    <w:p w:rsidR="00596C8C" w:rsidRPr="00322BD0" w:rsidRDefault="00596C8C" w:rsidP="00596C8C">
      <w:pPr>
        <w:spacing w:after="0" w:line="240" w:lineRule="auto"/>
        <w:ind w:firstLine="0"/>
        <w:jc w:val="both"/>
        <w:rPr>
          <w:rFonts w:ascii="Cambria" w:eastAsia="Times New Roman" w:hAnsi="Cambria" w:cs="Times New Roman"/>
          <w:b/>
          <w:sz w:val="24"/>
          <w:szCs w:val="24"/>
          <w:lang w:val="en-GB"/>
        </w:rPr>
      </w:pPr>
      <w:bookmarkStart w:id="4" w:name="OLE_LINK1"/>
      <w:bookmarkStart w:id="5" w:name="OLE_LINK2"/>
      <w:r w:rsidRPr="00322BD0">
        <w:rPr>
          <w:rFonts w:ascii="Cambria" w:eastAsia="Times New Roman" w:hAnsi="Cambria" w:cs="Times New Roman"/>
          <w:b/>
          <w:sz w:val="24"/>
          <w:szCs w:val="24"/>
          <w:lang w:val="en-GB"/>
        </w:rPr>
        <w:t xml:space="preserve">Regulated market for the trading of issued securities: </w:t>
      </w:r>
      <w:r w:rsidRPr="00322BD0">
        <w:rPr>
          <w:rFonts w:ascii="Cambria" w:eastAsia="Times New Roman" w:hAnsi="Cambria" w:cs="Times New Roman"/>
          <w:sz w:val="24"/>
          <w:szCs w:val="24"/>
          <w:lang w:val="en-GB"/>
        </w:rPr>
        <w:t>Bucharest Stock Exchange</w:t>
      </w:r>
    </w:p>
    <w:bookmarkEnd w:id="4"/>
    <w:bookmarkEnd w:id="5"/>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Main characteristics of the securities issued by Transgaz: 11,773,844 ordinary, registered, indivisible, freely tradable shares as of </w:t>
      </w:r>
      <w:r w:rsidR="00F62B7D" w:rsidRPr="00322BD0">
        <w:rPr>
          <w:rFonts w:ascii="Cambria" w:eastAsia="Times New Roman" w:hAnsi="Cambria" w:cs="Times New Roman"/>
          <w:sz w:val="24"/>
          <w:szCs w:val="24"/>
          <w:lang w:val="en-GB"/>
        </w:rPr>
        <w:t xml:space="preserve">24 </w:t>
      </w:r>
      <w:r w:rsidRPr="00322BD0">
        <w:rPr>
          <w:rFonts w:ascii="Cambria" w:eastAsia="Times New Roman" w:hAnsi="Cambria" w:cs="Times New Roman"/>
          <w:sz w:val="24"/>
          <w:szCs w:val="24"/>
          <w:lang w:val="en-GB"/>
        </w:rPr>
        <w:t xml:space="preserve">January 2008, with a face value of RON 10/share. </w:t>
      </w:r>
    </w:p>
    <w:p w:rsidR="00A86AF4" w:rsidRPr="00322BD0" w:rsidRDefault="00A86AF4" w:rsidP="00A86AF4">
      <w:pPr>
        <w:spacing w:after="0" w:line="240" w:lineRule="auto"/>
        <w:ind w:firstLine="0"/>
        <w:jc w:val="both"/>
        <w:rPr>
          <w:rFonts w:ascii="Cambria" w:hAnsi="Cambria"/>
          <w:sz w:val="24"/>
          <w:szCs w:val="24"/>
          <w:lang w:val="en-GB"/>
        </w:rPr>
      </w:pPr>
    </w:p>
    <w:p w:rsidR="00596C8C" w:rsidRPr="00322BD0" w:rsidRDefault="00596C8C" w:rsidP="00596C8C">
      <w:pPr>
        <w:spacing w:after="0" w:line="240" w:lineRule="auto"/>
        <w:ind w:firstLine="0"/>
        <w:jc w:val="both"/>
        <w:rPr>
          <w:rFonts w:ascii="Cambria" w:eastAsia="Times New Roman" w:hAnsi="Cambria" w:cs="Times New Roman"/>
          <w:sz w:val="24"/>
          <w:szCs w:val="24"/>
          <w:lang w:val="en-GB"/>
        </w:rPr>
      </w:pPr>
      <w:bookmarkStart w:id="6" w:name="_Toc414263610"/>
      <w:r w:rsidRPr="00322BD0">
        <w:rPr>
          <w:rFonts w:ascii="Cambria" w:eastAsia="Times New Roman" w:hAnsi="Cambria" w:cs="Times New Roman"/>
          <w:sz w:val="24"/>
          <w:szCs w:val="24"/>
          <w:lang w:val="en-GB"/>
        </w:rPr>
        <w:t xml:space="preserve">The financial and economic indicators presented in this report </w:t>
      </w:r>
      <w:r w:rsidR="00F62B7D" w:rsidRPr="00322BD0">
        <w:rPr>
          <w:rFonts w:ascii="Cambria" w:eastAsia="Times New Roman" w:hAnsi="Cambria" w:cs="Times New Roman"/>
          <w:sz w:val="24"/>
          <w:szCs w:val="24"/>
          <w:lang w:val="en-GB"/>
        </w:rPr>
        <w:t>are calculated based on the financial statements prepared according to</w:t>
      </w:r>
      <w:r w:rsidRPr="00322BD0">
        <w:rPr>
          <w:rFonts w:ascii="Cambria" w:eastAsia="Times New Roman" w:hAnsi="Cambria" w:cs="Times New Roman"/>
          <w:sz w:val="24"/>
          <w:szCs w:val="24"/>
          <w:lang w:val="en-GB"/>
        </w:rPr>
        <w:t xml:space="preserve"> the International Financial Reporting Standards adopted by the European Union (IFRS-EU), according to the Order of the Minister of Public Finance no. 881/June 25, 2012 and the accounting regulations approved by Order of the Minister of Public Finance no. 1286/October 1, 2012 – updated.  </w:t>
      </w:r>
    </w:p>
    <w:p w:rsidR="00605C81" w:rsidRPr="00322BD0" w:rsidRDefault="00605C81" w:rsidP="009E5DDB">
      <w:pPr>
        <w:pStyle w:val="Heading2"/>
        <w:rPr>
          <w:rFonts w:eastAsia="Times New Roman"/>
          <w:i w:val="0"/>
          <w:lang w:val="en-GB"/>
        </w:rPr>
      </w:pPr>
      <w:bookmarkStart w:id="7" w:name="_Toc446310808"/>
      <w:bookmarkEnd w:id="6"/>
      <w:r w:rsidRPr="00322BD0">
        <w:rPr>
          <w:rFonts w:eastAsia="Times New Roman"/>
          <w:i w:val="0"/>
          <w:lang w:val="en-GB"/>
        </w:rPr>
        <w:t>1.2 Main activities</w:t>
      </w:r>
      <w:bookmarkEnd w:id="7"/>
    </w:p>
    <w:p w:rsidR="00605C81" w:rsidRPr="00322BD0" w:rsidRDefault="00605C81" w:rsidP="00605C81">
      <w:pPr>
        <w:spacing w:after="120" w:line="25" w:lineRule="atLeast"/>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Transgaz is a joint stock company, operating according to the provisions of the Romanian legislation and its updated Articles of Incorporation. It is a company listed on the Bucharest Stock Exchange, stock exchange symbol – TGN.</w:t>
      </w:r>
    </w:p>
    <w:p w:rsidR="00605C81" w:rsidRPr="00322BD0" w:rsidRDefault="00605C81" w:rsidP="00605C81">
      <w:pPr>
        <w:spacing w:after="0" w:line="240" w:lineRule="auto"/>
        <w:ind w:firstLine="0"/>
        <w:jc w:val="both"/>
        <w:rPr>
          <w:rFonts w:ascii="Cambria" w:eastAsia="Times New Roman" w:hAnsi="Cambria" w:cs="Times New Roman"/>
          <w:b/>
          <w:color w:val="000000"/>
          <w:kern w:val="24"/>
          <w:sz w:val="24"/>
          <w:szCs w:val="24"/>
          <w:lang w:val="en-GB" w:eastAsia="en-US"/>
        </w:rPr>
      </w:pPr>
    </w:p>
    <w:p w:rsidR="001B3D27" w:rsidRPr="00322BD0" w:rsidRDefault="001B3D27" w:rsidP="00605C81">
      <w:pPr>
        <w:spacing w:after="0" w:line="240" w:lineRule="auto"/>
        <w:ind w:firstLine="0"/>
        <w:jc w:val="both"/>
        <w:rPr>
          <w:rFonts w:ascii="Cambria" w:eastAsia="Times New Roman" w:hAnsi="Cambria" w:cs="Times New Roman"/>
          <w:b/>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Mission</w:t>
      </w:r>
    </w:p>
    <w:p w:rsidR="00605C81" w:rsidRPr="00322BD0" w:rsidRDefault="00605C81" w:rsidP="00605C81">
      <w:pPr>
        <w:spacing w:after="0" w:line="240" w:lineRule="auto"/>
        <w:ind w:firstLine="0"/>
        <w:jc w:val="both"/>
        <w:rPr>
          <w:rFonts w:ascii="Cambria" w:eastAsia="Times New Roman" w:hAnsi="Cambria" w:cs="Times New Roman"/>
          <w:color w:val="000000"/>
          <w:kern w:val="24"/>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color w:val="000000"/>
          <w:kern w:val="24"/>
          <w:sz w:val="24"/>
          <w:szCs w:val="24"/>
          <w:lang w:val="en-GB"/>
        </w:rPr>
      </w:pPr>
      <w:r w:rsidRPr="00322BD0">
        <w:rPr>
          <w:rFonts w:ascii="Cambria" w:eastAsia="Times New Roman" w:hAnsi="Cambria" w:cs="Times New Roman"/>
          <w:color w:val="000000"/>
          <w:kern w:val="24"/>
          <w:sz w:val="24"/>
          <w:szCs w:val="24"/>
          <w:lang w:val="en-GB"/>
        </w:rPr>
        <w:t>SNTGN TRANSGAZ SA Mediaş is the technical operator of the National Transmission System (NTS) of natural gas and ensures the fulfilment in conditions of efficiency, transparency, safety, non-discriminatory access and competitiveness of the national strategy established for domestic and international transmission of natural gas, natural gas dispatching, research and design in the field of natural gas transmission, in compliance with the national and European laws and standards of quality, performance, environment and sustainable development.</w:t>
      </w:r>
    </w:p>
    <w:p w:rsidR="00BE3D1A" w:rsidRPr="00322BD0" w:rsidRDefault="00BE3D1A" w:rsidP="00337807">
      <w:pPr>
        <w:spacing w:after="0" w:line="240" w:lineRule="auto"/>
        <w:ind w:firstLine="0"/>
        <w:jc w:val="both"/>
        <w:rPr>
          <w:rFonts w:ascii="Cambria" w:hAnsi="Cambria"/>
          <w:b/>
          <w:sz w:val="24"/>
          <w:szCs w:val="24"/>
          <w:lang w:val="en-GB"/>
        </w:rPr>
      </w:pPr>
    </w:p>
    <w:p w:rsidR="00605C81" w:rsidRPr="00322BD0" w:rsidRDefault="00605C81" w:rsidP="009E5DDB">
      <w:pPr>
        <w:pStyle w:val="Heading2"/>
        <w:rPr>
          <w:rFonts w:eastAsia="Times New Roman"/>
          <w:i w:val="0"/>
          <w:lang w:val="en-GB"/>
        </w:rPr>
      </w:pPr>
      <w:bookmarkStart w:id="8" w:name="_Toc446310809"/>
      <w:r w:rsidRPr="00322BD0">
        <w:rPr>
          <w:rFonts w:eastAsia="Times New Roman"/>
          <w:i w:val="0"/>
          <w:lang w:val="en-GB"/>
        </w:rPr>
        <w:t>1.3 Structure</w:t>
      </w:r>
      <w:bookmarkEnd w:id="8"/>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bookmarkStart w:id="9" w:name="_Toc319916345"/>
      <w:r w:rsidRPr="00322BD0">
        <w:rPr>
          <w:rFonts w:ascii="Cambria" w:eastAsia="Times New Roman" w:hAnsi="Cambria" w:cs="Times New Roman"/>
          <w:sz w:val="24"/>
          <w:szCs w:val="24"/>
          <w:lang w:val="en-GB"/>
        </w:rPr>
        <w:t>Transgaz was set up in 2000, based on the GD no. 334/</w:t>
      </w:r>
      <w:r w:rsidRPr="00322BD0">
        <w:rPr>
          <w:rFonts w:ascii="Cambria" w:eastAsia="Times New Roman" w:hAnsi="Cambria" w:cs="Times New Roman"/>
          <w:sz w:val="24"/>
          <w:szCs w:val="24"/>
          <w:vertAlign w:val="superscript"/>
          <w:lang w:val="en-GB"/>
        </w:rPr>
        <w:t xml:space="preserve"> </w:t>
      </w:r>
      <w:r w:rsidRPr="00322BD0">
        <w:rPr>
          <w:rFonts w:ascii="Cambria" w:eastAsia="Times New Roman" w:hAnsi="Cambria" w:cs="Times New Roman"/>
          <w:sz w:val="24"/>
          <w:szCs w:val="24"/>
          <w:lang w:val="en-GB"/>
        </w:rPr>
        <w:t xml:space="preserve">April 28, 2000 </w:t>
      </w:r>
      <w:r w:rsidRPr="00322BD0">
        <w:rPr>
          <w:rFonts w:ascii="Cambria" w:eastAsia="Times New Roman" w:hAnsi="Cambria" w:cs="Times New Roman"/>
          <w:i/>
          <w:sz w:val="24"/>
          <w:szCs w:val="24"/>
          <w:lang w:val="en-GB"/>
        </w:rPr>
        <w:t xml:space="preserve">on the reorganisation of the former National Natural Gas Company (SNGN) </w:t>
      </w:r>
      <w:r w:rsidR="00D15401" w:rsidRPr="00322BD0">
        <w:rPr>
          <w:rFonts w:ascii="Cambria" w:eastAsia="Times New Roman" w:hAnsi="Cambria" w:cs="Times New Roman"/>
          <w:i/>
          <w:sz w:val="24"/>
          <w:szCs w:val="24"/>
          <w:lang w:val="en-GB"/>
        </w:rPr>
        <w:t>`</w:t>
      </w:r>
      <w:r w:rsidRPr="00322BD0">
        <w:rPr>
          <w:rFonts w:ascii="Cambria" w:eastAsia="Times New Roman" w:hAnsi="Cambria" w:cs="Times New Roman"/>
          <w:i/>
          <w:sz w:val="24"/>
          <w:szCs w:val="24"/>
          <w:lang w:val="en-GB"/>
        </w:rPr>
        <w:t>Romgaz</w:t>
      </w:r>
      <w:r w:rsidR="00D15401" w:rsidRPr="00322BD0">
        <w:rPr>
          <w:rFonts w:ascii="Cambria" w:eastAsia="Times New Roman" w:hAnsi="Cambria" w:cs="Times New Roman"/>
          <w:i/>
          <w:sz w:val="24"/>
          <w:szCs w:val="24"/>
          <w:lang w:val="en-GB"/>
        </w:rPr>
        <w:t>`</w:t>
      </w:r>
      <w:r w:rsidRPr="00322BD0">
        <w:rPr>
          <w:rFonts w:ascii="Cambria" w:eastAsia="Times New Roman" w:hAnsi="Cambria" w:cs="Times New Roman"/>
          <w:i/>
          <w:sz w:val="24"/>
          <w:szCs w:val="24"/>
          <w:lang w:val="en-GB"/>
        </w:rPr>
        <w:t xml:space="preserve"> SA, published in the </w:t>
      </w:r>
      <w:r w:rsidR="00CE05FA" w:rsidRPr="00322BD0">
        <w:rPr>
          <w:rFonts w:ascii="Cambria" w:eastAsia="Times New Roman" w:hAnsi="Cambria" w:cs="Times New Roman"/>
          <w:i/>
          <w:sz w:val="24"/>
          <w:szCs w:val="24"/>
          <w:lang w:val="en-GB"/>
        </w:rPr>
        <w:t>Official Journal of</w:t>
      </w:r>
      <w:r w:rsidRPr="00322BD0">
        <w:rPr>
          <w:rFonts w:ascii="Cambria" w:eastAsia="Times New Roman" w:hAnsi="Cambria" w:cs="Times New Roman"/>
          <w:i/>
          <w:sz w:val="24"/>
          <w:szCs w:val="24"/>
          <w:lang w:val="en-GB"/>
        </w:rPr>
        <w:t xml:space="preserve"> Romania, Part I, no. 194/04.05.2000</w:t>
      </w:r>
      <w:r w:rsidRPr="00322BD0">
        <w:rPr>
          <w:rFonts w:ascii="Cambria" w:eastAsia="Times New Roman" w:hAnsi="Cambria" w:cs="Times New Roman"/>
          <w:i/>
          <w:iCs/>
          <w:sz w:val="24"/>
          <w:szCs w:val="24"/>
          <w:lang w:val="en-GB"/>
        </w:rPr>
        <w:t>.</w:t>
      </w: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lastRenderedPageBreak/>
        <w:t xml:space="preserve">Based on GD no. 334/2000, SNGN </w:t>
      </w:r>
      <w:r w:rsidR="00D15401" w:rsidRPr="00322BD0">
        <w:rPr>
          <w:rFonts w:ascii="Cambria" w:eastAsia="Times New Roman" w:hAnsi="Cambria" w:cs="Times New Roman"/>
          <w:sz w:val="24"/>
          <w:szCs w:val="24"/>
          <w:lang w:val="en-GB"/>
        </w:rPr>
        <w:t>`</w:t>
      </w:r>
      <w:r w:rsidRPr="00322BD0">
        <w:rPr>
          <w:rFonts w:ascii="Cambria" w:eastAsia="Times New Roman" w:hAnsi="Cambria" w:cs="Times New Roman"/>
          <w:sz w:val="24"/>
          <w:szCs w:val="24"/>
          <w:lang w:val="en-GB"/>
        </w:rPr>
        <w:t>Romgaz</w:t>
      </w:r>
      <w:r w:rsidR="00D15401" w:rsidRPr="00322BD0">
        <w:rPr>
          <w:rFonts w:ascii="Cambria" w:eastAsia="Times New Roman" w:hAnsi="Cambria" w:cs="Times New Roman"/>
          <w:sz w:val="24"/>
          <w:szCs w:val="24"/>
          <w:lang w:val="en-GB"/>
        </w:rPr>
        <w:t>`</w:t>
      </w:r>
      <w:r w:rsidRPr="00322BD0">
        <w:rPr>
          <w:rFonts w:ascii="Cambria" w:eastAsia="Times New Roman" w:hAnsi="Cambria" w:cs="Times New Roman"/>
          <w:sz w:val="24"/>
          <w:szCs w:val="24"/>
          <w:lang w:val="en-GB"/>
        </w:rPr>
        <w:t xml:space="preserve"> SA was restructured and reorganized, by division, SNGN </w:t>
      </w:r>
      <w:r w:rsidR="00D15401" w:rsidRPr="00322BD0">
        <w:rPr>
          <w:rFonts w:ascii="Cambria" w:eastAsia="Times New Roman" w:hAnsi="Cambria" w:cs="Times New Roman"/>
          <w:sz w:val="24"/>
          <w:szCs w:val="24"/>
          <w:lang w:val="en-GB"/>
        </w:rPr>
        <w:t>`</w:t>
      </w:r>
      <w:r w:rsidRPr="00322BD0">
        <w:rPr>
          <w:rFonts w:ascii="Cambria" w:eastAsia="Times New Roman" w:hAnsi="Cambria" w:cs="Times New Roman"/>
          <w:sz w:val="24"/>
          <w:szCs w:val="24"/>
          <w:lang w:val="en-GB"/>
        </w:rPr>
        <w:t>Romgaz</w:t>
      </w:r>
      <w:r w:rsidR="00D15401" w:rsidRPr="00322BD0">
        <w:rPr>
          <w:rFonts w:ascii="Cambria" w:eastAsia="Times New Roman" w:hAnsi="Cambria" w:cs="Times New Roman"/>
          <w:sz w:val="24"/>
          <w:szCs w:val="24"/>
          <w:lang w:val="en-GB"/>
        </w:rPr>
        <w:t>`</w:t>
      </w:r>
      <w:r w:rsidRPr="00322BD0">
        <w:rPr>
          <w:rFonts w:ascii="Cambria" w:eastAsia="Times New Roman" w:hAnsi="Cambria" w:cs="Times New Roman"/>
          <w:sz w:val="24"/>
          <w:szCs w:val="24"/>
          <w:lang w:val="en-GB"/>
        </w:rPr>
        <w:t xml:space="preserve"> S.A. being disestablished, and the main activities in the natural gas sector were separated and organized in separate activities.  </w:t>
      </w: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Following the aforementioned reorganisation, Transgaz became the technical operator of the NTS and is responsible for its functioning in conditions of quality, safety, economic efficiency and environmental protection.</w:t>
      </w:r>
    </w:p>
    <w:p w:rsidR="00605C81" w:rsidRPr="00322BD0" w:rsidRDefault="00605C81" w:rsidP="00605C81">
      <w:pPr>
        <w:spacing w:after="0" w:line="240" w:lineRule="auto"/>
        <w:ind w:firstLine="0"/>
        <w:contextualSpacing/>
        <w:jc w:val="both"/>
        <w:rPr>
          <w:rFonts w:ascii="Cambria" w:eastAsia="Times New Roman" w:hAnsi="Cambria" w:cs="Times New Roman"/>
          <w:bCs/>
          <w:i/>
          <w:sz w:val="24"/>
          <w:szCs w:val="24"/>
          <w:lang w:val="en-GB"/>
        </w:rPr>
      </w:pPr>
    </w:p>
    <w:p w:rsidR="00605C81" w:rsidRPr="00322BD0" w:rsidRDefault="00605C81" w:rsidP="00605C81">
      <w:pPr>
        <w:spacing w:after="0" w:line="240" w:lineRule="auto"/>
        <w:ind w:firstLine="0"/>
        <w:contextualSpacing/>
        <w:jc w:val="both"/>
        <w:rPr>
          <w:rFonts w:ascii="Cambria" w:eastAsia="Times New Roman" w:hAnsi="Cambria" w:cs="Times New Roman"/>
          <w:sz w:val="24"/>
          <w:szCs w:val="24"/>
          <w:lang w:val="en-GB"/>
        </w:rPr>
      </w:pPr>
      <w:r w:rsidRPr="00322BD0">
        <w:rPr>
          <w:rFonts w:ascii="Cambria" w:eastAsia="Times New Roman" w:hAnsi="Cambria" w:cs="Times New Roman"/>
          <w:bCs/>
          <w:i/>
          <w:sz w:val="24"/>
          <w:szCs w:val="24"/>
          <w:lang w:val="en-GB"/>
        </w:rPr>
        <w:t>By ANRE Order no. 3/</w:t>
      </w:r>
      <w:r w:rsidR="00D230B4" w:rsidRPr="00322BD0">
        <w:rPr>
          <w:rFonts w:ascii="Cambria" w:eastAsia="Times New Roman" w:hAnsi="Cambria" w:cs="Times New Roman"/>
          <w:bCs/>
          <w:i/>
          <w:sz w:val="24"/>
          <w:szCs w:val="24"/>
          <w:lang w:val="en-GB"/>
        </w:rPr>
        <w:t xml:space="preserve">22 </w:t>
      </w:r>
      <w:r w:rsidRPr="00322BD0">
        <w:rPr>
          <w:rFonts w:ascii="Cambria" w:eastAsia="Times New Roman" w:hAnsi="Cambria" w:cs="Times New Roman"/>
          <w:bCs/>
          <w:i/>
          <w:sz w:val="24"/>
          <w:szCs w:val="24"/>
          <w:lang w:val="en-GB"/>
        </w:rPr>
        <w:t xml:space="preserve">January 2014 </w:t>
      </w:r>
      <w:r w:rsidR="00D230B4" w:rsidRPr="00322BD0">
        <w:rPr>
          <w:rFonts w:ascii="Cambria" w:eastAsia="Times New Roman" w:hAnsi="Cambria" w:cs="Times New Roman"/>
          <w:bCs/>
          <w:i/>
          <w:sz w:val="24"/>
          <w:szCs w:val="24"/>
          <w:lang w:val="en-GB"/>
        </w:rPr>
        <w:t>on</w:t>
      </w:r>
      <w:r w:rsidRPr="00322BD0">
        <w:rPr>
          <w:rFonts w:ascii="Cambria" w:eastAsia="Times New Roman" w:hAnsi="Cambria" w:cs="Times New Roman"/>
          <w:bCs/>
          <w:i/>
          <w:sz w:val="24"/>
          <w:szCs w:val="24"/>
          <w:lang w:val="en-GB"/>
        </w:rPr>
        <w:t xml:space="preserve"> the approval of the certification of the National Gas Transmission Company </w:t>
      </w:r>
      <w:r w:rsidR="00D15401" w:rsidRPr="00322BD0">
        <w:rPr>
          <w:rFonts w:ascii="Cambria" w:eastAsia="Times New Roman" w:hAnsi="Cambria" w:cs="Times New Roman"/>
          <w:bCs/>
          <w:i/>
          <w:sz w:val="24"/>
          <w:szCs w:val="24"/>
          <w:lang w:val="en-GB"/>
        </w:rPr>
        <w:t>Transgaz</w:t>
      </w:r>
      <w:r w:rsidRPr="00322BD0">
        <w:rPr>
          <w:rFonts w:ascii="Cambria" w:eastAsia="Times New Roman" w:hAnsi="Cambria" w:cs="Times New Roman"/>
          <w:bCs/>
          <w:i/>
          <w:sz w:val="24"/>
          <w:szCs w:val="24"/>
          <w:lang w:val="en-GB"/>
        </w:rPr>
        <w:t xml:space="preserve"> SA Mediaș as transmission and system operator of the National </w:t>
      </w:r>
      <w:r w:rsidR="00D15401" w:rsidRPr="00322BD0">
        <w:rPr>
          <w:rFonts w:ascii="Cambria" w:eastAsia="Times New Roman" w:hAnsi="Cambria" w:cs="Times New Roman"/>
          <w:bCs/>
          <w:i/>
          <w:sz w:val="24"/>
          <w:szCs w:val="24"/>
          <w:lang w:val="en-GB"/>
        </w:rPr>
        <w:t xml:space="preserve">gas transmission system </w:t>
      </w:r>
      <w:r w:rsidRPr="00322BD0">
        <w:rPr>
          <w:rFonts w:ascii="Cambria" w:eastAsia="Times New Roman" w:hAnsi="Cambria" w:cs="Times New Roman"/>
          <w:bCs/>
          <w:sz w:val="24"/>
          <w:szCs w:val="24"/>
          <w:lang w:val="en-GB"/>
        </w:rPr>
        <w:t>was established</w:t>
      </w:r>
      <w:r w:rsidRPr="00322BD0">
        <w:rPr>
          <w:rFonts w:ascii="Cambria" w:eastAsia="Times New Roman" w:hAnsi="Cambria" w:cs="Times New Roman"/>
          <w:bCs/>
          <w:i/>
          <w:sz w:val="24"/>
          <w:szCs w:val="24"/>
          <w:lang w:val="en-GB"/>
        </w:rPr>
        <w:t xml:space="preserve"> </w:t>
      </w:r>
      <w:r w:rsidRPr="00322BD0">
        <w:rPr>
          <w:rFonts w:ascii="Cambria" w:eastAsia="Times New Roman" w:hAnsi="Cambria" w:cs="Times New Roman"/>
          <w:bCs/>
          <w:sz w:val="24"/>
          <w:szCs w:val="24"/>
          <w:lang w:val="en-GB"/>
        </w:rPr>
        <w:t>that</w:t>
      </w:r>
      <w:r w:rsidRPr="00322BD0">
        <w:rPr>
          <w:rFonts w:ascii="Cambria" w:eastAsia="Times New Roman" w:hAnsi="Cambria" w:cs="Times New Roman"/>
          <w:bCs/>
          <w:i/>
          <w:sz w:val="24"/>
          <w:szCs w:val="24"/>
          <w:lang w:val="en-GB"/>
        </w:rPr>
        <w:t xml:space="preserve"> the National Gas Transmission Company </w:t>
      </w:r>
      <w:r w:rsidR="00D15401" w:rsidRPr="00322BD0">
        <w:rPr>
          <w:rFonts w:ascii="Cambria" w:eastAsia="Times New Roman" w:hAnsi="Cambria" w:cs="Times New Roman"/>
          <w:bCs/>
          <w:i/>
          <w:sz w:val="24"/>
          <w:szCs w:val="24"/>
          <w:lang w:val="en-GB"/>
        </w:rPr>
        <w:t xml:space="preserve">Transgaz SA </w:t>
      </w:r>
      <w:r w:rsidRPr="00322BD0">
        <w:rPr>
          <w:rFonts w:ascii="Cambria" w:eastAsia="Times New Roman" w:hAnsi="Cambria" w:cs="Times New Roman"/>
          <w:bCs/>
          <w:i/>
          <w:sz w:val="24"/>
          <w:szCs w:val="24"/>
          <w:lang w:val="en-GB"/>
        </w:rPr>
        <w:t xml:space="preserve">Mediaș must be organized and must operate as an </w:t>
      </w:r>
      <w:r w:rsidR="00D15401" w:rsidRPr="00322BD0">
        <w:rPr>
          <w:rFonts w:ascii="Cambria" w:eastAsia="Times New Roman" w:hAnsi="Cambria" w:cs="Times New Roman"/>
          <w:bCs/>
          <w:i/>
          <w:sz w:val="24"/>
          <w:szCs w:val="24"/>
          <w:lang w:val="en-GB"/>
        </w:rPr>
        <w:t>`</w:t>
      </w:r>
      <w:r w:rsidRPr="00322BD0">
        <w:rPr>
          <w:rFonts w:ascii="Cambria" w:eastAsia="Times New Roman" w:hAnsi="Cambria" w:cs="Times New Roman"/>
          <w:bCs/>
          <w:i/>
          <w:sz w:val="24"/>
          <w:szCs w:val="24"/>
          <w:lang w:val="en-GB"/>
        </w:rPr>
        <w:t>independent system operator</w:t>
      </w:r>
      <w:r w:rsidR="00D15401" w:rsidRPr="00322BD0">
        <w:rPr>
          <w:rFonts w:ascii="Cambria" w:eastAsia="Times New Roman" w:hAnsi="Cambria" w:cs="Times New Roman"/>
          <w:i/>
          <w:iCs/>
          <w:sz w:val="24"/>
          <w:szCs w:val="24"/>
          <w:lang w:val="en-GB"/>
        </w:rPr>
        <w:t>`</w:t>
      </w:r>
      <w:r w:rsidRPr="00322BD0">
        <w:rPr>
          <w:rFonts w:ascii="Cambria" w:eastAsia="Times New Roman" w:hAnsi="Cambria" w:cs="Times New Roman"/>
          <w:i/>
          <w:iCs/>
          <w:sz w:val="24"/>
          <w:szCs w:val="24"/>
          <w:lang w:val="en-GB"/>
        </w:rPr>
        <w:t>.</w:t>
      </w: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In addition, as operator of the NTS, Transgaz has the obligation, according to the provisions of Law no. 346/2007 regarding the measures for ensuring the natural gas supply safety and to the regulations of the European Union, to ensure the interconnection with similar natural gas transmission systems from neighbouring countries, creating the technical and technological conditions necessary for ensuring the natural gas supply safety.</w:t>
      </w:r>
    </w:p>
    <w:bookmarkEnd w:id="9"/>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SNTGN </w:t>
      </w:r>
      <w:r w:rsidR="006B0A94" w:rsidRPr="00322BD0">
        <w:rPr>
          <w:rFonts w:ascii="Cambria" w:eastAsia="Times New Roman" w:hAnsi="Cambria" w:cs="Times New Roman"/>
          <w:sz w:val="24"/>
          <w:szCs w:val="24"/>
          <w:lang w:val="en-GB"/>
        </w:rPr>
        <w:t>Transgaz SA</w:t>
      </w:r>
      <w:r w:rsidRPr="00322BD0">
        <w:rPr>
          <w:rFonts w:ascii="Cambria" w:eastAsia="Times New Roman" w:hAnsi="Cambria" w:cs="Times New Roman"/>
          <w:sz w:val="24"/>
          <w:szCs w:val="24"/>
          <w:lang w:val="en-GB"/>
        </w:rPr>
        <w:t xml:space="preserve"> (Transgaz) conducts its activity in the following locations:</w:t>
      </w:r>
    </w:p>
    <w:p w:rsidR="00605C81" w:rsidRPr="00322BD0" w:rsidRDefault="00605C81"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Transgaz registered office: Mediaş, </w:t>
      </w:r>
      <w:r w:rsidR="00AB4FD7" w:rsidRPr="00322BD0">
        <w:rPr>
          <w:rFonts w:ascii="Cambria" w:eastAsia="Times New Roman" w:hAnsi="Cambria" w:cs="Times New Roman"/>
          <w:sz w:val="24"/>
          <w:szCs w:val="24"/>
          <w:lang w:val="en-GB"/>
        </w:rPr>
        <w:t>1</w:t>
      </w:r>
      <w:r w:rsidRPr="00322BD0">
        <w:rPr>
          <w:rFonts w:ascii="Cambria" w:eastAsia="Times New Roman" w:hAnsi="Cambria" w:cs="Times New Roman"/>
          <w:sz w:val="24"/>
          <w:szCs w:val="24"/>
          <w:lang w:val="en-GB"/>
        </w:rPr>
        <w:t xml:space="preserve"> C. I. Motaş</w:t>
      </w:r>
      <w:r w:rsidR="00AB4FD7" w:rsidRPr="00322BD0">
        <w:rPr>
          <w:rFonts w:ascii="Cambria" w:eastAsia="Times New Roman" w:hAnsi="Cambria" w:cs="Times New Roman"/>
          <w:sz w:val="24"/>
          <w:szCs w:val="24"/>
          <w:lang w:val="en-GB"/>
        </w:rPr>
        <w:t xml:space="preserve"> Square</w:t>
      </w:r>
      <w:r w:rsidRPr="00322BD0">
        <w:rPr>
          <w:rFonts w:ascii="Cambria" w:eastAsia="Times New Roman" w:hAnsi="Cambria" w:cs="Times New Roman"/>
          <w:sz w:val="24"/>
          <w:szCs w:val="24"/>
          <w:lang w:val="en-GB"/>
        </w:rPr>
        <w:t>, Sibiu County, 551130;</w:t>
      </w:r>
    </w:p>
    <w:p w:rsidR="00605C81" w:rsidRPr="00322BD0" w:rsidRDefault="00605C81"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Exploitation and Maintenance Department: Mediaş, str. George Enescu </w:t>
      </w:r>
      <w:r w:rsidR="0063197C" w:rsidRPr="00322BD0">
        <w:rPr>
          <w:rFonts w:ascii="Cambria" w:eastAsia="Times New Roman" w:hAnsi="Cambria" w:cs="Times New Roman"/>
          <w:sz w:val="24"/>
          <w:szCs w:val="24"/>
          <w:lang w:val="en-GB"/>
        </w:rPr>
        <w:t>no.</w:t>
      </w:r>
      <w:r w:rsidRPr="00322BD0">
        <w:rPr>
          <w:rFonts w:ascii="Cambria" w:eastAsia="Times New Roman" w:hAnsi="Cambria" w:cs="Times New Roman"/>
          <w:sz w:val="24"/>
          <w:szCs w:val="24"/>
          <w:lang w:val="en-GB"/>
        </w:rPr>
        <w:t xml:space="preserve"> 11, Sibiu County, zip code 551018;</w:t>
      </w:r>
    </w:p>
    <w:p w:rsidR="00605C81" w:rsidRPr="00322BD0" w:rsidRDefault="00AB4FD7"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Research and </w:t>
      </w:r>
      <w:r w:rsidR="00605C81" w:rsidRPr="00322BD0">
        <w:rPr>
          <w:rFonts w:ascii="Cambria" w:eastAsia="Times New Roman" w:hAnsi="Cambria" w:cs="Times New Roman"/>
          <w:sz w:val="24"/>
          <w:szCs w:val="24"/>
          <w:lang w:val="en-GB"/>
        </w:rPr>
        <w:t xml:space="preserve">Design Department: Mediaş, </w:t>
      </w:r>
      <w:r w:rsidRPr="00322BD0">
        <w:rPr>
          <w:rFonts w:ascii="Cambria" w:eastAsia="Times New Roman" w:hAnsi="Cambria" w:cs="Times New Roman"/>
          <w:sz w:val="24"/>
          <w:szCs w:val="24"/>
          <w:lang w:val="en-GB"/>
        </w:rPr>
        <w:t xml:space="preserve">6 </w:t>
      </w:r>
      <w:r w:rsidR="00605C81" w:rsidRPr="00322BD0">
        <w:rPr>
          <w:rFonts w:ascii="Cambria" w:eastAsia="Times New Roman" w:hAnsi="Cambria" w:cs="Times New Roman"/>
          <w:sz w:val="24"/>
          <w:szCs w:val="24"/>
          <w:lang w:val="en-GB"/>
        </w:rPr>
        <w:t xml:space="preserve">Unirii </w:t>
      </w:r>
      <w:r w:rsidRPr="00322BD0">
        <w:rPr>
          <w:rFonts w:ascii="Cambria" w:eastAsia="Times New Roman" w:hAnsi="Cambria" w:cs="Times New Roman"/>
          <w:sz w:val="24"/>
          <w:szCs w:val="24"/>
          <w:lang w:val="en-GB"/>
        </w:rPr>
        <w:t>Street</w:t>
      </w:r>
      <w:r w:rsidR="00605C81" w:rsidRPr="00322BD0">
        <w:rPr>
          <w:rFonts w:ascii="Cambria" w:eastAsia="Times New Roman" w:hAnsi="Cambria" w:cs="Times New Roman"/>
          <w:sz w:val="24"/>
          <w:szCs w:val="24"/>
          <w:lang w:val="en-GB"/>
        </w:rPr>
        <w:t>, Sibiu County, 550173;</w:t>
      </w:r>
    </w:p>
    <w:p w:rsidR="00605C81" w:rsidRPr="00322BD0" w:rsidRDefault="00605C81"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Bucharest Gas Market </w:t>
      </w:r>
      <w:r w:rsidR="00A637C0" w:rsidRPr="00322BD0">
        <w:rPr>
          <w:rFonts w:ascii="Cambria" w:eastAsia="Times New Roman" w:hAnsi="Cambria" w:cs="Times New Roman"/>
          <w:sz w:val="24"/>
          <w:szCs w:val="24"/>
          <w:lang w:val="en-GB"/>
        </w:rPr>
        <w:t>Operator</w:t>
      </w:r>
      <w:r w:rsidRPr="00322BD0">
        <w:rPr>
          <w:rFonts w:ascii="Cambria" w:eastAsia="Times New Roman" w:hAnsi="Cambria" w:cs="Times New Roman"/>
          <w:sz w:val="24"/>
          <w:szCs w:val="24"/>
          <w:lang w:val="en-GB"/>
        </w:rPr>
        <w:t xml:space="preserve"> Division: Bucharest, </w:t>
      </w:r>
      <w:r w:rsidR="00AB4FD7" w:rsidRPr="00322BD0">
        <w:rPr>
          <w:rFonts w:ascii="Cambria" w:eastAsia="Times New Roman" w:hAnsi="Cambria" w:cs="Times New Roman"/>
          <w:sz w:val="24"/>
          <w:szCs w:val="24"/>
          <w:lang w:val="en-GB"/>
        </w:rPr>
        <w:t xml:space="preserve">30 </w:t>
      </w:r>
      <w:r w:rsidRPr="00322BD0">
        <w:rPr>
          <w:rFonts w:ascii="Cambria" w:eastAsia="Times New Roman" w:hAnsi="Cambria" w:cs="Times New Roman"/>
          <w:sz w:val="24"/>
          <w:szCs w:val="24"/>
          <w:lang w:val="en-GB"/>
        </w:rPr>
        <w:t xml:space="preserve">Dorobanţi </w:t>
      </w:r>
      <w:r w:rsidR="00AB4FD7" w:rsidRPr="00322BD0">
        <w:rPr>
          <w:rFonts w:ascii="Cambria" w:eastAsia="Times New Roman" w:hAnsi="Cambria" w:cs="Times New Roman"/>
          <w:sz w:val="24"/>
          <w:szCs w:val="24"/>
          <w:lang w:val="en-GB"/>
        </w:rPr>
        <w:t>Blvd.</w:t>
      </w:r>
      <w:r w:rsidRPr="00322BD0">
        <w:rPr>
          <w:rFonts w:ascii="Cambria" w:eastAsia="Times New Roman" w:hAnsi="Cambria" w:cs="Times New Roman"/>
          <w:sz w:val="24"/>
          <w:szCs w:val="24"/>
          <w:lang w:val="en-GB"/>
        </w:rPr>
        <w:t>, District 1, 010573;</w:t>
      </w:r>
    </w:p>
    <w:p w:rsidR="00605C81" w:rsidRPr="00322BD0" w:rsidRDefault="00A637C0"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Transgaz Romania Representative Office</w:t>
      </w:r>
      <w:r w:rsidR="00605C81" w:rsidRPr="00322BD0">
        <w:rPr>
          <w:rFonts w:ascii="Cambria" w:eastAsia="Times New Roman" w:hAnsi="Cambria" w:cs="Times New Roman"/>
          <w:sz w:val="24"/>
          <w:szCs w:val="24"/>
          <w:lang w:val="en-GB"/>
        </w:rPr>
        <w:t>: Bucharest, 55 Primaverii Bvd.</w:t>
      </w:r>
      <w:r w:rsidR="000D0E02" w:rsidRPr="00322BD0">
        <w:rPr>
          <w:rFonts w:ascii="Cambria" w:eastAsia="Times New Roman" w:hAnsi="Cambria" w:cs="Times New Roman"/>
          <w:sz w:val="24"/>
          <w:szCs w:val="24"/>
          <w:lang w:val="en-GB"/>
        </w:rPr>
        <w:t>;</w:t>
      </w:r>
    </w:p>
    <w:p w:rsidR="000D0E02" w:rsidRPr="00322BD0" w:rsidRDefault="000D0E02"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Transgaz Representative Office at Brussels – Belgium: Brussels, 23 Luxembourg Street;</w:t>
      </w:r>
    </w:p>
    <w:p w:rsidR="00605C81" w:rsidRPr="00322BD0" w:rsidRDefault="0063197C" w:rsidP="00605C81">
      <w:pPr>
        <w:numPr>
          <w:ilvl w:val="0"/>
          <w:numId w:val="1"/>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European Funds and International </w:t>
      </w:r>
      <w:r w:rsidR="001543A2" w:rsidRPr="00322BD0">
        <w:rPr>
          <w:rFonts w:ascii="Cambria" w:eastAsia="Times New Roman" w:hAnsi="Cambria" w:cs="Times New Roman"/>
          <w:sz w:val="24"/>
          <w:szCs w:val="24"/>
          <w:lang w:val="en-GB"/>
        </w:rPr>
        <w:t>Re</w:t>
      </w:r>
      <w:r w:rsidR="000D0E02" w:rsidRPr="00322BD0">
        <w:rPr>
          <w:rFonts w:ascii="Cambria" w:eastAsia="Times New Roman" w:hAnsi="Cambria" w:cs="Times New Roman"/>
          <w:sz w:val="24"/>
          <w:szCs w:val="24"/>
          <w:lang w:val="en-GB"/>
        </w:rPr>
        <w:t>lations</w:t>
      </w:r>
      <w:r w:rsidRPr="00322BD0">
        <w:rPr>
          <w:rFonts w:ascii="Cambria" w:eastAsia="Times New Roman" w:hAnsi="Cambria" w:cs="Times New Roman"/>
          <w:sz w:val="24"/>
          <w:szCs w:val="24"/>
          <w:lang w:val="en-GB"/>
        </w:rPr>
        <w:t xml:space="preserve"> Division: Bucharest </w:t>
      </w:r>
      <w:r w:rsidR="00AB4FD7" w:rsidRPr="00322BD0">
        <w:rPr>
          <w:rFonts w:ascii="Cambria" w:eastAsia="Times New Roman" w:hAnsi="Cambria" w:cs="Times New Roman"/>
          <w:sz w:val="24"/>
          <w:szCs w:val="24"/>
          <w:lang w:val="en-GB"/>
        </w:rPr>
        <w:t>155</w:t>
      </w:r>
      <w:r w:rsidR="00605C81" w:rsidRPr="00322BD0">
        <w:rPr>
          <w:rFonts w:ascii="Cambria" w:eastAsia="Times New Roman" w:hAnsi="Cambria" w:cs="Times New Roman"/>
          <w:sz w:val="24"/>
          <w:szCs w:val="24"/>
          <w:lang w:val="en-GB"/>
        </w:rPr>
        <w:t xml:space="preserve"> Victorie</w:t>
      </w:r>
      <w:r w:rsidRPr="00322BD0">
        <w:rPr>
          <w:rFonts w:ascii="Cambria" w:eastAsia="Times New Roman" w:hAnsi="Cambria" w:cs="Times New Roman"/>
          <w:sz w:val="24"/>
          <w:szCs w:val="24"/>
          <w:lang w:val="en-GB"/>
        </w:rPr>
        <w:t>i</w:t>
      </w:r>
      <w:r w:rsidR="00AB4FD7" w:rsidRPr="00322BD0">
        <w:rPr>
          <w:rFonts w:ascii="Cambria" w:eastAsia="Times New Roman" w:hAnsi="Cambria" w:cs="Times New Roman"/>
          <w:sz w:val="24"/>
          <w:szCs w:val="24"/>
          <w:lang w:val="en-GB"/>
        </w:rPr>
        <w:t xml:space="preserve"> Blvd.</w:t>
      </w:r>
      <w:r w:rsidR="00605C81" w:rsidRPr="00322BD0">
        <w:rPr>
          <w:rFonts w:ascii="Cambria" w:eastAsia="Times New Roman" w:hAnsi="Cambria" w:cs="Times New Roman"/>
          <w:sz w:val="24"/>
          <w:szCs w:val="24"/>
          <w:lang w:val="en-GB"/>
        </w:rPr>
        <w:t>, District 1, 010073.</w:t>
      </w: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p>
    <w:p w:rsidR="00605C81" w:rsidRPr="00322BD0" w:rsidRDefault="00605C81" w:rsidP="00605C81">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Transgaz </w:t>
      </w:r>
      <w:r w:rsidR="00DD3C2E" w:rsidRPr="00322BD0">
        <w:rPr>
          <w:rFonts w:ascii="Cambria" w:eastAsia="Times New Roman" w:hAnsi="Cambria" w:cs="Times New Roman"/>
          <w:sz w:val="24"/>
          <w:szCs w:val="24"/>
          <w:lang w:val="en-GB"/>
        </w:rPr>
        <w:t>ha</w:t>
      </w:r>
      <w:r w:rsidRPr="00322BD0">
        <w:rPr>
          <w:rFonts w:ascii="Cambria" w:eastAsia="Times New Roman" w:hAnsi="Cambria" w:cs="Times New Roman"/>
          <w:sz w:val="24"/>
          <w:szCs w:val="24"/>
          <w:lang w:val="en-GB"/>
        </w:rPr>
        <w:t xml:space="preserve">s </w:t>
      </w:r>
      <w:r w:rsidRPr="001A4579">
        <w:rPr>
          <w:rFonts w:ascii="Cambria" w:eastAsia="Times New Roman" w:hAnsi="Cambria" w:cs="Times New Roman"/>
          <w:b/>
          <w:sz w:val="24"/>
          <w:szCs w:val="24"/>
          <w:lang w:val="en-GB"/>
        </w:rPr>
        <w:t xml:space="preserve">9 regional </w:t>
      </w:r>
      <w:r w:rsidR="00DD3C2E" w:rsidRPr="001A4579">
        <w:rPr>
          <w:rFonts w:ascii="Cambria" w:eastAsia="Times New Roman" w:hAnsi="Cambria" w:cs="Times New Roman"/>
          <w:b/>
          <w:sz w:val="24"/>
          <w:szCs w:val="24"/>
          <w:lang w:val="en-GB"/>
        </w:rPr>
        <w:t>offices</w:t>
      </w:r>
      <w:r w:rsidR="0063197C" w:rsidRPr="001A4579">
        <w:rPr>
          <w:rFonts w:ascii="Cambria" w:eastAsia="Times New Roman" w:hAnsi="Cambria" w:cs="Times New Roman"/>
          <w:b/>
          <w:sz w:val="24"/>
          <w:szCs w:val="24"/>
          <w:lang w:val="en-GB"/>
        </w:rPr>
        <w:t xml:space="preserve"> and a </w:t>
      </w:r>
      <w:r w:rsidR="00DD3C2E" w:rsidRPr="001A4579">
        <w:rPr>
          <w:rFonts w:ascii="Cambria" w:eastAsia="Times New Roman" w:hAnsi="Cambria" w:cs="Times New Roman"/>
          <w:b/>
          <w:sz w:val="24"/>
          <w:szCs w:val="24"/>
          <w:lang w:val="en-GB"/>
        </w:rPr>
        <w:t>subsidiary</w:t>
      </w:r>
      <w:r w:rsidRPr="00322BD0">
        <w:rPr>
          <w:rFonts w:ascii="Cambria" w:eastAsia="Times New Roman" w:hAnsi="Cambria" w:cs="Times New Roman"/>
          <w:sz w:val="24"/>
          <w:szCs w:val="24"/>
          <w:lang w:val="en-GB"/>
        </w:rPr>
        <w:t>:</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Arad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56</w:t>
      </w:r>
      <w:r w:rsidRPr="00322BD0">
        <w:rPr>
          <w:rFonts w:ascii="Cambria" w:eastAsia="Times New Roman" w:hAnsi="Cambria" w:cs="Times New Roman"/>
          <w:sz w:val="24"/>
          <w:szCs w:val="24"/>
          <w:lang w:val="en-GB"/>
        </w:rPr>
        <w:t xml:space="preserve"> Poetului</w:t>
      </w:r>
      <w:r w:rsidR="00E924CB" w:rsidRPr="00322BD0">
        <w:rPr>
          <w:rFonts w:ascii="Cambria" w:eastAsia="Times New Roman" w:hAnsi="Cambria" w:cs="Times New Roman"/>
          <w:sz w:val="24"/>
          <w:szCs w:val="24"/>
          <w:lang w:val="en-GB"/>
        </w:rPr>
        <w:t xml:space="preserve"> Street</w:t>
      </w:r>
      <w:r w:rsidRPr="00322BD0">
        <w:rPr>
          <w:rFonts w:ascii="Cambria" w:eastAsia="Times New Roman" w:hAnsi="Cambria" w:cs="Times New Roman"/>
          <w:sz w:val="24"/>
          <w:szCs w:val="24"/>
          <w:lang w:val="en-GB"/>
        </w:rPr>
        <w:t>, Arad, Arad County, 310369;</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Bacău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 xml:space="preserve">63 </w:t>
      </w:r>
      <w:r w:rsidRPr="00322BD0">
        <w:rPr>
          <w:rFonts w:ascii="Cambria" w:eastAsia="Times New Roman" w:hAnsi="Cambria" w:cs="Times New Roman"/>
          <w:sz w:val="24"/>
          <w:szCs w:val="24"/>
          <w:lang w:val="en-GB"/>
        </w:rPr>
        <w:t>George Bacovia</w:t>
      </w:r>
      <w:r w:rsidR="00E924CB" w:rsidRPr="00322BD0">
        <w:rPr>
          <w:rFonts w:ascii="Cambria" w:eastAsia="Times New Roman" w:hAnsi="Cambria" w:cs="Times New Roman"/>
          <w:sz w:val="24"/>
          <w:szCs w:val="24"/>
          <w:lang w:val="en-GB"/>
        </w:rPr>
        <w:t xml:space="preserve"> Street</w:t>
      </w:r>
      <w:r w:rsidRPr="00322BD0">
        <w:rPr>
          <w:rFonts w:ascii="Cambria" w:eastAsia="Times New Roman" w:hAnsi="Cambria" w:cs="Times New Roman"/>
          <w:sz w:val="24"/>
          <w:szCs w:val="24"/>
          <w:lang w:val="en-GB"/>
        </w:rPr>
        <w:t>, Bacău, Bacău County, 600238;</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Brăila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5</w:t>
      </w:r>
      <w:r w:rsidRPr="00322BD0">
        <w:rPr>
          <w:rFonts w:ascii="Cambria" w:eastAsia="Times New Roman" w:hAnsi="Cambria" w:cs="Times New Roman"/>
          <w:sz w:val="24"/>
          <w:szCs w:val="24"/>
          <w:lang w:val="en-GB"/>
        </w:rPr>
        <w:t xml:space="preserve"> Ion Ghica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Brăila, Brăila County, 810089;</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Braşov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 xml:space="preserve">12A </w:t>
      </w:r>
      <w:r w:rsidRPr="00322BD0">
        <w:rPr>
          <w:rFonts w:ascii="Cambria" w:eastAsia="Times New Roman" w:hAnsi="Cambria" w:cs="Times New Roman"/>
          <w:sz w:val="24"/>
          <w:szCs w:val="24"/>
          <w:lang w:val="en-GB"/>
        </w:rPr>
        <w:t xml:space="preserve">Grigore Ureche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Braşov, Braşov County, 500449;</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Bucharest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24</w:t>
      </w:r>
      <w:r w:rsidRPr="00322BD0">
        <w:rPr>
          <w:rFonts w:ascii="Cambria" w:eastAsia="Times New Roman" w:hAnsi="Cambria" w:cs="Times New Roman"/>
          <w:sz w:val="24"/>
          <w:szCs w:val="24"/>
          <w:lang w:val="en-GB"/>
        </w:rPr>
        <w:t xml:space="preserve"> Lacul Ursului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District</w:t>
      </w:r>
      <w:r w:rsidR="00E924CB" w:rsidRPr="00322BD0">
        <w:rPr>
          <w:rFonts w:ascii="Cambria" w:eastAsia="Times New Roman" w:hAnsi="Cambria" w:cs="Times New Roman"/>
          <w:sz w:val="24"/>
          <w:szCs w:val="24"/>
          <w:lang w:val="en-GB"/>
        </w:rPr>
        <w:t xml:space="preserve"> 6</w:t>
      </w:r>
      <w:r w:rsidRPr="00322BD0">
        <w:rPr>
          <w:rFonts w:ascii="Cambria" w:eastAsia="Times New Roman" w:hAnsi="Cambria" w:cs="Times New Roman"/>
          <w:sz w:val="24"/>
          <w:szCs w:val="24"/>
          <w:lang w:val="en-GB"/>
        </w:rPr>
        <w:t>, Bucharest, 060594;</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Cluj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12</w:t>
      </w:r>
      <w:r w:rsidRPr="00322BD0">
        <w:rPr>
          <w:rFonts w:ascii="Cambria" w:eastAsia="Times New Roman" w:hAnsi="Cambria" w:cs="Times New Roman"/>
          <w:sz w:val="24"/>
          <w:szCs w:val="24"/>
          <w:lang w:val="en-GB"/>
        </w:rPr>
        <w:t xml:space="preserve"> Crişului </w:t>
      </w:r>
      <w:r w:rsidR="00E924CB" w:rsidRPr="00322BD0">
        <w:rPr>
          <w:rFonts w:ascii="Cambria" w:eastAsia="Times New Roman" w:hAnsi="Cambria" w:cs="Times New Roman"/>
          <w:sz w:val="24"/>
          <w:szCs w:val="24"/>
          <w:lang w:val="en-GB"/>
        </w:rPr>
        <w:t xml:space="preserve">Street </w:t>
      </w:r>
      <w:r w:rsidRPr="00322BD0">
        <w:rPr>
          <w:rFonts w:ascii="Cambria" w:eastAsia="Times New Roman" w:hAnsi="Cambria" w:cs="Times New Roman"/>
          <w:sz w:val="24"/>
          <w:szCs w:val="24"/>
          <w:lang w:val="en-GB"/>
        </w:rPr>
        <w:t>12, Cluj-Napoca, Cluj County, 400597;</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Craiova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33</w:t>
      </w:r>
      <w:r w:rsidRPr="00322BD0">
        <w:rPr>
          <w:rFonts w:ascii="Cambria" w:eastAsia="Times New Roman" w:hAnsi="Cambria" w:cs="Times New Roman"/>
          <w:sz w:val="24"/>
          <w:szCs w:val="24"/>
          <w:lang w:val="en-GB"/>
        </w:rPr>
        <w:t xml:space="preserve"> Arhitect Ioan Mincu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Craiova, Dolj County, 200011;</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Mediaş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29</w:t>
      </w:r>
      <w:r w:rsidRPr="00322BD0">
        <w:rPr>
          <w:rFonts w:ascii="Cambria" w:eastAsia="Times New Roman" w:hAnsi="Cambria" w:cs="Times New Roman"/>
          <w:sz w:val="24"/>
          <w:szCs w:val="24"/>
          <w:lang w:val="en-GB"/>
        </w:rPr>
        <w:t xml:space="preserve"> George Coşbuc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Mediaş, Sibiu County, zip code 551027;</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Constanţa Regional </w:t>
      </w:r>
      <w:r w:rsidR="00E329EE" w:rsidRPr="001A4579">
        <w:rPr>
          <w:rFonts w:ascii="Cambria" w:eastAsia="Times New Roman" w:hAnsi="Cambria" w:cs="Times New Roman"/>
          <w:b/>
          <w:sz w:val="24"/>
          <w:szCs w:val="24"/>
          <w:lang w:val="en-GB"/>
        </w:rPr>
        <w:t>Office</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2bis</w:t>
      </w:r>
      <w:r w:rsidRPr="00322BD0">
        <w:rPr>
          <w:rFonts w:ascii="Cambria" w:eastAsia="Times New Roman" w:hAnsi="Cambria" w:cs="Times New Roman"/>
          <w:sz w:val="24"/>
          <w:szCs w:val="24"/>
          <w:lang w:val="en-GB"/>
        </w:rPr>
        <w:t xml:space="preserve"> Caraiman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Constanţa,  Constanţa County, zip code 900117;</w:t>
      </w:r>
    </w:p>
    <w:p w:rsidR="00605C81" w:rsidRPr="00322BD0" w:rsidRDefault="00605C81" w:rsidP="00605C81">
      <w:pPr>
        <w:numPr>
          <w:ilvl w:val="0"/>
          <w:numId w:val="2"/>
        </w:numPr>
        <w:spacing w:after="0" w:line="240" w:lineRule="auto"/>
        <w:jc w:val="both"/>
        <w:rPr>
          <w:rFonts w:ascii="Cambria" w:eastAsia="Times New Roman" w:hAnsi="Cambria" w:cs="Times New Roman"/>
          <w:sz w:val="24"/>
          <w:szCs w:val="24"/>
          <w:lang w:val="en-GB"/>
        </w:rPr>
      </w:pPr>
      <w:r w:rsidRPr="001A4579">
        <w:rPr>
          <w:rFonts w:ascii="Cambria" w:eastAsia="Times New Roman" w:hAnsi="Cambria" w:cs="Times New Roman"/>
          <w:b/>
          <w:sz w:val="24"/>
          <w:szCs w:val="24"/>
          <w:lang w:val="en-GB"/>
        </w:rPr>
        <w:t xml:space="preserve">Mediaş </w:t>
      </w:r>
      <w:r w:rsidR="00E329EE" w:rsidRPr="001A4579">
        <w:rPr>
          <w:rFonts w:ascii="Cambria" w:eastAsia="Times New Roman" w:hAnsi="Cambria" w:cs="Times New Roman"/>
          <w:b/>
          <w:sz w:val="24"/>
          <w:szCs w:val="24"/>
          <w:lang w:val="en-GB"/>
        </w:rPr>
        <w:t>Subsidiary</w:t>
      </w:r>
      <w:r w:rsidRPr="00322BD0">
        <w:rPr>
          <w:rFonts w:ascii="Cambria" w:eastAsia="Times New Roman" w:hAnsi="Cambria" w:cs="Times New Roman"/>
          <w:sz w:val="24"/>
          <w:szCs w:val="24"/>
          <w:lang w:val="en-GB"/>
        </w:rPr>
        <w:t xml:space="preserve">, </w:t>
      </w:r>
      <w:r w:rsidR="00E924CB" w:rsidRPr="00322BD0">
        <w:rPr>
          <w:rFonts w:ascii="Cambria" w:eastAsia="Times New Roman" w:hAnsi="Cambria" w:cs="Times New Roman"/>
          <w:sz w:val="24"/>
          <w:szCs w:val="24"/>
          <w:lang w:val="en-GB"/>
        </w:rPr>
        <w:t>59</w:t>
      </w:r>
      <w:r w:rsidRPr="00322BD0">
        <w:rPr>
          <w:rFonts w:ascii="Cambria" w:eastAsia="Times New Roman" w:hAnsi="Cambria" w:cs="Times New Roman"/>
          <w:sz w:val="24"/>
          <w:szCs w:val="24"/>
          <w:lang w:val="en-GB"/>
        </w:rPr>
        <w:t xml:space="preserve"> Sibiului </w:t>
      </w:r>
      <w:r w:rsidR="00E924CB" w:rsidRPr="00322BD0">
        <w:rPr>
          <w:rFonts w:ascii="Cambria" w:eastAsia="Times New Roman" w:hAnsi="Cambria" w:cs="Times New Roman"/>
          <w:sz w:val="24"/>
          <w:szCs w:val="24"/>
          <w:lang w:val="en-GB"/>
        </w:rPr>
        <w:t>Street</w:t>
      </w:r>
      <w:r w:rsidRPr="00322BD0">
        <w:rPr>
          <w:rFonts w:ascii="Cambria" w:eastAsia="Times New Roman" w:hAnsi="Cambria" w:cs="Times New Roman"/>
          <w:sz w:val="24"/>
          <w:szCs w:val="24"/>
          <w:lang w:val="en-GB"/>
        </w:rPr>
        <w:t>, Mediaş, Sibiu County.</w:t>
      </w:r>
    </w:p>
    <w:p w:rsidR="004E3D9C" w:rsidRPr="00322BD0" w:rsidRDefault="004E3D9C" w:rsidP="00605C81">
      <w:pPr>
        <w:spacing w:after="0" w:line="240" w:lineRule="auto"/>
        <w:ind w:left="540" w:firstLine="0"/>
        <w:jc w:val="both"/>
        <w:rPr>
          <w:rFonts w:ascii="Cambria" w:hAnsi="Cambria"/>
          <w:sz w:val="24"/>
          <w:szCs w:val="24"/>
          <w:lang w:val="en-GB"/>
        </w:rPr>
      </w:pPr>
    </w:p>
    <w:p w:rsidR="008F3EC7" w:rsidRPr="00322BD0" w:rsidRDefault="008F3EC7" w:rsidP="00D16681">
      <w:pPr>
        <w:spacing w:after="0" w:line="240" w:lineRule="auto"/>
        <w:ind w:firstLine="0"/>
        <w:jc w:val="both"/>
        <w:rPr>
          <w:rFonts w:ascii="Cambria" w:hAnsi="Cambria"/>
          <w:sz w:val="24"/>
          <w:szCs w:val="24"/>
          <w:lang w:val="en-GB"/>
        </w:rPr>
      </w:pPr>
    </w:p>
    <w:p w:rsidR="0063197C" w:rsidRPr="00322BD0" w:rsidRDefault="0063197C" w:rsidP="009E5DDB">
      <w:pPr>
        <w:pStyle w:val="Heading2"/>
        <w:rPr>
          <w:rFonts w:eastAsia="Times New Roman"/>
          <w:i w:val="0"/>
          <w:lang w:val="en-GB"/>
        </w:rPr>
      </w:pPr>
      <w:bookmarkStart w:id="10" w:name="_Toc446310810"/>
      <w:r w:rsidRPr="00322BD0">
        <w:rPr>
          <w:rFonts w:eastAsia="Times New Roman"/>
          <w:i w:val="0"/>
          <w:lang w:val="en-GB"/>
        </w:rPr>
        <w:lastRenderedPageBreak/>
        <w:t>1.4 Shareholders</w:t>
      </w:r>
      <w:bookmarkEnd w:id="10"/>
    </w:p>
    <w:p w:rsidR="00263A84" w:rsidRDefault="00263A84" w:rsidP="00E273B9">
      <w:pPr>
        <w:spacing w:after="0" w:line="240" w:lineRule="auto"/>
        <w:ind w:firstLine="0"/>
        <w:jc w:val="both"/>
        <w:rPr>
          <w:rFonts w:asciiTheme="majorHAnsi" w:eastAsia="Times New Roman" w:hAnsiTheme="majorHAnsi" w:cs="Times New Roman"/>
          <w:sz w:val="24"/>
          <w:szCs w:val="24"/>
          <w:lang w:val="en-GB"/>
        </w:rPr>
      </w:pPr>
      <w:r>
        <w:rPr>
          <w:rFonts w:asciiTheme="majorHAnsi" w:eastAsia="Times New Roman" w:hAnsiTheme="majorHAnsi" w:cs="Times New Roman"/>
          <w:sz w:val="24"/>
          <w:szCs w:val="24"/>
          <w:lang w:val="en-GB"/>
        </w:rPr>
        <w:t xml:space="preserve">Following GEO no </w:t>
      </w:r>
      <w:r w:rsidRPr="00322BD0">
        <w:rPr>
          <w:rFonts w:asciiTheme="majorHAnsi" w:eastAsia="Times New Roman" w:hAnsiTheme="majorHAnsi" w:cs="Times New Roman"/>
          <w:sz w:val="24"/>
          <w:szCs w:val="24"/>
          <w:lang w:val="en-GB"/>
        </w:rPr>
        <w:t>55/19.11.2015</w:t>
      </w:r>
      <w:r>
        <w:rPr>
          <w:rFonts w:asciiTheme="majorHAnsi" w:eastAsia="Times New Roman" w:hAnsiTheme="majorHAnsi" w:cs="Times New Roman"/>
          <w:sz w:val="24"/>
          <w:szCs w:val="24"/>
          <w:lang w:val="en-GB"/>
        </w:rPr>
        <w:t xml:space="preserve"> on setting reorganization measures at the level of the central public administration and for the amendment of some legal documents the Ministry of Economy, Trade and Business Environ</w:t>
      </w:r>
      <w:r w:rsidR="00942280">
        <w:rPr>
          <w:rFonts w:asciiTheme="majorHAnsi" w:eastAsia="Times New Roman" w:hAnsiTheme="majorHAnsi" w:cs="Times New Roman"/>
          <w:sz w:val="24"/>
          <w:szCs w:val="24"/>
          <w:lang w:val="en-GB"/>
        </w:rPr>
        <w:t>ment</w:t>
      </w:r>
      <w:r w:rsidR="004A1DD7">
        <w:rPr>
          <w:rFonts w:asciiTheme="majorHAnsi" w:eastAsia="Times New Roman" w:hAnsiTheme="majorHAnsi" w:cs="Times New Roman"/>
          <w:sz w:val="24"/>
          <w:szCs w:val="24"/>
          <w:lang w:val="en-GB"/>
        </w:rPr>
        <w:t xml:space="preserve"> was set up by</w:t>
      </w:r>
      <w:r w:rsidR="0026533A">
        <w:rPr>
          <w:rFonts w:asciiTheme="majorHAnsi" w:eastAsia="Times New Roman" w:hAnsiTheme="majorHAnsi" w:cs="Times New Roman"/>
          <w:sz w:val="24"/>
          <w:szCs w:val="24"/>
          <w:lang w:val="en-GB"/>
        </w:rPr>
        <w:t xml:space="preserve"> the reorganization and taking over of the activities of the Ministry of Economy, Commerce and Tourism. Therefore, on 29.01.2016 the amendment of the identification data of the account holder The Romanian State by the Ministry of Economy, Commerce and Tourism in The Romanian State by the Ministry of Economy Trade and Relations with the Business Environment was recorded with SC Depozitarul Central S.A. </w:t>
      </w:r>
    </w:p>
    <w:p w:rsidR="00945AD2" w:rsidRPr="00322BD0" w:rsidRDefault="00945AD2" w:rsidP="0063197C">
      <w:pPr>
        <w:spacing w:after="0" w:line="240" w:lineRule="auto"/>
        <w:ind w:firstLine="0"/>
        <w:jc w:val="both"/>
        <w:rPr>
          <w:rFonts w:ascii="Cambria" w:eastAsia="Times New Roman" w:hAnsi="Cambria" w:cs="Times New Roman"/>
          <w:sz w:val="24"/>
          <w:szCs w:val="24"/>
          <w:lang w:val="en-GB"/>
        </w:rPr>
      </w:pPr>
    </w:p>
    <w:p w:rsidR="00945AD2" w:rsidRPr="00322BD0" w:rsidRDefault="00945AD2" w:rsidP="0063197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At the end of 201</w:t>
      </w:r>
      <w:r w:rsidR="00E273B9" w:rsidRPr="00322BD0">
        <w:rPr>
          <w:rFonts w:ascii="Cambria" w:eastAsia="Times New Roman" w:hAnsi="Cambria" w:cs="Times New Roman"/>
          <w:sz w:val="24"/>
          <w:szCs w:val="24"/>
          <w:lang w:val="en-GB"/>
        </w:rPr>
        <w:t>6</w:t>
      </w:r>
      <w:r w:rsidR="003F792C" w:rsidRPr="00322BD0">
        <w:rPr>
          <w:rFonts w:ascii="Cambria" w:eastAsia="Times New Roman" w:hAnsi="Cambria" w:cs="Times New Roman"/>
          <w:sz w:val="24"/>
          <w:szCs w:val="24"/>
          <w:lang w:val="en-GB"/>
        </w:rPr>
        <w:t xml:space="preserve"> </w:t>
      </w:r>
      <w:r w:rsidR="0026533A" w:rsidRPr="00322BD0">
        <w:rPr>
          <w:rFonts w:ascii="Cambria" w:eastAsia="Times New Roman" w:hAnsi="Cambria" w:cs="Times New Roman"/>
          <w:sz w:val="24"/>
          <w:szCs w:val="24"/>
          <w:lang w:val="en-GB"/>
        </w:rPr>
        <w:t>Transgaz</w:t>
      </w:r>
      <w:r w:rsidR="0026533A">
        <w:rPr>
          <w:rFonts w:ascii="Cambria" w:eastAsia="Times New Roman" w:hAnsi="Cambria" w:cs="Times New Roman"/>
          <w:sz w:val="24"/>
          <w:szCs w:val="24"/>
          <w:lang w:val="en-GB"/>
        </w:rPr>
        <w:t>’</w:t>
      </w:r>
      <w:r w:rsidR="0026533A" w:rsidRPr="00322BD0">
        <w:rPr>
          <w:rFonts w:ascii="Cambria" w:eastAsia="Times New Roman" w:hAnsi="Cambria" w:cs="Times New Roman"/>
          <w:sz w:val="24"/>
          <w:szCs w:val="24"/>
          <w:lang w:val="en-GB"/>
        </w:rPr>
        <w:t xml:space="preserve"> </w:t>
      </w:r>
      <w:r w:rsidR="003F792C" w:rsidRPr="00322BD0">
        <w:rPr>
          <w:rFonts w:ascii="Cambria" w:eastAsia="Times New Roman" w:hAnsi="Cambria" w:cs="Times New Roman"/>
          <w:sz w:val="24"/>
          <w:szCs w:val="24"/>
          <w:lang w:val="en-GB"/>
        </w:rPr>
        <w:t>shareholding structure was as follows:</w:t>
      </w:r>
    </w:p>
    <w:p w:rsidR="003F792C" w:rsidRPr="00322BD0" w:rsidRDefault="003F792C" w:rsidP="003F792C">
      <w:pPr>
        <w:spacing w:after="0" w:line="240" w:lineRule="auto"/>
        <w:ind w:firstLine="0"/>
        <w:jc w:val="both"/>
        <w:rPr>
          <w:rFonts w:ascii="Cambria" w:hAnsi="Cambria"/>
          <w:sz w:val="24"/>
          <w:szCs w:val="24"/>
          <w:lang w:val="en-GB"/>
        </w:rPr>
      </w:pPr>
    </w:p>
    <w:p w:rsidR="003F792C" w:rsidRPr="00322BD0" w:rsidRDefault="003F792C" w:rsidP="00FA6EB9">
      <w:pPr>
        <w:pStyle w:val="ListParagraph"/>
        <w:numPr>
          <w:ilvl w:val="0"/>
          <w:numId w:val="28"/>
        </w:numPr>
        <w:spacing w:after="0" w:line="240" w:lineRule="auto"/>
        <w:jc w:val="both"/>
        <w:rPr>
          <w:rFonts w:ascii="Cambria" w:hAnsi="Cambria"/>
          <w:sz w:val="24"/>
          <w:szCs w:val="24"/>
          <w:lang w:val="en-GB"/>
        </w:rPr>
      </w:pPr>
      <w:r w:rsidRPr="00322BD0">
        <w:rPr>
          <w:rFonts w:ascii="Cambria" w:hAnsi="Cambria"/>
          <w:sz w:val="24"/>
          <w:szCs w:val="24"/>
          <w:lang w:val="en-GB"/>
        </w:rPr>
        <w:t xml:space="preserve">58.5097% - The Romanian State represented by the Ministry of Economy, Trade and Relations with Business Environment – 6,888,840 shares; </w:t>
      </w:r>
    </w:p>
    <w:p w:rsidR="003F792C" w:rsidRPr="00322BD0" w:rsidRDefault="003F792C" w:rsidP="00FA6EB9">
      <w:pPr>
        <w:pStyle w:val="ListParagraph"/>
        <w:numPr>
          <w:ilvl w:val="0"/>
          <w:numId w:val="28"/>
        </w:numPr>
        <w:spacing w:after="0" w:line="240" w:lineRule="auto"/>
        <w:jc w:val="both"/>
        <w:rPr>
          <w:rFonts w:ascii="Cambria" w:hAnsi="Cambria"/>
          <w:sz w:val="24"/>
          <w:szCs w:val="24"/>
          <w:lang w:val="en-GB"/>
        </w:rPr>
      </w:pPr>
      <w:r w:rsidRPr="00322BD0">
        <w:rPr>
          <w:rFonts w:ascii="Cambria" w:hAnsi="Cambria"/>
          <w:sz w:val="24"/>
          <w:szCs w:val="24"/>
          <w:lang w:val="en-GB"/>
        </w:rPr>
        <w:t xml:space="preserve">41.4903% - Free float – 4,885,004 </w:t>
      </w:r>
      <w:r w:rsidR="00B7710E" w:rsidRPr="00322BD0">
        <w:rPr>
          <w:rFonts w:ascii="Cambria" w:hAnsi="Cambria"/>
          <w:sz w:val="24"/>
          <w:szCs w:val="24"/>
          <w:lang w:val="en-GB"/>
        </w:rPr>
        <w:t>shares of which</w:t>
      </w:r>
      <w:r w:rsidRPr="00322BD0">
        <w:rPr>
          <w:rFonts w:ascii="Cambria" w:hAnsi="Cambria"/>
          <w:sz w:val="24"/>
          <w:szCs w:val="24"/>
          <w:lang w:val="en-GB"/>
        </w:rPr>
        <w:t>:</w:t>
      </w:r>
    </w:p>
    <w:p w:rsidR="003F792C" w:rsidRPr="00322BD0" w:rsidRDefault="00E273B9" w:rsidP="00FA6EB9">
      <w:pPr>
        <w:pStyle w:val="ListParagraph"/>
        <w:numPr>
          <w:ilvl w:val="0"/>
          <w:numId w:val="29"/>
        </w:numPr>
        <w:spacing w:after="0" w:line="240" w:lineRule="auto"/>
        <w:jc w:val="both"/>
        <w:rPr>
          <w:rFonts w:ascii="Cambria" w:hAnsi="Cambria"/>
          <w:sz w:val="24"/>
          <w:szCs w:val="24"/>
          <w:lang w:val="en-GB"/>
        </w:rPr>
      </w:pPr>
      <w:r w:rsidRPr="00322BD0">
        <w:rPr>
          <w:rFonts w:ascii="Cambria" w:hAnsi="Cambria"/>
          <w:sz w:val="24"/>
          <w:szCs w:val="24"/>
          <w:lang w:val="en-GB"/>
        </w:rPr>
        <w:t xml:space="preserve"> </w:t>
      </w:r>
      <w:r w:rsidRPr="00322BD0">
        <w:rPr>
          <w:rFonts w:asciiTheme="majorHAnsi" w:hAnsiTheme="majorHAnsi"/>
          <w:sz w:val="24"/>
          <w:szCs w:val="24"/>
          <w:lang w:val="en-GB"/>
        </w:rPr>
        <w:t xml:space="preserve">7,4887% </w:t>
      </w:r>
      <w:r w:rsidR="003F792C" w:rsidRPr="00322BD0">
        <w:rPr>
          <w:rFonts w:ascii="Cambria" w:hAnsi="Cambria"/>
          <w:sz w:val="24"/>
          <w:szCs w:val="24"/>
          <w:lang w:val="en-GB"/>
        </w:rPr>
        <w:t xml:space="preserve"> </w:t>
      </w:r>
      <w:r w:rsidR="00B7710E" w:rsidRPr="00322BD0">
        <w:rPr>
          <w:rFonts w:ascii="Cambria" w:hAnsi="Cambria"/>
          <w:sz w:val="24"/>
          <w:szCs w:val="24"/>
          <w:lang w:val="en-GB"/>
        </w:rPr>
        <w:t>natural persons</w:t>
      </w:r>
      <w:r w:rsidR="003F792C" w:rsidRPr="00322BD0">
        <w:rPr>
          <w:rFonts w:ascii="Cambria" w:hAnsi="Cambria"/>
          <w:sz w:val="24"/>
          <w:szCs w:val="24"/>
          <w:lang w:val="en-GB"/>
        </w:rPr>
        <w:t xml:space="preserve"> – </w:t>
      </w:r>
      <w:r w:rsidR="00A25236" w:rsidRPr="00322BD0">
        <w:rPr>
          <w:rFonts w:ascii="Cambria" w:hAnsi="Cambria"/>
          <w:sz w:val="24"/>
          <w:szCs w:val="24"/>
          <w:lang w:val="en-GB"/>
        </w:rPr>
        <w:t xml:space="preserve"> </w:t>
      </w:r>
      <w:r w:rsidR="00A25236" w:rsidRPr="00322BD0">
        <w:rPr>
          <w:rFonts w:asciiTheme="majorHAnsi" w:hAnsiTheme="majorHAnsi"/>
          <w:sz w:val="24"/>
          <w:szCs w:val="24"/>
          <w:lang w:val="en-GB"/>
        </w:rPr>
        <w:t>881.712</w:t>
      </w:r>
      <w:r w:rsidR="00A25236" w:rsidRPr="00322BD0">
        <w:rPr>
          <w:rFonts w:asciiTheme="majorHAnsi" w:hAnsiTheme="majorHAnsi"/>
          <w:sz w:val="24"/>
          <w:lang w:val="en-GB"/>
        </w:rPr>
        <w:t xml:space="preserve"> </w:t>
      </w:r>
      <w:r w:rsidR="00B7710E" w:rsidRPr="00322BD0">
        <w:rPr>
          <w:rFonts w:ascii="Cambria" w:hAnsi="Cambria"/>
          <w:sz w:val="24"/>
          <w:szCs w:val="24"/>
          <w:lang w:val="en-GB"/>
        </w:rPr>
        <w:t>shares</w:t>
      </w:r>
      <w:r w:rsidR="003F792C" w:rsidRPr="00322BD0">
        <w:rPr>
          <w:rFonts w:ascii="Cambria" w:hAnsi="Cambria"/>
          <w:sz w:val="24"/>
          <w:szCs w:val="24"/>
          <w:lang w:val="en-GB"/>
        </w:rPr>
        <w:t xml:space="preserve">; </w:t>
      </w:r>
    </w:p>
    <w:p w:rsidR="003F792C" w:rsidRPr="00322BD0" w:rsidRDefault="00E273B9" w:rsidP="00FA6EB9">
      <w:pPr>
        <w:pStyle w:val="ListParagraph"/>
        <w:numPr>
          <w:ilvl w:val="0"/>
          <w:numId w:val="29"/>
        </w:numPr>
        <w:spacing w:after="0" w:line="240" w:lineRule="auto"/>
        <w:jc w:val="both"/>
        <w:rPr>
          <w:rFonts w:ascii="Cambria" w:hAnsi="Cambria"/>
          <w:sz w:val="24"/>
          <w:szCs w:val="24"/>
          <w:lang w:val="en-GB"/>
        </w:rPr>
      </w:pPr>
      <w:r w:rsidRPr="00322BD0">
        <w:rPr>
          <w:rFonts w:ascii="Cambria" w:hAnsi="Cambria"/>
          <w:sz w:val="24"/>
          <w:szCs w:val="24"/>
          <w:lang w:val="en-GB"/>
        </w:rPr>
        <w:t xml:space="preserve"> </w:t>
      </w:r>
      <w:r w:rsidRPr="00322BD0">
        <w:rPr>
          <w:rFonts w:asciiTheme="majorHAnsi" w:hAnsiTheme="majorHAnsi"/>
          <w:sz w:val="24"/>
          <w:szCs w:val="24"/>
          <w:lang w:val="en-GB"/>
        </w:rPr>
        <w:t>34,0016</w:t>
      </w:r>
      <w:r w:rsidRPr="00322BD0">
        <w:rPr>
          <w:rFonts w:asciiTheme="majorHAnsi" w:hAnsiTheme="majorHAnsi"/>
          <w:sz w:val="24"/>
          <w:lang w:val="en-GB"/>
        </w:rPr>
        <w:t xml:space="preserve">% </w:t>
      </w:r>
      <w:r w:rsidR="003F792C" w:rsidRPr="00322BD0">
        <w:rPr>
          <w:rFonts w:ascii="Cambria" w:hAnsi="Cambria"/>
          <w:sz w:val="24"/>
          <w:szCs w:val="24"/>
          <w:lang w:val="en-GB"/>
        </w:rPr>
        <w:t xml:space="preserve"> </w:t>
      </w:r>
      <w:r w:rsidR="00B7710E" w:rsidRPr="00322BD0">
        <w:rPr>
          <w:rFonts w:ascii="Cambria" w:hAnsi="Cambria"/>
          <w:sz w:val="24"/>
          <w:szCs w:val="24"/>
          <w:lang w:val="en-GB"/>
        </w:rPr>
        <w:t>legal persons</w:t>
      </w:r>
      <w:r w:rsidR="003F792C" w:rsidRPr="00322BD0">
        <w:rPr>
          <w:rFonts w:ascii="Cambria" w:hAnsi="Cambria"/>
          <w:sz w:val="24"/>
          <w:szCs w:val="24"/>
          <w:lang w:val="en-GB"/>
        </w:rPr>
        <w:t xml:space="preserve"> – </w:t>
      </w:r>
      <w:r w:rsidR="00A25236" w:rsidRPr="00322BD0">
        <w:rPr>
          <w:rFonts w:asciiTheme="majorHAnsi" w:hAnsiTheme="majorHAnsi"/>
          <w:sz w:val="24"/>
          <w:szCs w:val="24"/>
          <w:lang w:val="en-GB"/>
        </w:rPr>
        <w:t xml:space="preserve">4.003.292 </w:t>
      </w:r>
      <w:r w:rsidR="00B7710E" w:rsidRPr="00322BD0">
        <w:rPr>
          <w:rFonts w:ascii="Cambria" w:hAnsi="Cambria"/>
          <w:sz w:val="24"/>
          <w:szCs w:val="24"/>
          <w:lang w:val="en-GB"/>
        </w:rPr>
        <w:t>shares</w:t>
      </w:r>
      <w:r w:rsidR="003F792C" w:rsidRPr="00322BD0">
        <w:rPr>
          <w:rFonts w:ascii="Cambria" w:hAnsi="Cambria"/>
          <w:sz w:val="24"/>
          <w:szCs w:val="24"/>
          <w:lang w:val="en-GB"/>
        </w:rPr>
        <w:t>.</w:t>
      </w:r>
    </w:p>
    <w:p w:rsidR="003F792C" w:rsidRPr="00322BD0" w:rsidRDefault="003F792C" w:rsidP="0063197C">
      <w:pPr>
        <w:spacing w:after="0" w:line="240" w:lineRule="auto"/>
        <w:ind w:firstLine="0"/>
        <w:jc w:val="both"/>
        <w:rPr>
          <w:rFonts w:ascii="Cambria" w:eastAsia="Times New Roman" w:hAnsi="Cambria" w:cs="Times New Roman"/>
          <w:sz w:val="24"/>
          <w:szCs w:val="24"/>
          <w:lang w:val="en-GB"/>
        </w:rPr>
      </w:pPr>
    </w:p>
    <w:p w:rsidR="0063197C" w:rsidRPr="00322BD0" w:rsidRDefault="0063197C" w:rsidP="0063197C">
      <w:pPr>
        <w:spacing w:after="0" w:line="240" w:lineRule="auto"/>
        <w:ind w:firstLine="0"/>
        <w:jc w:val="both"/>
        <w:rPr>
          <w:rFonts w:ascii="Cambria" w:eastAsia="Times New Roman" w:hAnsi="Cambria" w:cs="Times New Roman"/>
          <w:b/>
          <w:sz w:val="24"/>
          <w:szCs w:val="24"/>
          <w:lang w:val="en-GB"/>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487"/>
        <w:gridCol w:w="1961"/>
        <w:gridCol w:w="1525"/>
      </w:tblGrid>
      <w:tr w:rsidR="0063197C" w:rsidRPr="00322BD0" w:rsidTr="009411B0">
        <w:trPr>
          <w:trHeight w:val="245"/>
          <w:tblCellSpacing w:w="20" w:type="dxa"/>
          <w:jc w:val="center"/>
        </w:trPr>
        <w:tc>
          <w:tcPr>
            <w:tcW w:w="5427" w:type="dxa"/>
            <w:shd w:val="clear" w:color="auto" w:fill="F2F2F2" w:themeFill="background1" w:themeFillShade="F2"/>
            <w:vAlign w:val="center"/>
          </w:tcPr>
          <w:p w:rsidR="0063197C" w:rsidRPr="00322BD0" w:rsidRDefault="0063197C" w:rsidP="00F138DB">
            <w:pPr>
              <w:spacing w:after="0" w:line="240" w:lineRule="auto"/>
              <w:ind w:firstLine="0"/>
              <w:jc w:val="center"/>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Shareholder’s name</w:t>
            </w:r>
          </w:p>
        </w:tc>
        <w:tc>
          <w:tcPr>
            <w:tcW w:w="1921" w:type="dxa"/>
            <w:shd w:val="clear" w:color="auto" w:fill="F2F2F2" w:themeFill="background1" w:themeFillShade="F2"/>
            <w:vAlign w:val="center"/>
          </w:tcPr>
          <w:p w:rsidR="0063197C" w:rsidRPr="00322BD0" w:rsidRDefault="0063197C" w:rsidP="0063197C">
            <w:pPr>
              <w:spacing w:after="0" w:line="240" w:lineRule="auto"/>
              <w:ind w:firstLine="0"/>
              <w:jc w:val="center"/>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Number of shares</w:t>
            </w:r>
          </w:p>
        </w:tc>
        <w:tc>
          <w:tcPr>
            <w:tcW w:w="1346" w:type="dxa"/>
            <w:shd w:val="clear" w:color="auto" w:fill="F2F2F2" w:themeFill="background1" w:themeFillShade="F2"/>
            <w:vAlign w:val="center"/>
          </w:tcPr>
          <w:p w:rsidR="0063197C" w:rsidRPr="00322BD0" w:rsidRDefault="0063197C" w:rsidP="0063197C">
            <w:pPr>
              <w:spacing w:after="0" w:line="240" w:lineRule="auto"/>
              <w:ind w:firstLine="0"/>
              <w:jc w:val="center"/>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Percentage</w:t>
            </w:r>
          </w:p>
        </w:tc>
      </w:tr>
      <w:tr w:rsidR="0063197C" w:rsidRPr="00322BD0" w:rsidTr="009411B0">
        <w:trPr>
          <w:trHeight w:val="436"/>
          <w:tblCellSpacing w:w="20" w:type="dxa"/>
          <w:jc w:val="center"/>
        </w:trPr>
        <w:tc>
          <w:tcPr>
            <w:tcW w:w="5427" w:type="dxa"/>
            <w:vAlign w:val="center"/>
          </w:tcPr>
          <w:p w:rsidR="0063197C" w:rsidRPr="00322BD0" w:rsidRDefault="00F138DB" w:rsidP="0063197C">
            <w:pPr>
              <w:spacing w:after="0" w:line="240" w:lineRule="auto"/>
              <w:ind w:firstLine="0"/>
              <w:jc w:val="both"/>
              <w:rPr>
                <w:rFonts w:ascii="Cambria" w:eastAsia="Times New Roman" w:hAnsi="Cambria" w:cs="Times New Roman"/>
                <w:sz w:val="24"/>
                <w:szCs w:val="24"/>
                <w:lang w:val="en-GB"/>
              </w:rPr>
            </w:pPr>
            <w:r w:rsidRPr="00322BD0">
              <w:rPr>
                <w:rFonts w:ascii="Cambria" w:hAnsi="Cambria"/>
                <w:sz w:val="24"/>
                <w:szCs w:val="24"/>
                <w:lang w:val="en-GB"/>
              </w:rPr>
              <w:t>The Romanian State represented by the Ministry of Economy, Trade and Relations with Business Environment</w:t>
            </w:r>
          </w:p>
        </w:tc>
        <w:tc>
          <w:tcPr>
            <w:tcW w:w="1921" w:type="dxa"/>
            <w:vAlign w:val="center"/>
          </w:tcPr>
          <w:p w:rsidR="0063197C" w:rsidRPr="00322BD0" w:rsidRDefault="0063197C" w:rsidP="0063197C">
            <w:pPr>
              <w:spacing w:after="0" w:line="240" w:lineRule="auto"/>
              <w:ind w:firstLine="0"/>
              <w:jc w:val="right"/>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6,888,840</w:t>
            </w:r>
          </w:p>
        </w:tc>
        <w:tc>
          <w:tcPr>
            <w:tcW w:w="1346" w:type="dxa"/>
            <w:vAlign w:val="center"/>
          </w:tcPr>
          <w:p w:rsidR="0063197C" w:rsidRPr="00322BD0" w:rsidRDefault="0063197C" w:rsidP="0063197C">
            <w:pPr>
              <w:spacing w:after="0" w:line="240" w:lineRule="auto"/>
              <w:ind w:firstLine="0"/>
              <w:jc w:val="right"/>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58.5097%</w:t>
            </w:r>
          </w:p>
        </w:tc>
      </w:tr>
      <w:tr w:rsidR="0063197C" w:rsidRPr="00322BD0" w:rsidTr="009411B0">
        <w:trPr>
          <w:trHeight w:val="245"/>
          <w:tblCellSpacing w:w="20" w:type="dxa"/>
          <w:jc w:val="center"/>
        </w:trPr>
        <w:tc>
          <w:tcPr>
            <w:tcW w:w="5427" w:type="dxa"/>
          </w:tcPr>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Free float - Other shareholders (natural and legal persons)  </w:t>
            </w:r>
          </w:p>
        </w:tc>
        <w:tc>
          <w:tcPr>
            <w:tcW w:w="1921" w:type="dxa"/>
          </w:tcPr>
          <w:p w:rsidR="0063197C" w:rsidRPr="00322BD0" w:rsidRDefault="0063197C" w:rsidP="0063197C">
            <w:pPr>
              <w:spacing w:after="0" w:line="240" w:lineRule="auto"/>
              <w:ind w:firstLine="0"/>
              <w:jc w:val="right"/>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4,885,004</w:t>
            </w:r>
          </w:p>
        </w:tc>
        <w:tc>
          <w:tcPr>
            <w:tcW w:w="1346" w:type="dxa"/>
          </w:tcPr>
          <w:p w:rsidR="0063197C" w:rsidRPr="00322BD0" w:rsidRDefault="0063197C" w:rsidP="0063197C">
            <w:pPr>
              <w:spacing w:after="0" w:line="240" w:lineRule="auto"/>
              <w:ind w:firstLine="0"/>
              <w:jc w:val="right"/>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41.4903%</w:t>
            </w:r>
          </w:p>
        </w:tc>
      </w:tr>
      <w:tr w:rsidR="0063197C" w:rsidRPr="00322BD0" w:rsidTr="009411B0">
        <w:trPr>
          <w:trHeight w:val="45"/>
          <w:tblCellSpacing w:w="20" w:type="dxa"/>
          <w:jc w:val="center"/>
        </w:trPr>
        <w:tc>
          <w:tcPr>
            <w:tcW w:w="5427" w:type="dxa"/>
            <w:shd w:val="clear" w:color="auto" w:fill="F2F2F2" w:themeFill="background1" w:themeFillShade="F2"/>
          </w:tcPr>
          <w:p w:rsidR="0063197C" w:rsidRPr="00322BD0" w:rsidRDefault="0063197C" w:rsidP="0063197C">
            <w:pPr>
              <w:spacing w:after="0" w:line="240" w:lineRule="auto"/>
              <w:jc w:val="both"/>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Total</w:t>
            </w:r>
          </w:p>
        </w:tc>
        <w:tc>
          <w:tcPr>
            <w:tcW w:w="1921" w:type="dxa"/>
            <w:shd w:val="clear" w:color="auto" w:fill="F2F2F2" w:themeFill="background1" w:themeFillShade="F2"/>
          </w:tcPr>
          <w:p w:rsidR="0063197C" w:rsidRPr="00322BD0" w:rsidRDefault="0063197C" w:rsidP="0063197C">
            <w:pPr>
              <w:spacing w:after="0" w:line="240" w:lineRule="auto"/>
              <w:ind w:firstLine="0"/>
              <w:jc w:val="right"/>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11,773,844</w:t>
            </w:r>
          </w:p>
        </w:tc>
        <w:tc>
          <w:tcPr>
            <w:tcW w:w="1346" w:type="dxa"/>
            <w:shd w:val="clear" w:color="auto" w:fill="F2F2F2" w:themeFill="background1" w:themeFillShade="F2"/>
          </w:tcPr>
          <w:p w:rsidR="0063197C" w:rsidRPr="00322BD0" w:rsidRDefault="0063197C" w:rsidP="0063197C">
            <w:pPr>
              <w:spacing w:after="0" w:line="240" w:lineRule="auto"/>
              <w:jc w:val="right"/>
              <w:rPr>
                <w:rFonts w:ascii="Cambria" w:eastAsia="Times New Roman" w:hAnsi="Cambria" w:cs="Times New Roman"/>
                <w:b/>
                <w:sz w:val="24"/>
                <w:szCs w:val="24"/>
                <w:lang w:val="en-GB"/>
              </w:rPr>
            </w:pPr>
            <w:r w:rsidRPr="00322BD0">
              <w:rPr>
                <w:rFonts w:ascii="Cambria" w:eastAsia="Times New Roman" w:hAnsi="Cambria" w:cs="Times New Roman"/>
                <w:b/>
                <w:sz w:val="24"/>
                <w:szCs w:val="24"/>
                <w:lang w:val="en-GB"/>
              </w:rPr>
              <w:t>100%</w:t>
            </w:r>
          </w:p>
        </w:tc>
      </w:tr>
    </w:tbl>
    <w:p w:rsidR="0063197C" w:rsidRPr="00322BD0" w:rsidRDefault="0063197C" w:rsidP="0063197C">
      <w:pPr>
        <w:spacing w:after="0" w:line="240" w:lineRule="auto"/>
        <w:ind w:firstLine="0"/>
        <w:jc w:val="center"/>
        <w:rPr>
          <w:rFonts w:ascii="Cambria" w:eastAsia="Times New Roman" w:hAnsi="Cambria" w:cs="Times New Roman"/>
          <w:sz w:val="24"/>
          <w:szCs w:val="24"/>
          <w:lang w:val="en-GB"/>
        </w:rPr>
      </w:pPr>
    </w:p>
    <w:p w:rsidR="0063197C" w:rsidRPr="00322BD0" w:rsidRDefault="0063197C" w:rsidP="0063197C">
      <w:pPr>
        <w:spacing w:after="0" w:line="240" w:lineRule="auto"/>
        <w:ind w:left="357" w:firstLine="0"/>
        <w:jc w:val="center"/>
        <w:rPr>
          <w:rFonts w:ascii="Cambria" w:eastAsia="Times New Roman" w:hAnsi="Cambria" w:cs="Times New Roman"/>
          <w:b/>
          <w:i/>
          <w:sz w:val="16"/>
          <w:szCs w:val="16"/>
          <w:lang w:val="en-GB"/>
        </w:rPr>
      </w:pPr>
      <w:r w:rsidRPr="00322BD0">
        <w:rPr>
          <w:rFonts w:ascii="Cambria" w:eastAsia="Times New Roman" w:hAnsi="Cambria" w:cs="Times New Roman"/>
          <w:b/>
          <w:i/>
          <w:sz w:val="16"/>
          <w:szCs w:val="16"/>
          <w:lang w:val="en-GB"/>
        </w:rPr>
        <w:t xml:space="preserve">Table </w:t>
      </w:r>
      <w:r w:rsidR="009C0E7E" w:rsidRPr="00322BD0">
        <w:rPr>
          <w:rFonts w:ascii="Cambria" w:eastAsia="Times New Roman" w:hAnsi="Cambria" w:cs="Times New Roman"/>
          <w:b/>
          <w:i/>
          <w:sz w:val="16"/>
          <w:szCs w:val="16"/>
          <w:lang w:val="en-GB"/>
        </w:rPr>
        <w:t>1</w:t>
      </w:r>
      <w:r w:rsidRPr="00322BD0">
        <w:rPr>
          <w:rFonts w:ascii="Cambria" w:eastAsia="Times New Roman" w:hAnsi="Cambria" w:cs="Times New Roman"/>
          <w:b/>
          <w:i/>
          <w:sz w:val="16"/>
          <w:szCs w:val="16"/>
          <w:lang w:val="en-GB"/>
        </w:rPr>
        <w:t xml:space="preserve"> – Shareholding Structure of Transgaz on 31.12.201</w:t>
      </w:r>
      <w:r w:rsidR="00A25236" w:rsidRPr="00322BD0">
        <w:rPr>
          <w:rFonts w:ascii="Cambria" w:eastAsia="Times New Roman" w:hAnsi="Cambria" w:cs="Times New Roman"/>
          <w:b/>
          <w:i/>
          <w:sz w:val="16"/>
          <w:szCs w:val="16"/>
          <w:lang w:val="en-GB"/>
        </w:rPr>
        <w:t>6</w:t>
      </w:r>
    </w:p>
    <w:p w:rsidR="0063197C" w:rsidRPr="00322BD0" w:rsidRDefault="0063197C" w:rsidP="0063197C">
      <w:pPr>
        <w:spacing w:after="0" w:line="240" w:lineRule="auto"/>
        <w:ind w:firstLine="0"/>
        <w:jc w:val="center"/>
        <w:rPr>
          <w:rFonts w:ascii="Cambria" w:eastAsia="Times New Roman" w:hAnsi="Cambria" w:cs="Times New Roman"/>
          <w:sz w:val="24"/>
          <w:szCs w:val="24"/>
          <w:lang w:val="en-GB"/>
        </w:rPr>
      </w:pPr>
    </w:p>
    <w:p w:rsidR="0063197C" w:rsidRPr="002513E8" w:rsidRDefault="0063197C" w:rsidP="0063197C">
      <w:pPr>
        <w:spacing w:after="0" w:line="240" w:lineRule="auto"/>
        <w:ind w:firstLine="0"/>
        <w:jc w:val="both"/>
        <w:rPr>
          <w:rFonts w:ascii="Cambria" w:eastAsia="Times New Roman" w:hAnsi="Cambria" w:cs="Times New Roman"/>
          <w:sz w:val="24"/>
          <w:szCs w:val="24"/>
          <w:lang w:val="ro-RO"/>
        </w:rPr>
      </w:pPr>
    </w:p>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The number of shareholders of Transgaz registered with SC Depozitarul Central S.A. at the end of 201</w:t>
      </w:r>
      <w:r w:rsidR="00A25236" w:rsidRPr="00322BD0">
        <w:rPr>
          <w:rFonts w:ascii="Cambria" w:eastAsia="Times New Roman" w:hAnsi="Cambria" w:cs="Times New Roman"/>
          <w:sz w:val="24"/>
          <w:szCs w:val="24"/>
          <w:lang w:val="en-GB"/>
        </w:rPr>
        <w:t>6</w:t>
      </w:r>
      <w:r w:rsidRPr="00322BD0">
        <w:rPr>
          <w:rFonts w:ascii="Cambria" w:eastAsia="Times New Roman" w:hAnsi="Cambria" w:cs="Times New Roman"/>
          <w:sz w:val="24"/>
          <w:szCs w:val="24"/>
          <w:lang w:val="en-GB"/>
        </w:rPr>
        <w:t xml:space="preserve"> </w:t>
      </w:r>
      <w:r w:rsidR="00A25236" w:rsidRPr="00322BD0">
        <w:rPr>
          <w:rFonts w:ascii="Cambria" w:eastAsia="Times New Roman" w:hAnsi="Cambria" w:cs="Times New Roman"/>
          <w:sz w:val="24"/>
          <w:szCs w:val="24"/>
          <w:lang w:val="en-GB"/>
        </w:rPr>
        <w:t xml:space="preserve">is </w:t>
      </w:r>
      <w:r w:rsidRPr="00322BD0">
        <w:rPr>
          <w:rFonts w:ascii="Cambria" w:eastAsia="Times New Roman" w:hAnsi="Cambria" w:cs="Times New Roman"/>
          <w:sz w:val="24"/>
          <w:szCs w:val="24"/>
          <w:lang w:val="en-GB"/>
        </w:rPr>
        <w:t xml:space="preserve"> </w:t>
      </w:r>
      <w:r w:rsidR="00A25236" w:rsidRPr="00322BD0">
        <w:rPr>
          <w:rFonts w:asciiTheme="majorHAnsi" w:hAnsiTheme="majorHAnsi"/>
          <w:sz w:val="24"/>
          <w:lang w:val="en-GB"/>
        </w:rPr>
        <w:t>7.</w:t>
      </w:r>
      <w:r w:rsidR="00A25236" w:rsidRPr="00322BD0">
        <w:rPr>
          <w:rFonts w:asciiTheme="majorHAnsi" w:eastAsia="Times New Roman" w:hAnsiTheme="majorHAnsi" w:cs="Times New Roman"/>
          <w:sz w:val="24"/>
          <w:szCs w:val="24"/>
          <w:lang w:val="en-GB"/>
        </w:rPr>
        <w:t>619</w:t>
      </w:r>
      <w:r w:rsidR="0021134F" w:rsidRPr="00322BD0">
        <w:rPr>
          <w:rFonts w:ascii="Cambria" w:eastAsia="Times New Roman" w:hAnsi="Cambria" w:cs="Times New Roman"/>
          <w:sz w:val="24"/>
          <w:szCs w:val="24"/>
          <w:lang w:val="en-GB"/>
        </w:rPr>
        <w:t xml:space="preserve">, which is lower by </w:t>
      </w:r>
      <w:r w:rsidR="00A25236" w:rsidRPr="00322BD0">
        <w:rPr>
          <w:rFonts w:asciiTheme="majorHAnsi" w:eastAsia="Times New Roman" w:hAnsiTheme="majorHAnsi" w:cs="Times New Roman"/>
          <w:sz w:val="24"/>
          <w:szCs w:val="24"/>
          <w:lang w:val="en-GB"/>
        </w:rPr>
        <w:t>4,33% (345</w:t>
      </w:r>
      <w:r w:rsidR="00A25236" w:rsidRPr="00322BD0">
        <w:rPr>
          <w:rFonts w:asciiTheme="majorHAnsi" w:hAnsiTheme="majorHAnsi"/>
          <w:sz w:val="24"/>
          <w:lang w:val="en-GB"/>
        </w:rPr>
        <w:t xml:space="preserve"> </w:t>
      </w:r>
      <w:r w:rsidRPr="00322BD0">
        <w:rPr>
          <w:rFonts w:ascii="Cambria" w:eastAsia="Times New Roman" w:hAnsi="Cambria" w:cs="Times New Roman"/>
          <w:sz w:val="24"/>
          <w:szCs w:val="24"/>
          <w:lang w:val="en-GB"/>
        </w:rPr>
        <w:t xml:space="preserve">shareholders) compared to the </w:t>
      </w:r>
      <w:r w:rsidR="0021134F" w:rsidRPr="00322BD0">
        <w:rPr>
          <w:rFonts w:ascii="Cambria" w:eastAsia="Times New Roman" w:hAnsi="Cambria" w:cs="Times New Roman"/>
          <w:sz w:val="24"/>
          <w:szCs w:val="24"/>
          <w:lang w:val="en-GB"/>
        </w:rPr>
        <w:t>end of 201</w:t>
      </w:r>
      <w:r w:rsidR="00A25236" w:rsidRPr="00322BD0">
        <w:rPr>
          <w:rFonts w:ascii="Cambria" w:eastAsia="Times New Roman" w:hAnsi="Cambria" w:cs="Times New Roman"/>
          <w:sz w:val="24"/>
          <w:szCs w:val="24"/>
          <w:lang w:val="en-GB"/>
        </w:rPr>
        <w:t>5</w:t>
      </w:r>
      <w:r w:rsidRPr="00322BD0">
        <w:rPr>
          <w:rFonts w:ascii="Cambria" w:eastAsia="Times New Roman" w:hAnsi="Cambria" w:cs="Times New Roman"/>
          <w:sz w:val="24"/>
          <w:szCs w:val="24"/>
          <w:lang w:val="en-GB"/>
        </w:rPr>
        <w:t xml:space="preserve">, when there were </w:t>
      </w:r>
      <w:r w:rsidR="00A25236" w:rsidRPr="00322BD0">
        <w:rPr>
          <w:rFonts w:asciiTheme="majorHAnsi" w:eastAsia="Times New Roman" w:hAnsiTheme="majorHAnsi" w:cs="Times New Roman"/>
          <w:sz w:val="24"/>
          <w:szCs w:val="24"/>
          <w:lang w:val="en-GB"/>
        </w:rPr>
        <w:t>7.964</w:t>
      </w:r>
      <w:r w:rsidR="00A25236" w:rsidRPr="00322BD0">
        <w:rPr>
          <w:rFonts w:asciiTheme="majorHAnsi" w:hAnsiTheme="majorHAnsi"/>
          <w:sz w:val="24"/>
          <w:lang w:val="en-GB"/>
        </w:rPr>
        <w:t xml:space="preserve"> </w:t>
      </w:r>
      <w:r w:rsidRPr="00322BD0">
        <w:rPr>
          <w:rFonts w:ascii="Cambria" w:eastAsia="Times New Roman" w:hAnsi="Cambria" w:cs="Times New Roman"/>
          <w:sz w:val="24"/>
          <w:szCs w:val="24"/>
          <w:lang w:val="en-GB"/>
        </w:rPr>
        <w:t>registered shareholders.</w:t>
      </w:r>
    </w:p>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p>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The share capital of Transgaz on </w:t>
      </w:r>
      <w:r w:rsidR="00680F69" w:rsidRPr="00322BD0">
        <w:rPr>
          <w:rFonts w:ascii="Cambria" w:eastAsia="Times New Roman" w:hAnsi="Cambria" w:cs="Times New Roman"/>
          <w:sz w:val="24"/>
          <w:szCs w:val="24"/>
          <w:lang w:val="en-GB"/>
        </w:rPr>
        <w:t xml:space="preserve">31 </w:t>
      </w:r>
      <w:r w:rsidR="00771C61" w:rsidRPr="00322BD0">
        <w:rPr>
          <w:rFonts w:ascii="Cambria" w:eastAsia="Times New Roman" w:hAnsi="Cambria" w:cs="Times New Roman"/>
          <w:sz w:val="24"/>
          <w:szCs w:val="24"/>
          <w:lang w:val="en-GB"/>
        </w:rPr>
        <w:t xml:space="preserve">December </w:t>
      </w:r>
      <w:r w:rsidR="00680F69" w:rsidRPr="00322BD0">
        <w:rPr>
          <w:rFonts w:ascii="Cambria" w:eastAsia="Times New Roman" w:hAnsi="Cambria" w:cs="Times New Roman"/>
          <w:sz w:val="24"/>
          <w:szCs w:val="24"/>
          <w:lang w:val="en-GB"/>
        </w:rPr>
        <w:t>201</w:t>
      </w:r>
      <w:r w:rsidR="00A25236" w:rsidRPr="00322BD0">
        <w:rPr>
          <w:rFonts w:ascii="Cambria" w:eastAsia="Times New Roman" w:hAnsi="Cambria" w:cs="Times New Roman"/>
          <w:sz w:val="24"/>
          <w:szCs w:val="24"/>
          <w:lang w:val="en-GB"/>
        </w:rPr>
        <w:t>6</w:t>
      </w:r>
      <w:r w:rsidRPr="00322BD0">
        <w:rPr>
          <w:rFonts w:ascii="Cambria" w:eastAsia="Times New Roman" w:hAnsi="Cambria" w:cs="Times New Roman"/>
          <w:sz w:val="24"/>
          <w:szCs w:val="24"/>
          <w:lang w:val="en-GB"/>
        </w:rPr>
        <w:t xml:space="preserve"> is of RON 117,738,440 and is divided into 11,773,844 registered shares, each share having a face value of RON 10.</w:t>
      </w:r>
    </w:p>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p>
    <w:p w:rsidR="0063197C" w:rsidRPr="00322BD0" w:rsidRDefault="0063197C" w:rsidP="0063197C">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Transgaz did not carry out transactions with its own shares and, consequently, at the end of 201</w:t>
      </w:r>
      <w:r w:rsidR="00A25236" w:rsidRPr="00322BD0">
        <w:rPr>
          <w:rFonts w:ascii="Cambria" w:eastAsia="Times New Roman" w:hAnsi="Cambria" w:cs="Times New Roman"/>
          <w:sz w:val="24"/>
          <w:szCs w:val="24"/>
          <w:lang w:val="en-GB"/>
        </w:rPr>
        <w:t>6</w:t>
      </w:r>
      <w:r w:rsidRPr="00322BD0">
        <w:rPr>
          <w:rFonts w:ascii="Cambria" w:eastAsia="Times New Roman" w:hAnsi="Cambria" w:cs="Times New Roman"/>
          <w:sz w:val="24"/>
          <w:szCs w:val="24"/>
          <w:lang w:val="en-GB"/>
        </w:rPr>
        <w:t xml:space="preserve"> the company does not hold any of its own shares.</w:t>
      </w:r>
    </w:p>
    <w:p w:rsidR="008F3EC7" w:rsidRPr="00322BD0" w:rsidRDefault="008F3EC7" w:rsidP="00CD0E3B">
      <w:pPr>
        <w:pStyle w:val="NoSpacing"/>
        <w:shd w:val="clear" w:color="auto" w:fill="FFFFFF" w:themeFill="background1"/>
        <w:spacing w:line="360" w:lineRule="auto"/>
        <w:jc w:val="both"/>
        <w:rPr>
          <w:rFonts w:ascii="Cambria" w:hAnsi="Cambria"/>
          <w:b/>
          <w:sz w:val="24"/>
          <w:szCs w:val="24"/>
          <w:lang w:val="en-GB"/>
        </w:rPr>
      </w:pPr>
    </w:p>
    <w:p w:rsidR="00771C61" w:rsidRPr="00322BD0" w:rsidRDefault="00771C61" w:rsidP="009E5DDB">
      <w:pPr>
        <w:pStyle w:val="Heading1"/>
        <w:rPr>
          <w:rFonts w:eastAsiaTheme="minorEastAsia"/>
          <w:i w:val="0"/>
          <w:lang w:val="en-GB"/>
        </w:rPr>
      </w:pPr>
      <w:bookmarkStart w:id="11" w:name="_Toc446310811"/>
      <w:bookmarkStart w:id="12" w:name="_Toc414263614"/>
      <w:r w:rsidRPr="00322BD0">
        <w:rPr>
          <w:rFonts w:eastAsiaTheme="minorEastAsia"/>
          <w:i w:val="0"/>
          <w:lang w:val="en-GB"/>
        </w:rPr>
        <w:t>2.</w:t>
      </w:r>
      <w:r w:rsidRPr="00322BD0">
        <w:rPr>
          <w:rFonts w:eastAsiaTheme="minorEastAsia"/>
          <w:i w:val="0"/>
          <w:lang w:val="en-GB"/>
        </w:rPr>
        <w:tab/>
        <w:t>EXECUTIVE SUMMARY</w:t>
      </w:r>
      <w:bookmarkEnd w:id="11"/>
      <w:r w:rsidRPr="00322BD0">
        <w:rPr>
          <w:rFonts w:eastAsiaTheme="minorEastAsia"/>
          <w:i w:val="0"/>
          <w:lang w:val="en-GB"/>
        </w:rPr>
        <w:t xml:space="preserve"> </w:t>
      </w:r>
    </w:p>
    <w:p w:rsidR="00771C61" w:rsidRPr="00322BD0" w:rsidRDefault="00771C61" w:rsidP="009E5DDB">
      <w:pPr>
        <w:pStyle w:val="Heading2"/>
        <w:rPr>
          <w:rFonts w:eastAsia="Times New Roman"/>
          <w:i w:val="0"/>
          <w:lang w:val="en-GB"/>
        </w:rPr>
      </w:pPr>
      <w:bookmarkStart w:id="13" w:name="_Toc446310812"/>
      <w:bookmarkEnd w:id="12"/>
      <w:r w:rsidRPr="00322BD0">
        <w:rPr>
          <w:rFonts w:eastAsia="Times New Roman"/>
          <w:i w:val="0"/>
          <w:lang w:val="en-GB"/>
        </w:rPr>
        <w:t>2.1 Indicators of the operational activity</w:t>
      </w:r>
      <w:bookmarkEnd w:id="13"/>
    </w:p>
    <w:p w:rsidR="00CC7FF2" w:rsidRPr="00322BD0" w:rsidRDefault="00CC7FF2" w:rsidP="00CC7FF2">
      <w:pPr>
        <w:spacing w:after="0" w:line="240" w:lineRule="auto"/>
        <w:jc w:val="both"/>
        <w:rPr>
          <w:rFonts w:asciiTheme="majorHAnsi" w:hAnsiTheme="majorHAnsi"/>
          <w:b/>
          <w:sz w:val="24"/>
          <w:szCs w:val="24"/>
          <w:lang w:val="en-GB"/>
        </w:rPr>
      </w:pPr>
    </w:p>
    <w:p w:rsidR="00DD16AF" w:rsidRPr="00322BD0" w:rsidRDefault="00DD16AF" w:rsidP="00DD16AF">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lastRenderedPageBreak/>
        <w:t xml:space="preserve">The evolution of the natural gas quantities circulated and transmitted through the National Natural Gas Transmission System (NTS), as well as </w:t>
      </w:r>
      <w:r w:rsidR="00830A5F" w:rsidRPr="00322BD0">
        <w:rPr>
          <w:rFonts w:ascii="Cambria" w:eastAsia="Times New Roman" w:hAnsi="Cambria" w:cs="Times New Roman"/>
          <w:sz w:val="24"/>
          <w:szCs w:val="24"/>
          <w:lang w:val="en-GB"/>
        </w:rPr>
        <w:t>of</w:t>
      </w:r>
      <w:r w:rsidRPr="00322BD0">
        <w:rPr>
          <w:rFonts w:ascii="Cambria" w:eastAsia="Times New Roman" w:hAnsi="Cambria" w:cs="Times New Roman"/>
          <w:sz w:val="24"/>
          <w:szCs w:val="24"/>
          <w:lang w:val="en-GB"/>
        </w:rPr>
        <w:t xml:space="preserve"> the technological consumption </w:t>
      </w:r>
      <w:r w:rsidR="00830A5F" w:rsidRPr="00322BD0">
        <w:rPr>
          <w:rFonts w:ascii="Cambria" w:eastAsia="Times New Roman" w:hAnsi="Cambria" w:cs="Times New Roman"/>
          <w:sz w:val="24"/>
          <w:szCs w:val="24"/>
          <w:lang w:val="en-GB"/>
        </w:rPr>
        <w:t>in 201</w:t>
      </w:r>
      <w:r w:rsidR="00022F08" w:rsidRPr="00322BD0">
        <w:rPr>
          <w:rFonts w:ascii="Cambria" w:eastAsia="Times New Roman" w:hAnsi="Cambria" w:cs="Times New Roman"/>
          <w:sz w:val="24"/>
          <w:szCs w:val="24"/>
          <w:lang w:val="en-GB"/>
        </w:rPr>
        <w:t>6</w:t>
      </w:r>
      <w:r w:rsidR="00830A5F" w:rsidRPr="00322BD0">
        <w:rPr>
          <w:rFonts w:ascii="Cambria" w:eastAsia="Times New Roman" w:hAnsi="Cambria" w:cs="Times New Roman"/>
          <w:sz w:val="24"/>
          <w:szCs w:val="24"/>
          <w:lang w:val="en-GB"/>
        </w:rPr>
        <w:t xml:space="preserve"> as</w:t>
      </w:r>
      <w:r w:rsidRPr="00322BD0">
        <w:rPr>
          <w:rFonts w:ascii="Cambria" w:eastAsia="Times New Roman" w:hAnsi="Cambria" w:cs="Times New Roman"/>
          <w:sz w:val="24"/>
          <w:szCs w:val="24"/>
          <w:lang w:val="en-GB"/>
        </w:rPr>
        <w:t xml:space="preserve"> compared to 201</w:t>
      </w:r>
      <w:r w:rsidR="00022F08" w:rsidRPr="00322BD0">
        <w:rPr>
          <w:rFonts w:ascii="Cambria" w:eastAsia="Times New Roman" w:hAnsi="Cambria" w:cs="Times New Roman"/>
          <w:sz w:val="24"/>
          <w:szCs w:val="24"/>
          <w:lang w:val="en-GB"/>
        </w:rPr>
        <w:t>5</w:t>
      </w:r>
      <w:r w:rsidRPr="00322BD0">
        <w:rPr>
          <w:rFonts w:ascii="Cambria" w:eastAsia="Times New Roman" w:hAnsi="Cambria" w:cs="Times New Roman"/>
          <w:sz w:val="24"/>
          <w:szCs w:val="24"/>
          <w:lang w:val="en-GB"/>
        </w:rPr>
        <w:t xml:space="preserve"> is as follows:</w:t>
      </w:r>
    </w:p>
    <w:p w:rsidR="007A69E0" w:rsidRPr="00322BD0" w:rsidRDefault="007A69E0" w:rsidP="00DD16AF">
      <w:pPr>
        <w:spacing w:after="0" w:line="240" w:lineRule="auto"/>
        <w:ind w:firstLine="0"/>
        <w:jc w:val="both"/>
        <w:rPr>
          <w:rFonts w:ascii="Cambria" w:eastAsia="Times New Roman" w:hAnsi="Cambria" w:cs="Times New Roman"/>
          <w:sz w:val="24"/>
          <w:szCs w:val="24"/>
          <w:lang w:val="en-GB"/>
        </w:rPr>
      </w:pPr>
    </w:p>
    <w:tbl>
      <w:tblPr>
        <w:tblW w:w="969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000" w:firstRow="0" w:lastRow="0" w:firstColumn="0" w:lastColumn="0" w:noHBand="0" w:noVBand="0"/>
      </w:tblPr>
      <w:tblGrid>
        <w:gridCol w:w="1764"/>
        <w:gridCol w:w="1429"/>
        <w:gridCol w:w="1102"/>
        <w:gridCol w:w="1170"/>
        <w:gridCol w:w="1080"/>
        <w:gridCol w:w="1080"/>
        <w:gridCol w:w="990"/>
        <w:gridCol w:w="1082"/>
      </w:tblGrid>
      <w:tr w:rsidR="00C87462" w:rsidRPr="00322BD0" w:rsidTr="00284FAD">
        <w:trPr>
          <w:trHeight w:val="395"/>
          <w:tblCellSpacing w:w="20" w:type="dxa"/>
          <w:jc w:val="center"/>
        </w:trPr>
        <w:tc>
          <w:tcPr>
            <w:tcW w:w="1704" w:type="dxa"/>
            <w:shd w:val="clear" w:color="auto" w:fill="D1DEEE" w:themeFill="accent2" w:themeFillTint="33"/>
            <w:noWrap/>
            <w:vAlign w:val="center"/>
          </w:tcPr>
          <w:p w:rsidR="00022F08" w:rsidRPr="00322BD0" w:rsidRDefault="00022F08" w:rsidP="00A74D4E">
            <w:pPr>
              <w:spacing w:after="0" w:line="240" w:lineRule="auto"/>
              <w:ind w:firstLine="0"/>
              <w:jc w:val="center"/>
              <w:rPr>
                <w:rFonts w:ascii="Cambria" w:eastAsia="Times New Roman" w:hAnsi="Cambria" w:cs="Times New Roman"/>
                <w:b/>
                <w:bCs/>
                <w:sz w:val="20"/>
                <w:szCs w:val="20"/>
                <w:lang w:val="en-GB" w:eastAsia="en-US"/>
              </w:rPr>
            </w:pPr>
            <w:r w:rsidRPr="00322BD0">
              <w:rPr>
                <w:rFonts w:ascii="Cambria" w:eastAsia="Times New Roman" w:hAnsi="Cambria" w:cs="Times New Roman"/>
                <w:b/>
                <w:bCs/>
                <w:sz w:val="20"/>
                <w:szCs w:val="20"/>
                <w:lang w:val="en-GB" w:eastAsia="en-US"/>
              </w:rPr>
              <w:t>Indicator</w:t>
            </w:r>
          </w:p>
        </w:tc>
        <w:tc>
          <w:tcPr>
            <w:tcW w:w="1389" w:type="dxa"/>
            <w:shd w:val="clear" w:color="auto" w:fill="D1DEEE" w:themeFill="accent2" w:themeFillTint="33"/>
          </w:tcPr>
          <w:p w:rsidR="00022F08" w:rsidRPr="00322BD0" w:rsidRDefault="00022F08" w:rsidP="00022F08">
            <w:pPr>
              <w:spacing w:before="120" w:after="12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MU</w:t>
            </w:r>
          </w:p>
        </w:tc>
        <w:tc>
          <w:tcPr>
            <w:tcW w:w="1062" w:type="dxa"/>
            <w:shd w:val="clear" w:color="auto" w:fill="D1DEEE" w:themeFill="accent2" w:themeFillTint="33"/>
          </w:tcPr>
          <w:p w:rsidR="00022F08" w:rsidRPr="00322BD0" w:rsidRDefault="00022F08" w:rsidP="00022F08">
            <w:pPr>
              <w:spacing w:before="120" w:after="12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2016</w:t>
            </w:r>
          </w:p>
        </w:tc>
        <w:tc>
          <w:tcPr>
            <w:tcW w:w="1130" w:type="dxa"/>
            <w:shd w:val="clear" w:color="auto" w:fill="D1DEEE" w:themeFill="accent2" w:themeFillTint="33"/>
            <w:noWrap/>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2015</w:t>
            </w:r>
          </w:p>
        </w:tc>
        <w:tc>
          <w:tcPr>
            <w:tcW w:w="1040" w:type="dxa"/>
            <w:shd w:val="clear" w:color="auto" w:fill="D1DEEE" w:themeFill="accent2" w:themeFillTint="33"/>
            <w:noWrap/>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2014</w:t>
            </w:r>
          </w:p>
        </w:tc>
        <w:tc>
          <w:tcPr>
            <w:tcW w:w="1040" w:type="dxa"/>
            <w:shd w:val="clear" w:color="auto" w:fill="D1DEEE" w:themeFill="accent2" w:themeFillTint="33"/>
          </w:tcPr>
          <w:p w:rsidR="00022F08" w:rsidRPr="00322BD0" w:rsidRDefault="00022F08" w:rsidP="00022F08">
            <w:pPr>
              <w:spacing w:before="120"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2013</w:t>
            </w:r>
          </w:p>
        </w:tc>
        <w:tc>
          <w:tcPr>
            <w:tcW w:w="950" w:type="dxa"/>
            <w:shd w:val="clear" w:color="auto" w:fill="D1DEEE" w:themeFill="accent2" w:themeFillTint="33"/>
            <w:noWrap/>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w:t>
            </w:r>
          </w:p>
        </w:tc>
        <w:tc>
          <w:tcPr>
            <w:tcW w:w="1022" w:type="dxa"/>
            <w:shd w:val="clear" w:color="auto" w:fill="D1DEEE" w:themeFill="accent2" w:themeFillTint="33"/>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w:t>
            </w:r>
          </w:p>
        </w:tc>
      </w:tr>
      <w:tr w:rsidR="00C87462" w:rsidRPr="00322BD0" w:rsidTr="00284FAD">
        <w:trPr>
          <w:trHeight w:val="132"/>
          <w:tblCellSpacing w:w="20" w:type="dxa"/>
          <w:jc w:val="center"/>
        </w:trPr>
        <w:tc>
          <w:tcPr>
            <w:tcW w:w="1704" w:type="dxa"/>
            <w:shd w:val="clear" w:color="auto" w:fill="auto"/>
            <w:noWrap/>
            <w:vAlign w:val="center"/>
          </w:tcPr>
          <w:p w:rsidR="00022F08" w:rsidRPr="00322BD0" w:rsidRDefault="00022F08" w:rsidP="00A74D4E">
            <w:pPr>
              <w:spacing w:after="0" w:line="240" w:lineRule="auto"/>
              <w:ind w:firstLine="0"/>
              <w:jc w:val="center"/>
              <w:rPr>
                <w:rFonts w:ascii="Cambria" w:eastAsia="Times New Roman" w:hAnsi="Cambria" w:cs="Times New Roman"/>
                <w:b/>
                <w:bCs/>
                <w:sz w:val="20"/>
                <w:szCs w:val="20"/>
                <w:lang w:val="en-GB" w:eastAsia="en-US"/>
              </w:rPr>
            </w:pPr>
            <w:r w:rsidRPr="00322BD0">
              <w:rPr>
                <w:rFonts w:ascii="Cambria" w:eastAsia="Times New Roman" w:hAnsi="Cambria" w:cs="Times New Roman"/>
                <w:b/>
                <w:bCs/>
                <w:sz w:val="20"/>
                <w:szCs w:val="20"/>
                <w:lang w:val="en-GB" w:eastAsia="en-US"/>
              </w:rPr>
              <w:t>0</w:t>
            </w:r>
          </w:p>
        </w:tc>
        <w:tc>
          <w:tcPr>
            <w:tcW w:w="1389" w:type="dxa"/>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1</w:t>
            </w:r>
          </w:p>
        </w:tc>
        <w:tc>
          <w:tcPr>
            <w:tcW w:w="1062" w:type="dxa"/>
            <w:vAlign w:val="center"/>
          </w:tcPr>
          <w:p w:rsidR="00022F08" w:rsidRPr="00322BD0" w:rsidRDefault="00022F08" w:rsidP="00765279">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2</w:t>
            </w:r>
          </w:p>
        </w:tc>
        <w:tc>
          <w:tcPr>
            <w:tcW w:w="1130" w:type="dxa"/>
            <w:shd w:val="clear" w:color="auto" w:fill="auto"/>
            <w:noWrap/>
            <w:vAlign w:val="center"/>
          </w:tcPr>
          <w:p w:rsidR="00022F08" w:rsidRPr="00322BD0" w:rsidRDefault="00022F08" w:rsidP="00765279">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3</w:t>
            </w:r>
          </w:p>
        </w:tc>
        <w:tc>
          <w:tcPr>
            <w:tcW w:w="1040" w:type="dxa"/>
            <w:shd w:val="clear" w:color="auto" w:fill="auto"/>
            <w:noWrap/>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4</w:t>
            </w:r>
          </w:p>
        </w:tc>
        <w:tc>
          <w:tcPr>
            <w:tcW w:w="1040" w:type="dxa"/>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5</w:t>
            </w:r>
          </w:p>
        </w:tc>
        <w:tc>
          <w:tcPr>
            <w:tcW w:w="950" w:type="dxa"/>
            <w:shd w:val="clear" w:color="auto" w:fill="auto"/>
            <w:noWrap/>
            <w:vAlign w:val="center"/>
          </w:tcPr>
          <w:p w:rsidR="00022F08" w:rsidRPr="00322BD0" w:rsidRDefault="00022F08" w:rsidP="00A74D4E">
            <w:pPr>
              <w:spacing w:after="0" w:line="240" w:lineRule="auto"/>
              <w:ind w:firstLine="0"/>
              <w:jc w:val="center"/>
              <w:rPr>
                <w:rFonts w:ascii="Cambria" w:eastAsia="Calibri" w:hAnsi="Cambria" w:cs="Times New Roman"/>
                <w:b/>
                <w:sz w:val="20"/>
                <w:szCs w:val="20"/>
                <w:lang w:val="en-GB" w:eastAsia="en-US"/>
              </w:rPr>
            </w:pPr>
            <w:r w:rsidRPr="00322BD0">
              <w:rPr>
                <w:rFonts w:ascii="Cambria" w:eastAsia="Calibri" w:hAnsi="Cambria" w:cs="Times New Roman"/>
                <w:b/>
                <w:sz w:val="20"/>
                <w:szCs w:val="20"/>
                <w:lang w:val="en-GB" w:eastAsia="en-US"/>
              </w:rPr>
              <w:t>6=2-3</w:t>
            </w:r>
          </w:p>
        </w:tc>
        <w:tc>
          <w:tcPr>
            <w:tcW w:w="1022" w:type="dxa"/>
            <w:shd w:val="clear" w:color="auto" w:fill="auto"/>
            <w:vAlign w:val="center"/>
          </w:tcPr>
          <w:p w:rsidR="00022F08" w:rsidRPr="00284FAD" w:rsidRDefault="00284FAD" w:rsidP="00975E9C">
            <w:pPr>
              <w:spacing w:after="0" w:line="240" w:lineRule="auto"/>
              <w:ind w:right="-151" w:hanging="137"/>
              <w:jc w:val="center"/>
              <w:rPr>
                <w:rFonts w:ascii="Cambria" w:eastAsia="Calibri" w:hAnsi="Cambria" w:cs="Times New Roman"/>
                <w:b/>
                <w:sz w:val="20"/>
                <w:szCs w:val="20"/>
                <w:lang w:val="en-GB" w:eastAsia="en-US"/>
              </w:rPr>
            </w:pPr>
            <w:r w:rsidRPr="00284FAD">
              <w:rPr>
                <w:rFonts w:asciiTheme="majorHAnsi" w:eastAsia="Calibri" w:hAnsiTheme="majorHAnsi" w:cs="DokChampa"/>
                <w:b/>
                <w:sz w:val="18"/>
                <w:szCs w:val="18"/>
                <w:lang w:eastAsia="en-US"/>
              </w:rPr>
              <w:t>7=2/3*100</w:t>
            </w:r>
          </w:p>
        </w:tc>
      </w:tr>
      <w:tr w:rsidR="00C87462" w:rsidRPr="00322BD0" w:rsidTr="00284FAD">
        <w:trPr>
          <w:trHeight w:val="378"/>
          <w:tblCellSpacing w:w="20" w:type="dxa"/>
          <w:jc w:val="center"/>
        </w:trPr>
        <w:tc>
          <w:tcPr>
            <w:tcW w:w="1704" w:type="dxa"/>
            <w:shd w:val="clear" w:color="auto" w:fill="auto"/>
            <w:noWrap/>
            <w:vAlign w:val="center"/>
          </w:tcPr>
          <w:p w:rsidR="00022F08" w:rsidRPr="00322BD0" w:rsidRDefault="00022F08" w:rsidP="00975E9C">
            <w:pPr>
              <w:spacing w:after="0" w:line="240" w:lineRule="auto"/>
              <w:ind w:right="-32" w:firstLine="0"/>
              <w:rPr>
                <w:rFonts w:ascii="Cambria" w:eastAsia="Calibri" w:hAnsi="Cambria" w:cs="Times New Roman"/>
                <w:b/>
                <w:sz w:val="20"/>
                <w:szCs w:val="20"/>
                <w:lang w:val="en-GB" w:eastAsia="en-US"/>
              </w:rPr>
            </w:pPr>
            <w:r w:rsidRPr="00322BD0">
              <w:rPr>
                <w:rFonts w:ascii="Cambria" w:eastAsia="Times New Roman" w:hAnsi="Cambria" w:cs="Times New Roman"/>
                <w:b/>
                <w:color w:val="000000"/>
                <w:lang w:val="en-GB" w:eastAsia="en-US"/>
              </w:rPr>
              <w:t>Circulated gas</w:t>
            </w:r>
            <w:r w:rsidRPr="00322BD0">
              <w:rPr>
                <w:rFonts w:ascii="Cambria" w:eastAsia="Calibri" w:hAnsi="Cambria" w:cs="Times New Roman"/>
                <w:b/>
                <w:sz w:val="20"/>
                <w:szCs w:val="20"/>
                <w:lang w:val="en-GB" w:eastAsia="en-US"/>
              </w:rPr>
              <w:t xml:space="preserve"> </w:t>
            </w:r>
          </w:p>
        </w:tc>
        <w:tc>
          <w:tcPr>
            <w:tcW w:w="1389" w:type="dxa"/>
          </w:tcPr>
          <w:p w:rsidR="00022F08" w:rsidRPr="00322BD0" w:rsidRDefault="00022F08" w:rsidP="00975E9C">
            <w:pPr>
              <w:spacing w:before="120" w:after="0" w:line="240" w:lineRule="auto"/>
              <w:ind w:right="-82" w:hanging="101"/>
              <w:jc w:val="right"/>
              <w:rPr>
                <w:rFonts w:ascii="Cambria" w:eastAsia="Calibri" w:hAnsi="Cambria" w:cs="Times New Roman"/>
                <w:sz w:val="20"/>
                <w:szCs w:val="20"/>
                <w:lang w:val="en-GB" w:eastAsia="en-US"/>
              </w:rPr>
            </w:pPr>
            <w:r w:rsidRPr="00322BD0">
              <w:rPr>
                <w:rFonts w:ascii="Cambria" w:eastAsia="Times New Roman" w:hAnsi="Cambria" w:cs="Times New Roman"/>
                <w:b/>
                <w:color w:val="000000"/>
                <w:lang w:val="en-GB" w:eastAsia="en-US"/>
              </w:rPr>
              <w:t>thousand cm</w:t>
            </w:r>
          </w:p>
        </w:tc>
        <w:tc>
          <w:tcPr>
            <w:tcW w:w="106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12.201.157</w:t>
            </w:r>
          </w:p>
        </w:tc>
        <w:tc>
          <w:tcPr>
            <w:tcW w:w="113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12.383.825</w:t>
            </w:r>
          </w:p>
        </w:tc>
        <w:tc>
          <w:tcPr>
            <w:tcW w:w="104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13.082.740</w:t>
            </w:r>
          </w:p>
        </w:tc>
        <w:tc>
          <w:tcPr>
            <w:tcW w:w="1040"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13.696.258</w:t>
            </w:r>
          </w:p>
        </w:tc>
        <w:tc>
          <w:tcPr>
            <w:tcW w:w="95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-182.668</w:t>
            </w:r>
          </w:p>
        </w:tc>
        <w:tc>
          <w:tcPr>
            <w:tcW w:w="102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w:t>
            </w:r>
          </w:p>
        </w:tc>
      </w:tr>
      <w:tr w:rsidR="00C87462" w:rsidRPr="00322BD0" w:rsidTr="00284FAD">
        <w:trPr>
          <w:trHeight w:val="220"/>
          <w:tblCellSpacing w:w="20" w:type="dxa"/>
          <w:jc w:val="center"/>
        </w:trPr>
        <w:tc>
          <w:tcPr>
            <w:tcW w:w="1704" w:type="dxa"/>
            <w:shd w:val="clear" w:color="auto" w:fill="auto"/>
            <w:noWrap/>
            <w:vAlign w:val="center"/>
          </w:tcPr>
          <w:p w:rsidR="00022F08" w:rsidRPr="00322BD0" w:rsidRDefault="00022F08" w:rsidP="00975E9C">
            <w:pPr>
              <w:spacing w:after="0" w:line="240" w:lineRule="auto"/>
              <w:ind w:right="-122" w:hanging="110"/>
              <w:rPr>
                <w:rFonts w:ascii="Cambria" w:eastAsia="Calibri" w:hAnsi="Cambria" w:cs="Times New Roman"/>
                <w:b/>
                <w:sz w:val="20"/>
                <w:szCs w:val="20"/>
                <w:lang w:val="en-GB" w:eastAsia="en-US"/>
              </w:rPr>
            </w:pPr>
            <w:r w:rsidRPr="00975E9C">
              <w:rPr>
                <w:rFonts w:ascii="Cambria" w:eastAsia="Calibri" w:hAnsi="Cambria" w:cs="Times New Roman"/>
                <w:b/>
                <w:szCs w:val="20"/>
                <w:lang w:val="en-GB" w:eastAsia="en-US"/>
              </w:rPr>
              <w:t xml:space="preserve">Transmitted gas </w:t>
            </w:r>
          </w:p>
        </w:tc>
        <w:tc>
          <w:tcPr>
            <w:tcW w:w="1389" w:type="dxa"/>
          </w:tcPr>
          <w:p w:rsidR="00022F08" w:rsidRPr="00322BD0" w:rsidRDefault="00022F08" w:rsidP="00975E9C">
            <w:pPr>
              <w:spacing w:before="120" w:after="0" w:line="240" w:lineRule="auto"/>
              <w:ind w:right="-82" w:hanging="101"/>
              <w:jc w:val="right"/>
              <w:rPr>
                <w:rFonts w:ascii="Cambria" w:eastAsia="Calibri" w:hAnsi="Cambria" w:cs="Times New Roman"/>
                <w:sz w:val="20"/>
                <w:szCs w:val="20"/>
                <w:lang w:val="en-GB" w:eastAsia="en-US"/>
              </w:rPr>
            </w:pPr>
            <w:r w:rsidRPr="00322BD0">
              <w:rPr>
                <w:rFonts w:ascii="Cambria" w:eastAsia="Times New Roman" w:hAnsi="Cambria" w:cs="Times New Roman"/>
                <w:b/>
                <w:color w:val="000000"/>
                <w:lang w:val="en-GB" w:eastAsia="en-US"/>
              </w:rPr>
              <w:t>thousand cm</w:t>
            </w:r>
          </w:p>
        </w:tc>
        <w:tc>
          <w:tcPr>
            <w:tcW w:w="106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12.074.677</w:t>
            </w:r>
          </w:p>
        </w:tc>
        <w:tc>
          <w:tcPr>
            <w:tcW w:w="113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12.294.693</w:t>
            </w:r>
          </w:p>
        </w:tc>
        <w:tc>
          <w:tcPr>
            <w:tcW w:w="104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11.883.713</w:t>
            </w:r>
          </w:p>
        </w:tc>
        <w:tc>
          <w:tcPr>
            <w:tcW w:w="1040"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11.258.941</w:t>
            </w:r>
          </w:p>
        </w:tc>
        <w:tc>
          <w:tcPr>
            <w:tcW w:w="95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-220.016</w:t>
            </w:r>
          </w:p>
        </w:tc>
        <w:tc>
          <w:tcPr>
            <w:tcW w:w="102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-2%</w:t>
            </w:r>
          </w:p>
        </w:tc>
      </w:tr>
      <w:tr w:rsidR="00C87462" w:rsidRPr="00322BD0" w:rsidTr="00284FAD">
        <w:trPr>
          <w:trHeight w:val="220"/>
          <w:tblCellSpacing w:w="20" w:type="dxa"/>
          <w:jc w:val="center"/>
        </w:trPr>
        <w:tc>
          <w:tcPr>
            <w:tcW w:w="1704" w:type="dxa"/>
            <w:shd w:val="clear" w:color="auto" w:fill="auto"/>
            <w:noWrap/>
            <w:vAlign w:val="center"/>
          </w:tcPr>
          <w:p w:rsidR="00022F08" w:rsidRPr="00322BD0" w:rsidRDefault="00022F08" w:rsidP="00975E9C">
            <w:pPr>
              <w:spacing w:after="0" w:line="240" w:lineRule="auto"/>
              <w:ind w:right="-32" w:firstLine="0"/>
              <w:rPr>
                <w:rFonts w:ascii="Cambria" w:eastAsia="Calibri" w:hAnsi="Cambria" w:cs="Times New Roman"/>
                <w:b/>
                <w:sz w:val="20"/>
                <w:szCs w:val="20"/>
                <w:lang w:val="en-GB" w:eastAsia="en-US"/>
              </w:rPr>
            </w:pPr>
            <w:r w:rsidRPr="00322BD0">
              <w:rPr>
                <w:rFonts w:ascii="Cambria" w:eastAsia="Times New Roman" w:hAnsi="Cambria" w:cs="Times New Roman"/>
                <w:b/>
                <w:color w:val="000000"/>
                <w:lang w:val="en-GB" w:eastAsia="en-US"/>
              </w:rPr>
              <w:t>Technological consumption</w:t>
            </w:r>
            <w:r w:rsidRPr="00322BD0">
              <w:rPr>
                <w:rFonts w:ascii="Cambria" w:eastAsia="Calibri" w:hAnsi="Cambria" w:cs="Times New Roman"/>
                <w:b/>
                <w:sz w:val="20"/>
                <w:szCs w:val="20"/>
                <w:lang w:val="en-GB" w:eastAsia="en-US"/>
              </w:rPr>
              <w:t xml:space="preserve"> </w:t>
            </w:r>
          </w:p>
        </w:tc>
        <w:tc>
          <w:tcPr>
            <w:tcW w:w="1389" w:type="dxa"/>
          </w:tcPr>
          <w:p w:rsidR="00022F08" w:rsidRPr="00322BD0" w:rsidRDefault="00022F08" w:rsidP="00975E9C">
            <w:pPr>
              <w:spacing w:before="120" w:after="0" w:line="240" w:lineRule="auto"/>
              <w:ind w:right="-82" w:hanging="101"/>
              <w:jc w:val="right"/>
              <w:rPr>
                <w:rFonts w:ascii="Cambria" w:eastAsia="Calibri" w:hAnsi="Cambria" w:cs="Times New Roman"/>
                <w:sz w:val="20"/>
                <w:szCs w:val="20"/>
                <w:lang w:val="en-GB" w:eastAsia="en-US"/>
              </w:rPr>
            </w:pPr>
            <w:r w:rsidRPr="00322BD0">
              <w:rPr>
                <w:rFonts w:ascii="Cambria" w:eastAsia="Times New Roman" w:hAnsi="Cambria" w:cs="Times New Roman"/>
                <w:b/>
                <w:color w:val="000000"/>
                <w:lang w:val="en-GB" w:eastAsia="en-US"/>
              </w:rPr>
              <w:t>thousand cm</w:t>
            </w:r>
          </w:p>
        </w:tc>
        <w:tc>
          <w:tcPr>
            <w:tcW w:w="106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108.874</w:t>
            </w:r>
          </w:p>
        </w:tc>
        <w:tc>
          <w:tcPr>
            <w:tcW w:w="113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88.103</w:t>
            </w:r>
          </w:p>
        </w:tc>
        <w:tc>
          <w:tcPr>
            <w:tcW w:w="104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96.940</w:t>
            </w:r>
          </w:p>
        </w:tc>
        <w:tc>
          <w:tcPr>
            <w:tcW w:w="1040"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160.140</w:t>
            </w:r>
          </w:p>
        </w:tc>
        <w:tc>
          <w:tcPr>
            <w:tcW w:w="95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20.771</w:t>
            </w:r>
          </w:p>
        </w:tc>
        <w:tc>
          <w:tcPr>
            <w:tcW w:w="102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24%</w:t>
            </w:r>
          </w:p>
        </w:tc>
      </w:tr>
      <w:tr w:rsidR="00C87462" w:rsidRPr="00322BD0" w:rsidTr="00284FAD">
        <w:trPr>
          <w:trHeight w:val="446"/>
          <w:tblCellSpacing w:w="20" w:type="dxa"/>
          <w:jc w:val="center"/>
        </w:trPr>
        <w:tc>
          <w:tcPr>
            <w:tcW w:w="1704" w:type="dxa"/>
            <w:shd w:val="clear" w:color="auto" w:fill="auto"/>
            <w:noWrap/>
            <w:vAlign w:val="center"/>
          </w:tcPr>
          <w:p w:rsidR="00022F08" w:rsidRPr="00322BD0" w:rsidRDefault="00022F08" w:rsidP="00975E9C">
            <w:pPr>
              <w:spacing w:after="0" w:line="240" w:lineRule="auto"/>
              <w:ind w:right="-32" w:firstLine="0"/>
              <w:rPr>
                <w:rFonts w:ascii="Cambria" w:eastAsia="Times New Roman" w:hAnsi="Cambria" w:cs="Times New Roman"/>
                <w:b/>
                <w:sz w:val="20"/>
                <w:szCs w:val="20"/>
                <w:lang w:val="en-GB" w:eastAsia="en-US"/>
              </w:rPr>
            </w:pPr>
            <w:r w:rsidRPr="00322BD0">
              <w:rPr>
                <w:rFonts w:ascii="Cambria" w:eastAsia="Times New Roman" w:hAnsi="Cambria" w:cs="Times New Roman"/>
                <w:b/>
                <w:color w:val="000000"/>
                <w:lang w:val="en-GB" w:eastAsia="en-US"/>
              </w:rPr>
              <w:t>Share technological consumption/</w:t>
            </w:r>
            <w:r w:rsidR="00C87462" w:rsidRPr="00322BD0">
              <w:rPr>
                <w:rFonts w:ascii="Cambria" w:eastAsia="Times New Roman" w:hAnsi="Cambria" w:cs="Times New Roman"/>
                <w:b/>
                <w:color w:val="000000"/>
                <w:lang w:val="en-GB" w:eastAsia="en-US"/>
              </w:rPr>
              <w:t xml:space="preserve"> </w:t>
            </w:r>
            <w:r w:rsidRPr="00322BD0">
              <w:rPr>
                <w:rFonts w:ascii="Cambria" w:eastAsia="Times New Roman" w:hAnsi="Cambria" w:cs="Times New Roman"/>
                <w:b/>
                <w:color w:val="000000"/>
                <w:lang w:val="en-GB" w:eastAsia="en-US"/>
              </w:rPr>
              <w:t>circulated gas</w:t>
            </w:r>
          </w:p>
        </w:tc>
        <w:tc>
          <w:tcPr>
            <w:tcW w:w="1389" w:type="dxa"/>
          </w:tcPr>
          <w:p w:rsidR="00022F08" w:rsidRPr="00322BD0" w:rsidRDefault="00022F08" w:rsidP="00975E9C">
            <w:pPr>
              <w:spacing w:before="240" w:after="0" w:line="240" w:lineRule="auto"/>
              <w:ind w:right="-82" w:firstLine="0"/>
              <w:jc w:val="center"/>
              <w:rPr>
                <w:rFonts w:ascii="Cambria" w:eastAsia="Calibri" w:hAnsi="Cambria" w:cs="Times New Roman"/>
                <w:sz w:val="20"/>
                <w:szCs w:val="20"/>
                <w:lang w:val="en-GB" w:eastAsia="en-US"/>
              </w:rPr>
            </w:pPr>
            <w:r w:rsidRPr="00322BD0">
              <w:rPr>
                <w:rFonts w:ascii="Cambria" w:eastAsia="Calibri" w:hAnsi="Cambria" w:cs="Times New Roman"/>
                <w:sz w:val="20"/>
                <w:szCs w:val="20"/>
                <w:lang w:val="en-GB" w:eastAsia="en-US"/>
              </w:rPr>
              <w:t>%</w:t>
            </w:r>
          </w:p>
        </w:tc>
        <w:tc>
          <w:tcPr>
            <w:tcW w:w="106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0,89%</w:t>
            </w:r>
          </w:p>
        </w:tc>
        <w:tc>
          <w:tcPr>
            <w:tcW w:w="113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0,71%</w:t>
            </w:r>
          </w:p>
        </w:tc>
        <w:tc>
          <w:tcPr>
            <w:tcW w:w="104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0,74%</w:t>
            </w:r>
          </w:p>
        </w:tc>
        <w:tc>
          <w:tcPr>
            <w:tcW w:w="1040"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r w:rsidRPr="00322BD0">
              <w:rPr>
                <w:rFonts w:asciiTheme="majorHAnsi" w:eastAsia="Calibri" w:hAnsiTheme="majorHAnsi" w:cs="DokChampa"/>
                <w:sz w:val="20"/>
                <w:szCs w:val="20"/>
                <w:lang w:val="en-GB" w:eastAsia="en-US"/>
              </w:rPr>
              <w:t>1,17%</w:t>
            </w:r>
          </w:p>
        </w:tc>
        <w:tc>
          <w:tcPr>
            <w:tcW w:w="950" w:type="dxa"/>
            <w:shd w:val="clear" w:color="auto" w:fill="auto"/>
            <w:noWrap/>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p>
        </w:tc>
        <w:tc>
          <w:tcPr>
            <w:tcW w:w="1022" w:type="dxa"/>
            <w:vAlign w:val="center"/>
          </w:tcPr>
          <w:p w:rsidR="00022F08" w:rsidRPr="00322BD0" w:rsidRDefault="00022F08" w:rsidP="00975E9C">
            <w:pPr>
              <w:spacing w:after="0" w:line="240" w:lineRule="auto"/>
              <w:ind w:left="-109" w:right="-118" w:firstLine="0"/>
              <w:jc w:val="right"/>
              <w:rPr>
                <w:rFonts w:asciiTheme="majorHAnsi" w:eastAsia="Calibri" w:hAnsiTheme="majorHAnsi" w:cs="DokChampa"/>
                <w:sz w:val="20"/>
                <w:szCs w:val="20"/>
                <w:lang w:val="en-GB" w:eastAsia="en-US"/>
              </w:rPr>
            </w:pPr>
          </w:p>
        </w:tc>
      </w:tr>
    </w:tbl>
    <w:p w:rsidR="00704F9F" w:rsidRPr="00322BD0" w:rsidRDefault="00704F9F" w:rsidP="00704F9F">
      <w:pPr>
        <w:spacing w:after="0" w:line="240" w:lineRule="auto"/>
        <w:ind w:firstLine="0"/>
        <w:jc w:val="center"/>
        <w:rPr>
          <w:rFonts w:ascii="Cambria" w:hAnsi="Cambria"/>
          <w:b/>
          <w:i/>
          <w:sz w:val="18"/>
          <w:szCs w:val="18"/>
          <w:lang w:val="en-GB"/>
        </w:rPr>
      </w:pPr>
    </w:p>
    <w:p w:rsidR="00C67F5D" w:rsidRPr="00322BD0" w:rsidRDefault="00DD16AF" w:rsidP="00DD16AF">
      <w:pPr>
        <w:spacing w:after="0" w:line="240" w:lineRule="auto"/>
        <w:ind w:firstLine="0"/>
        <w:jc w:val="center"/>
        <w:rPr>
          <w:rFonts w:ascii="Cambria" w:eastAsia="Times New Roman" w:hAnsi="Cambria" w:cs="Times New Roman"/>
          <w:b/>
          <w:i/>
          <w:sz w:val="16"/>
          <w:szCs w:val="16"/>
          <w:lang w:val="en-GB"/>
        </w:rPr>
      </w:pPr>
      <w:r w:rsidRPr="00322BD0">
        <w:rPr>
          <w:rFonts w:ascii="Cambria" w:eastAsia="Times New Roman" w:hAnsi="Cambria" w:cs="Times New Roman"/>
          <w:b/>
          <w:i/>
          <w:sz w:val="16"/>
          <w:szCs w:val="16"/>
          <w:lang w:val="en-GB"/>
        </w:rPr>
        <w:t xml:space="preserve">Table </w:t>
      </w:r>
      <w:r w:rsidR="00C67F5D" w:rsidRPr="00322BD0">
        <w:rPr>
          <w:rFonts w:ascii="Cambria" w:eastAsia="Times New Roman" w:hAnsi="Cambria" w:cs="Times New Roman"/>
          <w:b/>
          <w:i/>
          <w:sz w:val="16"/>
          <w:szCs w:val="16"/>
          <w:lang w:val="en-GB"/>
        </w:rPr>
        <w:t>2</w:t>
      </w:r>
      <w:r w:rsidRPr="00322BD0">
        <w:rPr>
          <w:rFonts w:ascii="Cambria" w:eastAsia="Times New Roman" w:hAnsi="Cambria" w:cs="Times New Roman"/>
          <w:b/>
          <w:i/>
          <w:sz w:val="16"/>
          <w:szCs w:val="16"/>
          <w:lang w:val="en-GB"/>
        </w:rPr>
        <w:t xml:space="preserve"> - Evolution of the quantities of circulated and transmitted natural gas and of</w:t>
      </w:r>
      <w:r w:rsidR="00C67F5D" w:rsidRPr="00322BD0">
        <w:rPr>
          <w:rFonts w:ascii="Cambria" w:eastAsia="Times New Roman" w:hAnsi="Cambria" w:cs="Times New Roman"/>
          <w:b/>
          <w:i/>
          <w:sz w:val="16"/>
          <w:szCs w:val="16"/>
          <w:lang w:val="en-GB"/>
        </w:rPr>
        <w:t xml:space="preserve"> the technological consumption </w:t>
      </w:r>
    </w:p>
    <w:p w:rsidR="009229AE" w:rsidRPr="00322BD0" w:rsidRDefault="00C67F5D" w:rsidP="006B20C9">
      <w:pPr>
        <w:spacing w:after="0" w:line="240" w:lineRule="auto"/>
        <w:ind w:firstLine="0"/>
        <w:jc w:val="center"/>
        <w:rPr>
          <w:rFonts w:ascii="Cambria" w:hAnsi="Cambria"/>
          <w:b/>
          <w:i/>
          <w:sz w:val="16"/>
          <w:szCs w:val="16"/>
          <w:lang w:val="en-GB"/>
        </w:rPr>
      </w:pPr>
      <w:r w:rsidRPr="00322BD0">
        <w:rPr>
          <w:rFonts w:ascii="Cambria" w:eastAsia="Times New Roman" w:hAnsi="Cambria" w:cs="Times New Roman"/>
          <w:b/>
          <w:i/>
          <w:sz w:val="16"/>
          <w:szCs w:val="16"/>
          <w:lang w:val="en-GB"/>
        </w:rPr>
        <w:t>in</w:t>
      </w:r>
      <w:r w:rsidR="00DD16AF" w:rsidRPr="00322BD0">
        <w:rPr>
          <w:rFonts w:ascii="Cambria" w:eastAsia="Times New Roman" w:hAnsi="Cambria" w:cs="Times New Roman"/>
          <w:b/>
          <w:i/>
          <w:sz w:val="16"/>
          <w:szCs w:val="16"/>
          <w:lang w:val="en-GB"/>
        </w:rPr>
        <w:t xml:space="preserve"> </w:t>
      </w:r>
      <w:r w:rsidR="00C83ED5" w:rsidRPr="00322BD0">
        <w:rPr>
          <w:rFonts w:ascii="Cambria" w:hAnsi="Cambria"/>
          <w:b/>
          <w:i/>
          <w:sz w:val="16"/>
          <w:szCs w:val="16"/>
          <w:lang w:val="en-GB"/>
        </w:rPr>
        <w:t>201</w:t>
      </w:r>
      <w:r w:rsidR="00C87462" w:rsidRPr="00322BD0">
        <w:rPr>
          <w:rFonts w:ascii="Cambria" w:hAnsi="Cambria"/>
          <w:b/>
          <w:i/>
          <w:sz w:val="16"/>
          <w:szCs w:val="16"/>
          <w:lang w:val="en-GB"/>
        </w:rPr>
        <w:t>6</w:t>
      </w:r>
      <w:r w:rsidR="00C83ED5" w:rsidRPr="00322BD0">
        <w:rPr>
          <w:rFonts w:ascii="Cambria" w:hAnsi="Cambria"/>
          <w:b/>
          <w:i/>
          <w:sz w:val="16"/>
          <w:szCs w:val="16"/>
          <w:lang w:val="en-GB"/>
        </w:rPr>
        <w:t xml:space="preserve"> v</w:t>
      </w:r>
      <w:r w:rsidRPr="00322BD0">
        <w:rPr>
          <w:rFonts w:ascii="Cambria" w:hAnsi="Cambria"/>
          <w:b/>
          <w:i/>
          <w:sz w:val="16"/>
          <w:szCs w:val="16"/>
          <w:lang w:val="en-GB"/>
        </w:rPr>
        <w:t>s.</w:t>
      </w:r>
      <w:r w:rsidR="00C83ED5" w:rsidRPr="00322BD0">
        <w:rPr>
          <w:rFonts w:ascii="Cambria" w:hAnsi="Cambria"/>
          <w:b/>
          <w:i/>
          <w:sz w:val="16"/>
          <w:szCs w:val="16"/>
          <w:lang w:val="en-GB"/>
        </w:rPr>
        <w:t xml:space="preserve"> 201</w:t>
      </w:r>
      <w:r w:rsidR="00C87462" w:rsidRPr="00322BD0">
        <w:rPr>
          <w:rFonts w:ascii="Cambria" w:hAnsi="Cambria"/>
          <w:b/>
          <w:i/>
          <w:sz w:val="16"/>
          <w:szCs w:val="16"/>
          <w:lang w:val="en-GB"/>
        </w:rPr>
        <w:t>5</w:t>
      </w:r>
    </w:p>
    <w:p w:rsidR="00BA1F37" w:rsidRPr="00322BD0" w:rsidRDefault="00BA1F37" w:rsidP="006B20C9">
      <w:pPr>
        <w:spacing w:after="0" w:line="240" w:lineRule="auto"/>
        <w:ind w:firstLine="0"/>
        <w:jc w:val="center"/>
        <w:rPr>
          <w:rFonts w:ascii="Cambria" w:hAnsi="Cambria"/>
          <w:b/>
          <w:i/>
          <w:sz w:val="16"/>
          <w:szCs w:val="16"/>
          <w:lang w:val="en-GB"/>
        </w:rPr>
      </w:pPr>
    </w:p>
    <w:p w:rsidR="009229AE" w:rsidRPr="00322BD0" w:rsidRDefault="00570A20" w:rsidP="00704F9F">
      <w:pPr>
        <w:spacing w:after="0" w:line="240" w:lineRule="auto"/>
        <w:ind w:firstLine="0"/>
        <w:jc w:val="center"/>
        <w:rPr>
          <w:lang w:val="en-GB" w:eastAsia="en-US"/>
        </w:rPr>
      </w:pPr>
      <w:r w:rsidRPr="00322BD0">
        <w:rPr>
          <w:rFonts w:asciiTheme="majorHAnsi" w:hAnsiTheme="majorHAnsi"/>
          <w:noProof/>
          <w:lang w:val="ro-RO" w:eastAsia="ro-RO"/>
        </w:rPr>
        <w:drawing>
          <wp:inline distT="0" distB="0" distL="0" distR="0" wp14:anchorId="71850F05" wp14:editId="189E17D3">
            <wp:extent cx="5732145" cy="1228725"/>
            <wp:effectExtent l="0" t="0" r="1905"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14D11" w:rsidRPr="00322BD0" w:rsidRDefault="00D14D11" w:rsidP="00704F9F">
      <w:pPr>
        <w:spacing w:after="0" w:line="240" w:lineRule="auto"/>
        <w:ind w:firstLine="0"/>
        <w:jc w:val="center"/>
        <w:rPr>
          <w:lang w:val="en-GB" w:eastAsia="en-US"/>
        </w:rPr>
      </w:pPr>
    </w:p>
    <w:p w:rsidR="00DD16AF" w:rsidRPr="00322BD0" w:rsidRDefault="00BA1F37" w:rsidP="00DD16AF">
      <w:pPr>
        <w:spacing w:after="0" w:line="240" w:lineRule="auto"/>
        <w:ind w:firstLine="0"/>
        <w:jc w:val="center"/>
        <w:rPr>
          <w:rFonts w:ascii="Century Gothic" w:eastAsia="Times New Roman" w:hAnsi="Century Gothic" w:cs="Times New Roman"/>
          <w:sz w:val="16"/>
          <w:szCs w:val="16"/>
          <w:lang w:val="en-GB" w:eastAsia="en-US"/>
        </w:rPr>
      </w:pPr>
      <w:r w:rsidRPr="00322BD0">
        <w:rPr>
          <w:rFonts w:ascii="Cambria" w:eastAsia="Times New Roman" w:hAnsi="Cambria" w:cs="Times New Roman"/>
          <w:b/>
          <w:i/>
          <w:sz w:val="16"/>
          <w:szCs w:val="16"/>
          <w:lang w:val="en-GB"/>
        </w:rPr>
        <w:t>Chart 1</w:t>
      </w:r>
      <w:r w:rsidR="00DD16AF" w:rsidRPr="00322BD0">
        <w:rPr>
          <w:rFonts w:ascii="Cambria" w:eastAsia="Times New Roman" w:hAnsi="Cambria" w:cs="Times New Roman"/>
          <w:b/>
          <w:i/>
          <w:sz w:val="16"/>
          <w:szCs w:val="16"/>
          <w:lang w:val="en-GB"/>
        </w:rPr>
        <w:t xml:space="preserve"> - Quantities of circulated and transmitted natural gas and of the technological consumption </w:t>
      </w:r>
      <w:r w:rsidR="00A3457B" w:rsidRPr="00322BD0">
        <w:rPr>
          <w:rFonts w:ascii="Cambria" w:eastAsia="Times New Roman" w:hAnsi="Cambria" w:cs="Times New Roman"/>
          <w:b/>
          <w:i/>
          <w:sz w:val="16"/>
          <w:szCs w:val="16"/>
          <w:lang w:val="en-GB"/>
        </w:rPr>
        <w:t>in 2016 vs 2015</w:t>
      </w:r>
      <w:r w:rsidR="00DD16AF" w:rsidRPr="00322BD0">
        <w:rPr>
          <w:rFonts w:ascii="Cambria" w:eastAsia="Times New Roman" w:hAnsi="Cambria" w:cs="Times New Roman"/>
          <w:b/>
          <w:i/>
          <w:sz w:val="16"/>
          <w:szCs w:val="16"/>
          <w:lang w:val="en-GB"/>
        </w:rPr>
        <w:t xml:space="preserve"> </w:t>
      </w:r>
    </w:p>
    <w:p w:rsidR="00D16681" w:rsidRPr="00322BD0" w:rsidRDefault="00D16681" w:rsidP="00D16681">
      <w:pPr>
        <w:spacing w:after="0" w:line="240" w:lineRule="auto"/>
        <w:ind w:firstLine="0"/>
        <w:jc w:val="center"/>
        <w:rPr>
          <w:rFonts w:ascii="Cambria" w:hAnsi="Cambria"/>
          <w:b/>
          <w:i/>
          <w:sz w:val="16"/>
          <w:szCs w:val="16"/>
          <w:lang w:val="en-GB"/>
        </w:rPr>
      </w:pPr>
    </w:p>
    <w:p w:rsidR="00D16681" w:rsidRPr="00322BD0" w:rsidRDefault="000A14EC" w:rsidP="00D16681">
      <w:pPr>
        <w:spacing w:after="0" w:line="240" w:lineRule="auto"/>
        <w:ind w:firstLine="0"/>
        <w:jc w:val="center"/>
        <w:rPr>
          <w:rFonts w:ascii="Cambria" w:hAnsi="Cambria"/>
          <w:b/>
          <w:i/>
          <w:sz w:val="16"/>
          <w:szCs w:val="16"/>
          <w:lang w:val="en-GB"/>
        </w:rPr>
      </w:pPr>
      <w:r w:rsidRPr="00322BD0">
        <w:rPr>
          <w:noProof/>
          <w:lang w:val="ro-RO" w:eastAsia="ro-RO"/>
        </w:rPr>
        <w:drawing>
          <wp:inline distT="0" distB="0" distL="0" distR="0" wp14:anchorId="0404A770" wp14:editId="4198267D">
            <wp:extent cx="4572000" cy="1490662"/>
            <wp:effectExtent l="0" t="0" r="0" b="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67657" w:rsidRPr="00322BD0" w:rsidRDefault="00D67657" w:rsidP="00D16681">
      <w:pPr>
        <w:spacing w:after="0" w:line="240" w:lineRule="auto"/>
        <w:ind w:firstLine="0"/>
        <w:jc w:val="center"/>
        <w:rPr>
          <w:rFonts w:ascii="Cambria" w:hAnsi="Cambria"/>
          <w:b/>
          <w:i/>
          <w:sz w:val="16"/>
          <w:szCs w:val="16"/>
          <w:lang w:val="en-GB"/>
        </w:rPr>
      </w:pPr>
    </w:p>
    <w:p w:rsidR="00C671E2" w:rsidRPr="00322BD0" w:rsidRDefault="00C671E2" w:rsidP="00C671E2">
      <w:pPr>
        <w:spacing w:after="0" w:line="240" w:lineRule="auto"/>
        <w:ind w:firstLine="0"/>
        <w:jc w:val="center"/>
        <w:rPr>
          <w:rFonts w:ascii="Century Gothic" w:eastAsia="Times New Roman" w:hAnsi="Century Gothic" w:cs="Times New Roman"/>
          <w:sz w:val="16"/>
          <w:szCs w:val="16"/>
          <w:lang w:val="en-GB" w:eastAsia="en-US"/>
        </w:rPr>
      </w:pPr>
      <w:r w:rsidRPr="00322BD0">
        <w:rPr>
          <w:rFonts w:asciiTheme="majorHAnsi" w:hAnsiTheme="majorHAnsi"/>
          <w:b/>
          <w:i/>
          <w:sz w:val="16"/>
          <w:szCs w:val="16"/>
          <w:lang w:val="en-GB"/>
        </w:rPr>
        <w:t xml:space="preserve">Grafic 2 – </w:t>
      </w:r>
      <w:r w:rsidRPr="00322BD0">
        <w:rPr>
          <w:rFonts w:ascii="Cambria" w:eastAsia="Times New Roman" w:hAnsi="Cambria" w:cs="Times New Roman"/>
          <w:b/>
          <w:i/>
          <w:sz w:val="16"/>
          <w:szCs w:val="16"/>
          <w:lang w:val="en-GB"/>
        </w:rPr>
        <w:t xml:space="preserve">Quantities of circulated and transmitted natural gas and of the technological consumption in 2016 vs 2015 </w:t>
      </w:r>
    </w:p>
    <w:p w:rsidR="00D16681" w:rsidRPr="00322BD0" w:rsidRDefault="00D16681" w:rsidP="00C671E2">
      <w:pPr>
        <w:spacing w:after="0" w:line="240" w:lineRule="auto"/>
        <w:ind w:firstLine="0"/>
        <w:jc w:val="center"/>
        <w:rPr>
          <w:rFonts w:ascii="Cambria" w:hAnsi="Cambria"/>
          <w:b/>
          <w:i/>
          <w:sz w:val="16"/>
          <w:szCs w:val="16"/>
          <w:lang w:val="en-GB"/>
        </w:rPr>
      </w:pPr>
    </w:p>
    <w:p w:rsidR="00D16681" w:rsidRPr="00322BD0" w:rsidRDefault="00D16681" w:rsidP="00D16681">
      <w:pPr>
        <w:spacing w:after="0" w:line="240" w:lineRule="auto"/>
        <w:ind w:firstLine="0"/>
        <w:jc w:val="center"/>
        <w:rPr>
          <w:rFonts w:ascii="Cambria" w:hAnsi="Cambria"/>
          <w:b/>
          <w:i/>
          <w:sz w:val="16"/>
          <w:szCs w:val="16"/>
          <w:lang w:val="en-GB"/>
        </w:rPr>
      </w:pPr>
    </w:p>
    <w:p w:rsidR="00D14D11" w:rsidRPr="00322BD0" w:rsidRDefault="00C671E2" w:rsidP="00F35AD4">
      <w:pPr>
        <w:spacing w:after="0" w:line="240" w:lineRule="auto"/>
        <w:ind w:firstLine="0"/>
        <w:rPr>
          <w:rFonts w:ascii="Cambria" w:hAnsi="Cambria"/>
          <w:b/>
          <w:i/>
          <w:sz w:val="16"/>
          <w:szCs w:val="16"/>
          <w:lang w:val="en-GB"/>
        </w:rPr>
      </w:pPr>
      <w:r w:rsidRPr="00322BD0">
        <w:rPr>
          <w:rFonts w:asciiTheme="majorHAnsi" w:hAnsiTheme="majorHAnsi"/>
          <w:noProof/>
          <w:lang w:val="ro-RO" w:eastAsia="ro-RO"/>
        </w:rPr>
        <w:drawing>
          <wp:inline distT="0" distB="0" distL="0" distR="0" wp14:anchorId="05096919" wp14:editId="551195D5">
            <wp:extent cx="5732145" cy="1285875"/>
            <wp:effectExtent l="0" t="0" r="1905" b="0"/>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44961" w:rsidRPr="00322BD0" w:rsidRDefault="00044961" w:rsidP="00704F9F">
      <w:pPr>
        <w:spacing w:after="0" w:line="240" w:lineRule="auto"/>
        <w:ind w:firstLine="0"/>
        <w:jc w:val="center"/>
        <w:rPr>
          <w:rFonts w:ascii="Cambria" w:hAnsi="Cambria"/>
          <w:b/>
          <w:i/>
          <w:sz w:val="16"/>
          <w:szCs w:val="16"/>
          <w:lang w:val="en-GB"/>
        </w:rPr>
      </w:pPr>
    </w:p>
    <w:p w:rsidR="001B28CE" w:rsidRPr="00322BD0" w:rsidRDefault="005B545B" w:rsidP="00704F9F">
      <w:pPr>
        <w:spacing w:after="0" w:line="240" w:lineRule="auto"/>
        <w:ind w:firstLine="0"/>
        <w:jc w:val="center"/>
        <w:rPr>
          <w:rFonts w:ascii="Cambria" w:hAnsi="Cambria"/>
          <w:b/>
          <w:i/>
          <w:sz w:val="16"/>
          <w:szCs w:val="16"/>
          <w:lang w:val="en-GB"/>
        </w:rPr>
      </w:pPr>
      <w:r w:rsidRPr="00322BD0">
        <w:rPr>
          <w:rFonts w:ascii="Cambria" w:eastAsia="Times New Roman" w:hAnsi="Cambria" w:cs="Times New Roman"/>
          <w:b/>
          <w:i/>
          <w:sz w:val="16"/>
          <w:szCs w:val="16"/>
          <w:lang w:val="en-GB"/>
        </w:rPr>
        <w:t xml:space="preserve">Chart </w:t>
      </w:r>
      <w:r w:rsidR="002F6354" w:rsidRPr="00322BD0">
        <w:rPr>
          <w:rFonts w:ascii="Cambria" w:eastAsia="Times New Roman" w:hAnsi="Cambria" w:cs="Times New Roman"/>
          <w:b/>
          <w:i/>
          <w:sz w:val="16"/>
          <w:szCs w:val="16"/>
          <w:lang w:val="en-GB"/>
        </w:rPr>
        <w:t>3</w:t>
      </w:r>
      <w:r w:rsidR="00DD16AF" w:rsidRPr="00322BD0">
        <w:rPr>
          <w:rFonts w:ascii="Cambria" w:eastAsia="Times New Roman" w:hAnsi="Cambria" w:cs="Times New Roman"/>
          <w:b/>
          <w:i/>
          <w:sz w:val="16"/>
          <w:szCs w:val="16"/>
          <w:lang w:val="en-GB"/>
        </w:rPr>
        <w:t xml:space="preserve"> – </w:t>
      </w:r>
      <w:r w:rsidR="00CB3727" w:rsidRPr="00322BD0">
        <w:rPr>
          <w:rFonts w:ascii="Cambria" w:eastAsia="Times New Roman" w:hAnsi="Cambria" w:cs="Times New Roman"/>
          <w:b/>
          <w:i/>
          <w:sz w:val="16"/>
          <w:szCs w:val="16"/>
          <w:lang w:val="en-GB"/>
        </w:rPr>
        <w:t xml:space="preserve">Share of technological consumption of the total gas circulated </w:t>
      </w:r>
      <w:r w:rsidR="001A4579">
        <w:rPr>
          <w:rFonts w:ascii="Cambria" w:eastAsia="Times New Roman" w:hAnsi="Cambria" w:cs="Times New Roman"/>
          <w:b/>
          <w:i/>
          <w:sz w:val="16"/>
          <w:szCs w:val="16"/>
          <w:lang w:val="en-GB"/>
        </w:rPr>
        <w:t>betwee</w:t>
      </w:r>
      <w:r w:rsidR="00C671E2" w:rsidRPr="00322BD0">
        <w:rPr>
          <w:rFonts w:ascii="Cambria" w:eastAsia="Times New Roman" w:hAnsi="Cambria" w:cs="Times New Roman"/>
          <w:b/>
          <w:i/>
          <w:sz w:val="16"/>
          <w:szCs w:val="16"/>
          <w:lang w:val="en-GB"/>
        </w:rPr>
        <w:t xml:space="preserve">n </w:t>
      </w:r>
      <w:r w:rsidR="001F255B" w:rsidRPr="00322BD0">
        <w:rPr>
          <w:rFonts w:ascii="Cambria" w:hAnsi="Cambria"/>
          <w:b/>
          <w:i/>
          <w:sz w:val="16"/>
          <w:szCs w:val="16"/>
          <w:lang w:val="en-GB"/>
        </w:rPr>
        <w:t>201</w:t>
      </w:r>
      <w:r w:rsidR="00C671E2" w:rsidRPr="00322BD0">
        <w:rPr>
          <w:rFonts w:ascii="Cambria" w:hAnsi="Cambria"/>
          <w:b/>
          <w:i/>
          <w:sz w:val="16"/>
          <w:szCs w:val="16"/>
          <w:lang w:val="en-GB"/>
        </w:rPr>
        <w:t xml:space="preserve">3 - </w:t>
      </w:r>
      <w:r w:rsidR="001F255B" w:rsidRPr="00322BD0">
        <w:rPr>
          <w:rFonts w:ascii="Cambria" w:hAnsi="Cambria"/>
          <w:b/>
          <w:i/>
          <w:sz w:val="16"/>
          <w:szCs w:val="16"/>
          <w:lang w:val="en-GB"/>
        </w:rPr>
        <w:t>201</w:t>
      </w:r>
      <w:r w:rsidR="00C671E2" w:rsidRPr="00322BD0">
        <w:rPr>
          <w:rFonts w:ascii="Cambria" w:hAnsi="Cambria"/>
          <w:b/>
          <w:i/>
          <w:sz w:val="16"/>
          <w:szCs w:val="16"/>
          <w:lang w:val="en-GB"/>
        </w:rPr>
        <w:t>6</w:t>
      </w:r>
    </w:p>
    <w:p w:rsidR="001B28CE" w:rsidRPr="00322BD0" w:rsidRDefault="001B28CE" w:rsidP="00704F9F">
      <w:pPr>
        <w:spacing w:after="0" w:line="240" w:lineRule="auto"/>
        <w:ind w:firstLine="0"/>
        <w:jc w:val="center"/>
        <w:rPr>
          <w:rFonts w:ascii="Cambria" w:hAnsi="Cambria"/>
          <w:b/>
          <w:i/>
          <w:sz w:val="16"/>
          <w:szCs w:val="16"/>
          <w:lang w:val="en-GB"/>
        </w:rPr>
      </w:pPr>
    </w:p>
    <w:tbl>
      <w:tblPr>
        <w:tblW w:w="933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368"/>
        <w:gridCol w:w="1479"/>
        <w:gridCol w:w="1497"/>
        <w:gridCol w:w="1500"/>
        <w:gridCol w:w="1489"/>
      </w:tblGrid>
      <w:tr w:rsidR="00CC564F" w:rsidRPr="00322BD0" w:rsidTr="00CC564F">
        <w:trPr>
          <w:trHeight w:val="251"/>
          <w:tblCellSpacing w:w="20" w:type="dxa"/>
          <w:jc w:val="center"/>
        </w:trPr>
        <w:tc>
          <w:tcPr>
            <w:tcW w:w="3298" w:type="dxa"/>
            <w:shd w:val="clear" w:color="auto" w:fill="D1DEEE" w:themeFill="accent2" w:themeFillTint="33"/>
            <w:noWrap/>
            <w:vAlign w:val="center"/>
            <w:hideMark/>
          </w:tcPr>
          <w:p w:rsidR="00CC564F" w:rsidRPr="00322BD0" w:rsidRDefault="00CC564F" w:rsidP="00A74D4E">
            <w:pPr>
              <w:spacing w:after="0" w:line="240" w:lineRule="auto"/>
              <w:ind w:firstLine="0"/>
              <w:jc w:val="both"/>
              <w:rPr>
                <w:rFonts w:ascii="Cambria" w:eastAsia="Times New Roman" w:hAnsi="Cambria" w:cs="Times New Roman"/>
                <w:b/>
                <w:bCs/>
                <w:sz w:val="20"/>
                <w:szCs w:val="20"/>
                <w:lang w:val="en-GB"/>
              </w:rPr>
            </w:pPr>
            <w:r w:rsidRPr="00322BD0">
              <w:rPr>
                <w:rFonts w:ascii="Cambria" w:eastAsia="Times New Roman" w:hAnsi="Cambria" w:cs="Times New Roman"/>
                <w:b/>
                <w:bCs/>
                <w:sz w:val="20"/>
                <w:szCs w:val="20"/>
                <w:lang w:val="en-GB"/>
              </w:rPr>
              <w:t> </w:t>
            </w:r>
          </w:p>
        </w:tc>
        <w:tc>
          <w:tcPr>
            <w:tcW w:w="1441" w:type="dxa"/>
            <w:shd w:val="clear" w:color="auto" w:fill="D1DEEE" w:themeFill="accent2" w:themeFillTint="33"/>
            <w:vAlign w:val="center"/>
          </w:tcPr>
          <w:p w:rsidR="00CC564F" w:rsidRPr="00322BD0" w:rsidRDefault="00CC564F" w:rsidP="003443FC">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2013</w:t>
            </w:r>
          </w:p>
        </w:tc>
        <w:tc>
          <w:tcPr>
            <w:tcW w:w="1460" w:type="dxa"/>
            <w:shd w:val="clear" w:color="auto" w:fill="D1DEEE" w:themeFill="accent2" w:themeFillTint="33"/>
            <w:vAlign w:val="center"/>
          </w:tcPr>
          <w:p w:rsidR="00CC564F" w:rsidRPr="00322BD0" w:rsidRDefault="00CC564F" w:rsidP="003443FC">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2014</w:t>
            </w:r>
          </w:p>
        </w:tc>
        <w:tc>
          <w:tcPr>
            <w:tcW w:w="1463" w:type="dxa"/>
            <w:shd w:val="clear" w:color="auto" w:fill="D1DEEE" w:themeFill="accent2" w:themeFillTint="33"/>
            <w:vAlign w:val="center"/>
          </w:tcPr>
          <w:p w:rsidR="00CC564F" w:rsidRPr="00322BD0" w:rsidRDefault="00CC564F" w:rsidP="003443FC">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2015</w:t>
            </w:r>
          </w:p>
        </w:tc>
        <w:tc>
          <w:tcPr>
            <w:tcW w:w="1431" w:type="dxa"/>
            <w:shd w:val="clear" w:color="auto" w:fill="D1DEEE" w:themeFill="accent2" w:themeFillTint="33"/>
            <w:vAlign w:val="center"/>
          </w:tcPr>
          <w:p w:rsidR="00CC564F" w:rsidRPr="00322BD0" w:rsidRDefault="00CC564F" w:rsidP="003443FC">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2016</w:t>
            </w:r>
          </w:p>
        </w:tc>
      </w:tr>
      <w:tr w:rsidR="00CC564F" w:rsidRPr="00322BD0" w:rsidTr="00CC564F">
        <w:trPr>
          <w:trHeight w:val="158"/>
          <w:tblCellSpacing w:w="20" w:type="dxa"/>
          <w:jc w:val="center"/>
        </w:trPr>
        <w:tc>
          <w:tcPr>
            <w:tcW w:w="3298" w:type="dxa"/>
            <w:shd w:val="clear" w:color="auto" w:fill="auto"/>
            <w:noWrap/>
            <w:vAlign w:val="center"/>
            <w:hideMark/>
          </w:tcPr>
          <w:p w:rsidR="00CC564F" w:rsidRPr="00322BD0" w:rsidRDefault="00CC564F" w:rsidP="006A1736">
            <w:pPr>
              <w:spacing w:after="0" w:line="240" w:lineRule="auto"/>
              <w:ind w:firstLine="0"/>
              <w:rPr>
                <w:rFonts w:ascii="Cambria" w:eastAsia="Times New Roman" w:hAnsi="Cambria" w:cs="Times New Roman"/>
                <w:b/>
                <w:bCs/>
                <w:sz w:val="20"/>
                <w:szCs w:val="20"/>
                <w:lang w:val="en-GB"/>
              </w:rPr>
            </w:pPr>
            <w:r w:rsidRPr="00322BD0">
              <w:rPr>
                <w:rFonts w:ascii="Cambria" w:eastAsia="Times New Roman" w:hAnsi="Cambria" w:cs="Times New Roman"/>
                <w:b/>
                <w:bCs/>
                <w:sz w:val="20"/>
                <w:szCs w:val="20"/>
                <w:lang w:val="en-GB"/>
              </w:rPr>
              <w:t>Planned technological consumption – thousand cm</w:t>
            </w:r>
          </w:p>
        </w:tc>
        <w:tc>
          <w:tcPr>
            <w:tcW w:w="1441" w:type="dxa"/>
            <w:vAlign w:val="center"/>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296.290</w:t>
            </w:r>
          </w:p>
        </w:tc>
        <w:tc>
          <w:tcPr>
            <w:tcW w:w="1460" w:type="dxa"/>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197.600</w:t>
            </w:r>
          </w:p>
        </w:tc>
        <w:tc>
          <w:tcPr>
            <w:tcW w:w="1463" w:type="dxa"/>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173.036</w:t>
            </w:r>
          </w:p>
        </w:tc>
        <w:tc>
          <w:tcPr>
            <w:tcW w:w="1431" w:type="dxa"/>
            <w:vAlign w:val="center"/>
          </w:tcPr>
          <w:p w:rsidR="00CC564F" w:rsidRPr="00322BD0" w:rsidRDefault="00CC564F" w:rsidP="003443FC">
            <w:pPr>
              <w:spacing w:after="0" w:line="240" w:lineRule="auto"/>
              <w:ind w:firstLine="0"/>
              <w:jc w:val="center"/>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119.823</w:t>
            </w:r>
          </w:p>
        </w:tc>
      </w:tr>
      <w:tr w:rsidR="00CC564F" w:rsidRPr="00322BD0" w:rsidTr="00CC564F">
        <w:trPr>
          <w:trHeight w:val="55"/>
          <w:tblCellSpacing w:w="20" w:type="dxa"/>
          <w:jc w:val="center"/>
        </w:trPr>
        <w:tc>
          <w:tcPr>
            <w:tcW w:w="3298" w:type="dxa"/>
            <w:shd w:val="clear" w:color="auto" w:fill="auto"/>
            <w:noWrap/>
            <w:vAlign w:val="center"/>
            <w:hideMark/>
          </w:tcPr>
          <w:p w:rsidR="00CC564F" w:rsidRPr="00322BD0" w:rsidRDefault="00CC564F" w:rsidP="006A1736">
            <w:pPr>
              <w:spacing w:after="0" w:line="240" w:lineRule="auto"/>
              <w:ind w:firstLine="0"/>
              <w:rPr>
                <w:rFonts w:ascii="Cambria" w:eastAsia="Times New Roman" w:hAnsi="Cambria" w:cs="Times New Roman"/>
                <w:b/>
                <w:bCs/>
                <w:sz w:val="20"/>
                <w:szCs w:val="20"/>
                <w:lang w:val="en-GB"/>
              </w:rPr>
            </w:pPr>
            <w:r w:rsidRPr="00322BD0">
              <w:rPr>
                <w:rFonts w:ascii="Cambria" w:eastAsia="Times New Roman" w:hAnsi="Cambria" w:cs="Times New Roman"/>
                <w:b/>
                <w:bCs/>
                <w:sz w:val="20"/>
                <w:szCs w:val="20"/>
                <w:lang w:val="en-GB"/>
              </w:rPr>
              <w:lastRenderedPageBreak/>
              <w:t>Achieved technological consumption – thousand cm</w:t>
            </w:r>
          </w:p>
        </w:tc>
        <w:tc>
          <w:tcPr>
            <w:tcW w:w="1441" w:type="dxa"/>
            <w:vAlign w:val="center"/>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160.140</w:t>
            </w:r>
          </w:p>
        </w:tc>
        <w:tc>
          <w:tcPr>
            <w:tcW w:w="1460" w:type="dxa"/>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96.940</w:t>
            </w:r>
          </w:p>
        </w:tc>
        <w:tc>
          <w:tcPr>
            <w:tcW w:w="1463" w:type="dxa"/>
          </w:tcPr>
          <w:p w:rsidR="00CC564F" w:rsidRPr="00322BD0" w:rsidRDefault="00CC564F" w:rsidP="003443FC">
            <w:pPr>
              <w:spacing w:after="0" w:line="240" w:lineRule="auto"/>
              <w:ind w:firstLine="0"/>
              <w:jc w:val="right"/>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88.103</w:t>
            </w:r>
          </w:p>
        </w:tc>
        <w:tc>
          <w:tcPr>
            <w:tcW w:w="1431" w:type="dxa"/>
            <w:vAlign w:val="center"/>
          </w:tcPr>
          <w:p w:rsidR="00CC564F" w:rsidRPr="00322BD0" w:rsidRDefault="00CC564F" w:rsidP="003443FC">
            <w:pPr>
              <w:spacing w:after="0" w:line="240" w:lineRule="auto"/>
              <w:ind w:firstLine="0"/>
              <w:jc w:val="center"/>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108.874</w:t>
            </w:r>
          </w:p>
        </w:tc>
      </w:tr>
    </w:tbl>
    <w:p w:rsidR="00FF014E" w:rsidRPr="00322BD0" w:rsidRDefault="00FF014E" w:rsidP="00F61859">
      <w:pPr>
        <w:spacing w:after="0" w:line="240" w:lineRule="auto"/>
        <w:ind w:firstLine="0"/>
        <w:jc w:val="center"/>
        <w:rPr>
          <w:rFonts w:ascii="Cambria" w:hAnsi="Cambria"/>
          <w:b/>
          <w:i/>
          <w:sz w:val="16"/>
          <w:szCs w:val="16"/>
          <w:lang w:val="en-GB"/>
        </w:rPr>
      </w:pPr>
    </w:p>
    <w:p w:rsidR="00FF014E" w:rsidRPr="00322BD0" w:rsidRDefault="00F262E2" w:rsidP="00F61859">
      <w:pPr>
        <w:spacing w:after="0" w:line="240" w:lineRule="auto"/>
        <w:ind w:firstLine="0"/>
        <w:jc w:val="center"/>
        <w:rPr>
          <w:rFonts w:ascii="Cambria" w:hAnsi="Cambria"/>
          <w:b/>
          <w:i/>
          <w:sz w:val="16"/>
          <w:szCs w:val="16"/>
          <w:lang w:val="en-GB"/>
        </w:rPr>
      </w:pPr>
      <w:r>
        <w:rPr>
          <w:rFonts w:ascii="Cambria" w:hAnsi="Cambria"/>
          <w:b/>
          <w:i/>
          <w:sz w:val="16"/>
          <w:szCs w:val="16"/>
          <w:lang w:val="en-GB"/>
        </w:rPr>
        <w:t xml:space="preserve">Table </w:t>
      </w:r>
      <w:r w:rsidR="00CC564F" w:rsidRPr="00322BD0">
        <w:rPr>
          <w:rFonts w:ascii="Cambria" w:hAnsi="Cambria"/>
          <w:b/>
          <w:i/>
          <w:sz w:val="16"/>
          <w:szCs w:val="16"/>
          <w:lang w:val="en-GB"/>
        </w:rPr>
        <w:t xml:space="preserve">3 </w:t>
      </w:r>
      <w:r w:rsidR="00A87049" w:rsidRPr="00322BD0">
        <w:rPr>
          <w:rFonts w:ascii="Cambria" w:hAnsi="Cambria"/>
          <w:b/>
          <w:i/>
          <w:sz w:val="16"/>
          <w:szCs w:val="16"/>
          <w:lang w:val="en-GB"/>
        </w:rPr>
        <w:t xml:space="preserve">– </w:t>
      </w:r>
      <w:r w:rsidR="001813FA" w:rsidRPr="00322BD0">
        <w:rPr>
          <w:rFonts w:ascii="Cambria" w:hAnsi="Cambria"/>
          <w:b/>
          <w:i/>
          <w:sz w:val="16"/>
          <w:szCs w:val="16"/>
          <w:lang w:val="en-GB"/>
        </w:rPr>
        <w:t>Technological consumption gas vo</w:t>
      </w:r>
      <w:r>
        <w:rPr>
          <w:rFonts w:ascii="Cambria" w:hAnsi="Cambria"/>
          <w:b/>
          <w:i/>
          <w:sz w:val="16"/>
          <w:szCs w:val="16"/>
          <w:lang w:val="en-GB"/>
        </w:rPr>
        <w:t>lumes achieved vs. planned betwee</w:t>
      </w:r>
      <w:r w:rsidR="001813FA" w:rsidRPr="00322BD0">
        <w:rPr>
          <w:rFonts w:ascii="Cambria" w:hAnsi="Cambria"/>
          <w:b/>
          <w:i/>
          <w:sz w:val="16"/>
          <w:szCs w:val="16"/>
          <w:lang w:val="en-GB"/>
        </w:rPr>
        <w:t>n 2013 - 2016</w:t>
      </w:r>
      <w:r w:rsidR="00F61859" w:rsidRPr="00322BD0">
        <w:rPr>
          <w:rFonts w:ascii="Cambria" w:hAnsi="Cambria"/>
          <w:b/>
          <w:i/>
          <w:sz w:val="16"/>
          <w:szCs w:val="16"/>
          <w:lang w:val="en-GB"/>
        </w:rPr>
        <w:t xml:space="preserve"> </w:t>
      </w:r>
    </w:p>
    <w:p w:rsidR="009762E7" w:rsidRPr="00322BD0" w:rsidRDefault="009762E7" w:rsidP="00F61859">
      <w:pPr>
        <w:spacing w:after="0" w:line="240" w:lineRule="auto"/>
        <w:ind w:firstLine="0"/>
        <w:jc w:val="center"/>
        <w:rPr>
          <w:rFonts w:ascii="Cambria" w:hAnsi="Cambria"/>
          <w:b/>
          <w:i/>
          <w:sz w:val="16"/>
          <w:szCs w:val="16"/>
          <w:lang w:val="en-GB"/>
        </w:rPr>
      </w:pPr>
    </w:p>
    <w:p w:rsidR="009762E7" w:rsidRPr="00322BD0" w:rsidRDefault="001813FA" w:rsidP="00F61859">
      <w:pPr>
        <w:spacing w:after="0" w:line="240" w:lineRule="auto"/>
        <w:ind w:firstLine="0"/>
        <w:jc w:val="center"/>
        <w:rPr>
          <w:rFonts w:ascii="Cambria" w:hAnsi="Cambria"/>
          <w:b/>
          <w:i/>
          <w:sz w:val="16"/>
          <w:szCs w:val="16"/>
          <w:lang w:val="en-GB"/>
        </w:rPr>
      </w:pPr>
      <w:r w:rsidRPr="00322BD0">
        <w:rPr>
          <w:noProof/>
          <w:lang w:val="ro-RO" w:eastAsia="ro-RO"/>
        </w:rPr>
        <w:drawing>
          <wp:inline distT="0" distB="0" distL="0" distR="0" wp14:anchorId="1EADFD99" wp14:editId="13E69BAB">
            <wp:extent cx="4572000" cy="1966913"/>
            <wp:effectExtent l="0" t="0" r="0" b="14605"/>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87049" w:rsidRPr="00322BD0" w:rsidRDefault="00A87049" w:rsidP="00A87049">
      <w:pPr>
        <w:spacing w:after="0" w:line="240" w:lineRule="auto"/>
        <w:ind w:firstLine="0"/>
        <w:rPr>
          <w:rFonts w:ascii="Cambria" w:hAnsi="Cambria"/>
          <w:b/>
          <w:i/>
          <w:sz w:val="16"/>
          <w:szCs w:val="16"/>
          <w:lang w:val="en-GB"/>
        </w:rPr>
      </w:pPr>
    </w:p>
    <w:p w:rsidR="009762E7" w:rsidRPr="00322BD0" w:rsidRDefault="003955A2" w:rsidP="009762E7">
      <w:pPr>
        <w:spacing w:after="0" w:line="240" w:lineRule="auto"/>
        <w:jc w:val="center"/>
        <w:rPr>
          <w:rFonts w:ascii="Cambria" w:hAnsi="Cambria"/>
          <w:b/>
          <w:i/>
          <w:sz w:val="16"/>
          <w:szCs w:val="16"/>
          <w:lang w:val="en-GB"/>
        </w:rPr>
      </w:pPr>
      <w:r w:rsidRPr="00322BD0">
        <w:rPr>
          <w:rFonts w:ascii="Cambria" w:hAnsi="Cambria"/>
          <w:b/>
          <w:i/>
          <w:sz w:val="16"/>
          <w:szCs w:val="16"/>
          <w:lang w:val="en-GB"/>
        </w:rPr>
        <w:t>Chart</w:t>
      </w:r>
      <w:r w:rsidR="009762E7" w:rsidRPr="00322BD0">
        <w:rPr>
          <w:rFonts w:ascii="Cambria" w:hAnsi="Cambria"/>
          <w:b/>
          <w:i/>
          <w:sz w:val="16"/>
          <w:szCs w:val="16"/>
          <w:lang w:val="en-GB"/>
        </w:rPr>
        <w:t xml:space="preserve"> 4 – Evolu</w:t>
      </w:r>
      <w:r w:rsidRPr="00322BD0">
        <w:rPr>
          <w:rFonts w:ascii="Cambria" w:hAnsi="Cambria"/>
          <w:b/>
          <w:i/>
          <w:sz w:val="16"/>
          <w:szCs w:val="16"/>
          <w:lang w:val="en-GB"/>
        </w:rPr>
        <w:t>tion of achieved vs. pl</w:t>
      </w:r>
      <w:r w:rsidR="001813FA" w:rsidRPr="00322BD0">
        <w:rPr>
          <w:rFonts w:ascii="Cambria" w:hAnsi="Cambria"/>
          <w:b/>
          <w:i/>
          <w:sz w:val="16"/>
          <w:szCs w:val="16"/>
          <w:lang w:val="en-GB"/>
        </w:rPr>
        <w:t>anned technological gas for 2016vs.2015</w:t>
      </w:r>
    </w:p>
    <w:p w:rsidR="00FF014E" w:rsidRPr="00322BD0" w:rsidRDefault="00FF014E" w:rsidP="00050795">
      <w:pPr>
        <w:spacing w:after="0" w:line="240" w:lineRule="auto"/>
        <w:ind w:firstLine="0"/>
        <w:jc w:val="center"/>
        <w:rPr>
          <w:rFonts w:ascii="Cambria" w:hAnsi="Cambria"/>
          <w:b/>
          <w:i/>
          <w:sz w:val="16"/>
          <w:szCs w:val="16"/>
          <w:lang w:val="en-GB"/>
        </w:rPr>
      </w:pPr>
    </w:p>
    <w:p w:rsidR="009762E7" w:rsidRPr="00322BD0" w:rsidRDefault="00440A7E" w:rsidP="009762E7">
      <w:pPr>
        <w:tabs>
          <w:tab w:val="left" w:pos="2295"/>
        </w:tabs>
        <w:spacing w:after="0" w:line="240" w:lineRule="auto"/>
        <w:jc w:val="center"/>
        <w:rPr>
          <w:rFonts w:ascii="Cambria" w:hAnsi="Cambria"/>
          <w:b/>
          <w:i/>
          <w:sz w:val="16"/>
          <w:szCs w:val="16"/>
          <w:lang w:val="en-GB"/>
        </w:rPr>
      </w:pPr>
      <w:r w:rsidRPr="00322BD0">
        <w:rPr>
          <w:noProof/>
          <w:lang w:val="ro-RO" w:eastAsia="ro-RO"/>
        </w:rPr>
        <w:drawing>
          <wp:inline distT="0" distB="0" distL="0" distR="0" wp14:anchorId="10EEB4BC" wp14:editId="309839F5">
            <wp:extent cx="4752975" cy="1590675"/>
            <wp:effectExtent l="0" t="0" r="0" b="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9762E7" w:rsidRPr="00322BD0">
        <w:rPr>
          <w:rFonts w:ascii="Cambria" w:hAnsi="Cambria"/>
          <w:b/>
          <w:i/>
          <w:sz w:val="16"/>
          <w:szCs w:val="16"/>
          <w:lang w:val="en-GB"/>
        </w:rPr>
        <w:t xml:space="preserve"> </w:t>
      </w:r>
    </w:p>
    <w:p w:rsidR="009762E7" w:rsidRPr="00322BD0" w:rsidRDefault="003955A2" w:rsidP="009762E7">
      <w:pPr>
        <w:tabs>
          <w:tab w:val="left" w:pos="2295"/>
        </w:tabs>
        <w:spacing w:after="0" w:line="240" w:lineRule="auto"/>
        <w:jc w:val="center"/>
        <w:rPr>
          <w:rFonts w:ascii="Cambria" w:hAnsi="Cambria"/>
          <w:b/>
          <w:i/>
          <w:sz w:val="16"/>
          <w:szCs w:val="16"/>
          <w:lang w:val="en-GB"/>
        </w:rPr>
      </w:pPr>
      <w:r w:rsidRPr="00322BD0">
        <w:rPr>
          <w:rFonts w:ascii="Cambria" w:hAnsi="Cambria"/>
          <w:b/>
          <w:i/>
          <w:sz w:val="16"/>
          <w:szCs w:val="16"/>
          <w:lang w:val="en-GB"/>
        </w:rPr>
        <w:t>Chart</w:t>
      </w:r>
      <w:r w:rsidR="009762E7" w:rsidRPr="00322BD0">
        <w:rPr>
          <w:rFonts w:ascii="Cambria" w:hAnsi="Cambria"/>
          <w:b/>
          <w:i/>
          <w:sz w:val="16"/>
          <w:szCs w:val="16"/>
          <w:lang w:val="en-GB"/>
        </w:rPr>
        <w:t xml:space="preserve"> 5– </w:t>
      </w:r>
      <w:r w:rsidRPr="00322BD0">
        <w:rPr>
          <w:rFonts w:ascii="Cambria" w:hAnsi="Cambria"/>
          <w:b/>
          <w:i/>
          <w:sz w:val="16"/>
          <w:szCs w:val="16"/>
          <w:lang w:val="en-GB"/>
        </w:rPr>
        <w:t>Level of reduction of technological</w:t>
      </w:r>
      <w:r w:rsidR="00322BD0" w:rsidRPr="00322BD0">
        <w:rPr>
          <w:rFonts w:ascii="Cambria" w:hAnsi="Cambria"/>
          <w:b/>
          <w:i/>
          <w:sz w:val="16"/>
          <w:szCs w:val="16"/>
          <w:lang w:val="en-GB"/>
        </w:rPr>
        <w:t xml:space="preserve"> consumption </w:t>
      </w:r>
      <w:r w:rsidR="009762E7" w:rsidRPr="00322BD0">
        <w:rPr>
          <w:rFonts w:ascii="Cambria" w:hAnsi="Cambria"/>
          <w:b/>
          <w:i/>
          <w:sz w:val="16"/>
          <w:szCs w:val="16"/>
          <w:lang w:val="en-GB"/>
        </w:rPr>
        <w:t>–</w:t>
      </w:r>
      <w:r w:rsidRPr="00322BD0">
        <w:rPr>
          <w:rFonts w:ascii="Cambria" w:hAnsi="Cambria"/>
          <w:b/>
          <w:i/>
          <w:sz w:val="16"/>
          <w:szCs w:val="16"/>
          <w:lang w:val="en-GB"/>
        </w:rPr>
        <w:t xml:space="preserve">total achieved vs. total planned in </w:t>
      </w:r>
      <w:r w:rsidR="00322BD0" w:rsidRPr="00322BD0">
        <w:rPr>
          <w:rFonts w:ascii="Cambria" w:hAnsi="Cambria"/>
          <w:b/>
          <w:i/>
          <w:sz w:val="16"/>
          <w:szCs w:val="16"/>
          <w:lang w:val="en-GB"/>
        </w:rPr>
        <w:t>2016</w:t>
      </w:r>
    </w:p>
    <w:p w:rsidR="009762E7" w:rsidRPr="00322BD0" w:rsidRDefault="009762E7" w:rsidP="00050795">
      <w:pPr>
        <w:spacing w:after="0" w:line="240" w:lineRule="auto"/>
        <w:ind w:firstLine="0"/>
        <w:jc w:val="center"/>
        <w:rPr>
          <w:rFonts w:ascii="Cambria" w:hAnsi="Cambria"/>
          <w:b/>
          <w:i/>
          <w:sz w:val="16"/>
          <w:szCs w:val="16"/>
          <w:lang w:val="en-GB"/>
        </w:rPr>
      </w:pPr>
    </w:p>
    <w:p w:rsidR="007279C4" w:rsidRPr="00322BD0" w:rsidRDefault="007279C4" w:rsidP="007279C4">
      <w:pPr>
        <w:spacing w:after="0" w:line="240" w:lineRule="auto"/>
        <w:ind w:firstLine="0"/>
        <w:jc w:val="both"/>
        <w:rPr>
          <w:rFonts w:ascii="Cambria" w:eastAsia="Calibri" w:hAnsi="Cambria" w:cs="Times New Roman"/>
          <w:b/>
          <w:sz w:val="24"/>
          <w:lang w:val="en-GB" w:eastAsia="en-US"/>
        </w:rPr>
      </w:pPr>
    </w:p>
    <w:p w:rsidR="00322BD0" w:rsidRPr="00322BD0" w:rsidRDefault="00322BD0" w:rsidP="00322BD0">
      <w:pPr>
        <w:spacing w:after="0" w:line="240" w:lineRule="auto"/>
        <w:ind w:left="7200" w:firstLine="0"/>
        <w:rPr>
          <w:rFonts w:asciiTheme="majorHAnsi" w:eastAsia="Calibri" w:hAnsiTheme="majorHAnsi" w:cs="Times New Roman"/>
          <w:b/>
          <w:i/>
          <w:sz w:val="16"/>
          <w:szCs w:val="16"/>
          <w:lang w:val="en-GB" w:eastAsia="en-US"/>
        </w:rPr>
      </w:pPr>
      <w:r w:rsidRPr="00322BD0">
        <w:rPr>
          <w:rFonts w:asciiTheme="majorHAnsi" w:eastAsia="Times New Roman" w:hAnsiTheme="majorHAnsi" w:cs="Times New Roman"/>
          <w:b/>
          <w:bCs/>
          <w:sz w:val="18"/>
          <w:szCs w:val="18"/>
          <w:lang w:val="en-GB" w:eastAsia="en-US"/>
        </w:rPr>
        <w:t>(</w:t>
      </w:r>
      <w:r w:rsidR="00F262E2" w:rsidRPr="00322BD0">
        <w:rPr>
          <w:rFonts w:asciiTheme="majorHAnsi" w:eastAsia="Times New Roman" w:hAnsiTheme="majorHAnsi" w:cs="Times New Roman"/>
          <w:b/>
          <w:bCs/>
          <w:sz w:val="18"/>
          <w:szCs w:val="18"/>
          <w:lang w:val="en-GB" w:eastAsia="en-US"/>
        </w:rPr>
        <w:t>Thousand</w:t>
      </w:r>
      <w:r w:rsidRPr="00322BD0">
        <w:rPr>
          <w:rFonts w:asciiTheme="majorHAnsi" w:eastAsia="Times New Roman" w:hAnsiTheme="majorHAnsi" w:cs="Times New Roman"/>
          <w:b/>
          <w:bCs/>
          <w:sz w:val="18"/>
          <w:szCs w:val="18"/>
          <w:lang w:val="en-GB" w:eastAsia="en-US"/>
        </w:rPr>
        <w:t xml:space="preserve"> c</w:t>
      </w:r>
      <w:r w:rsidR="008346BD">
        <w:rPr>
          <w:rFonts w:asciiTheme="majorHAnsi" w:eastAsia="Times New Roman" w:hAnsiTheme="majorHAnsi" w:cs="Times New Roman"/>
          <w:b/>
          <w:bCs/>
          <w:sz w:val="18"/>
          <w:szCs w:val="18"/>
          <w:lang w:val="en-GB" w:eastAsia="en-US"/>
        </w:rPr>
        <w:t>m</w:t>
      </w:r>
      <w:r w:rsidRPr="00322BD0">
        <w:rPr>
          <w:rFonts w:asciiTheme="majorHAnsi" w:eastAsia="Times New Roman" w:hAnsiTheme="majorHAnsi" w:cs="Times New Roman"/>
          <w:b/>
          <w:bCs/>
          <w:sz w:val="18"/>
          <w:szCs w:val="18"/>
          <w:lang w:val="en-GB" w:eastAsia="en-US"/>
        </w:rPr>
        <w:t>)</w:t>
      </w:r>
    </w:p>
    <w:tbl>
      <w:tblPr>
        <w:tblW w:w="9021"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309"/>
        <w:gridCol w:w="1241"/>
        <w:gridCol w:w="1277"/>
        <w:gridCol w:w="1276"/>
        <w:gridCol w:w="1277"/>
        <w:gridCol w:w="1140"/>
        <w:gridCol w:w="1501"/>
      </w:tblGrid>
      <w:tr w:rsidR="00322BD0" w:rsidRPr="00322BD0" w:rsidTr="000D72D0">
        <w:trPr>
          <w:trHeight w:val="53"/>
          <w:tblCellSpacing w:w="20" w:type="dxa"/>
          <w:jc w:val="center"/>
        </w:trPr>
        <w:tc>
          <w:tcPr>
            <w:tcW w:w="8941" w:type="dxa"/>
            <w:gridSpan w:val="7"/>
            <w:shd w:val="clear" w:color="auto" w:fill="D1DEEE" w:themeFill="accent2" w:themeFillTint="33"/>
            <w:noWrap/>
            <w:vAlign w:val="center"/>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hAnsiTheme="majorHAnsi"/>
                <w:b/>
                <w:sz w:val="20"/>
                <w:szCs w:val="16"/>
                <w:lang w:val="en-GB"/>
              </w:rPr>
              <w:t>Technological consumption gas volumes</w:t>
            </w:r>
            <w:r w:rsidRPr="00322BD0">
              <w:rPr>
                <w:rFonts w:asciiTheme="majorHAnsi" w:eastAsia="Times New Roman" w:hAnsiTheme="majorHAnsi" w:cs="Times New Roman"/>
                <w:b/>
                <w:bCs/>
                <w:sz w:val="24"/>
                <w:szCs w:val="20"/>
                <w:lang w:val="en-GB" w:eastAsia="en-US"/>
              </w:rPr>
              <w:t xml:space="preserve"> </w:t>
            </w:r>
            <w:r w:rsidRPr="00322BD0">
              <w:rPr>
                <w:rFonts w:asciiTheme="majorHAnsi" w:eastAsia="Times New Roman" w:hAnsiTheme="majorHAnsi" w:cs="Times New Roman"/>
                <w:b/>
                <w:bCs/>
                <w:sz w:val="20"/>
                <w:szCs w:val="20"/>
                <w:lang w:val="en-GB" w:eastAsia="en-US"/>
              </w:rPr>
              <w:t>transmitted</w:t>
            </w:r>
            <w:r w:rsidR="000665AD">
              <w:rPr>
                <w:rFonts w:asciiTheme="majorHAnsi" w:eastAsia="Times New Roman" w:hAnsiTheme="majorHAnsi" w:cs="Times New Roman"/>
                <w:b/>
                <w:bCs/>
                <w:sz w:val="20"/>
                <w:szCs w:val="20"/>
                <w:lang w:val="en-GB" w:eastAsia="en-US"/>
              </w:rPr>
              <w:t xml:space="preserve"> in 2016 compared to plan</w:t>
            </w:r>
            <w:r w:rsidR="00F262E2">
              <w:rPr>
                <w:rFonts w:asciiTheme="majorHAnsi" w:eastAsia="Times New Roman" w:hAnsiTheme="majorHAnsi" w:cs="Times New Roman"/>
                <w:b/>
                <w:bCs/>
                <w:sz w:val="20"/>
                <w:szCs w:val="20"/>
                <w:lang w:val="en-GB" w:eastAsia="en-US"/>
              </w:rPr>
              <w:t>n</w:t>
            </w:r>
            <w:r w:rsidR="000665AD">
              <w:rPr>
                <w:rFonts w:asciiTheme="majorHAnsi" w:eastAsia="Times New Roman" w:hAnsiTheme="majorHAnsi" w:cs="Times New Roman"/>
                <w:b/>
                <w:bCs/>
                <w:sz w:val="20"/>
                <w:szCs w:val="20"/>
                <w:lang w:val="en-GB" w:eastAsia="en-US"/>
              </w:rPr>
              <w:t>ed (mo</w:t>
            </w:r>
            <w:r w:rsidRPr="00322BD0">
              <w:rPr>
                <w:rFonts w:asciiTheme="majorHAnsi" w:eastAsia="Times New Roman" w:hAnsiTheme="majorHAnsi" w:cs="Times New Roman"/>
                <w:b/>
                <w:bCs/>
                <w:sz w:val="20"/>
                <w:szCs w:val="20"/>
                <w:lang w:val="en-GB" w:eastAsia="en-US"/>
              </w:rPr>
              <w:t xml:space="preserve">nthly) </w:t>
            </w:r>
          </w:p>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p>
        </w:tc>
      </w:tr>
      <w:tr w:rsidR="00322BD0" w:rsidRPr="00322BD0" w:rsidTr="000D72D0">
        <w:trPr>
          <w:trHeight w:val="183"/>
          <w:tblCellSpacing w:w="20" w:type="dxa"/>
          <w:jc w:val="center"/>
        </w:trPr>
        <w:tc>
          <w:tcPr>
            <w:tcW w:w="1248"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p>
        </w:tc>
        <w:tc>
          <w:tcPr>
            <w:tcW w:w="1201"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January</w:t>
            </w:r>
          </w:p>
        </w:tc>
        <w:tc>
          <w:tcPr>
            <w:tcW w:w="1237"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February</w:t>
            </w:r>
          </w:p>
        </w:tc>
        <w:tc>
          <w:tcPr>
            <w:tcW w:w="1236"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March</w:t>
            </w:r>
          </w:p>
        </w:tc>
        <w:tc>
          <w:tcPr>
            <w:tcW w:w="1237"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April</w:t>
            </w:r>
          </w:p>
        </w:tc>
        <w:tc>
          <w:tcPr>
            <w:tcW w:w="1099"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May</w:t>
            </w:r>
          </w:p>
        </w:tc>
        <w:tc>
          <w:tcPr>
            <w:tcW w:w="1443"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June</w:t>
            </w:r>
          </w:p>
        </w:tc>
      </w:tr>
      <w:tr w:rsidR="00322BD0" w:rsidRPr="00322BD0" w:rsidTr="000D72D0">
        <w:trPr>
          <w:trHeight w:val="78"/>
          <w:tblCellSpacing w:w="20" w:type="dxa"/>
          <w:jc w:val="center"/>
        </w:trPr>
        <w:tc>
          <w:tcPr>
            <w:tcW w:w="1248" w:type="dxa"/>
            <w:shd w:val="clear" w:color="auto" w:fill="auto"/>
            <w:noWrap/>
            <w:vAlign w:val="center"/>
            <w:hideMark/>
          </w:tcPr>
          <w:p w:rsidR="00322BD0" w:rsidRPr="00322BD0" w:rsidRDefault="00322BD0" w:rsidP="000D72D0">
            <w:pPr>
              <w:spacing w:after="0" w:line="240" w:lineRule="auto"/>
              <w:ind w:firstLine="0"/>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 xml:space="preserve">PLANED </w:t>
            </w:r>
          </w:p>
        </w:tc>
        <w:tc>
          <w:tcPr>
            <w:tcW w:w="1201" w:type="dxa"/>
            <w:shd w:val="clear" w:color="auto" w:fill="auto"/>
            <w:noWrap/>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13.419</w:t>
            </w:r>
          </w:p>
        </w:tc>
        <w:tc>
          <w:tcPr>
            <w:tcW w:w="1237" w:type="dxa"/>
            <w:shd w:val="clear" w:color="auto" w:fill="auto"/>
            <w:noWrap/>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11.763</w:t>
            </w:r>
          </w:p>
        </w:tc>
        <w:tc>
          <w:tcPr>
            <w:tcW w:w="1236" w:type="dxa"/>
            <w:shd w:val="clear" w:color="auto" w:fill="auto"/>
            <w:noWrap/>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10.218</w:t>
            </w:r>
          </w:p>
        </w:tc>
        <w:tc>
          <w:tcPr>
            <w:tcW w:w="1237" w:type="dxa"/>
            <w:shd w:val="clear" w:color="auto" w:fill="auto"/>
            <w:noWrap/>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7.955</w:t>
            </w:r>
          </w:p>
        </w:tc>
        <w:tc>
          <w:tcPr>
            <w:tcW w:w="1099" w:type="dxa"/>
            <w:shd w:val="clear" w:color="auto" w:fill="auto"/>
            <w:noWrap/>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5.085</w:t>
            </w:r>
          </w:p>
        </w:tc>
        <w:tc>
          <w:tcPr>
            <w:tcW w:w="1443" w:type="dxa"/>
            <w:shd w:val="clear" w:color="auto" w:fill="auto"/>
            <w:noWrap/>
            <w:vAlign w:val="center"/>
            <w:hideMark/>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4.421</w:t>
            </w:r>
          </w:p>
        </w:tc>
      </w:tr>
      <w:tr w:rsidR="00322BD0" w:rsidRPr="00322BD0" w:rsidTr="000D72D0">
        <w:trPr>
          <w:trHeight w:val="190"/>
          <w:tblCellSpacing w:w="20" w:type="dxa"/>
          <w:jc w:val="center"/>
        </w:trPr>
        <w:tc>
          <w:tcPr>
            <w:tcW w:w="1248" w:type="dxa"/>
            <w:shd w:val="clear" w:color="auto" w:fill="auto"/>
            <w:noWrap/>
            <w:vAlign w:val="center"/>
            <w:hideMark/>
          </w:tcPr>
          <w:p w:rsidR="00322BD0" w:rsidRPr="00322BD0" w:rsidRDefault="00322BD0" w:rsidP="000D72D0">
            <w:pPr>
              <w:spacing w:after="0" w:line="240" w:lineRule="auto"/>
              <w:ind w:firstLine="0"/>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 xml:space="preserve">ACHIEVED </w:t>
            </w:r>
          </w:p>
        </w:tc>
        <w:tc>
          <w:tcPr>
            <w:tcW w:w="1201"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18.656</w:t>
            </w:r>
          </w:p>
        </w:tc>
        <w:tc>
          <w:tcPr>
            <w:tcW w:w="1237"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11.428</w:t>
            </w:r>
          </w:p>
        </w:tc>
        <w:tc>
          <w:tcPr>
            <w:tcW w:w="1236"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10.346</w:t>
            </w:r>
          </w:p>
        </w:tc>
        <w:tc>
          <w:tcPr>
            <w:tcW w:w="1237"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6.481</w:t>
            </w:r>
          </w:p>
        </w:tc>
        <w:tc>
          <w:tcPr>
            <w:tcW w:w="1099"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7.186</w:t>
            </w:r>
          </w:p>
        </w:tc>
        <w:tc>
          <w:tcPr>
            <w:tcW w:w="1443" w:type="dxa"/>
            <w:shd w:val="clear" w:color="auto" w:fill="auto"/>
            <w:noWrap/>
            <w:vAlign w:val="center"/>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11.277</w:t>
            </w:r>
          </w:p>
        </w:tc>
      </w:tr>
    </w:tbl>
    <w:p w:rsidR="00322BD0" w:rsidRPr="00322BD0" w:rsidRDefault="00322BD0" w:rsidP="00322BD0">
      <w:pPr>
        <w:spacing w:after="0" w:line="240" w:lineRule="auto"/>
        <w:ind w:firstLine="0"/>
        <w:rPr>
          <w:rFonts w:asciiTheme="majorHAnsi" w:eastAsia="Times New Roman" w:hAnsiTheme="majorHAnsi" w:cs="Times New Roman"/>
          <w:b/>
          <w:bCs/>
          <w:sz w:val="18"/>
          <w:szCs w:val="18"/>
          <w:lang w:val="en-GB" w:eastAsia="en-US"/>
        </w:rPr>
      </w:pPr>
      <w:r w:rsidRPr="00322BD0">
        <w:rPr>
          <w:rFonts w:asciiTheme="majorHAnsi" w:eastAsia="Times New Roman" w:hAnsiTheme="majorHAnsi" w:cs="Times New Roman"/>
          <w:b/>
          <w:bCs/>
          <w:sz w:val="18"/>
          <w:szCs w:val="18"/>
          <w:lang w:val="en-GB" w:eastAsia="en-US"/>
        </w:rPr>
        <w:t xml:space="preserve">                                                                                                                                                                                              </w:t>
      </w:r>
    </w:p>
    <w:p w:rsidR="00322BD0" w:rsidRPr="00322BD0" w:rsidRDefault="00F262E2" w:rsidP="00322BD0">
      <w:pPr>
        <w:spacing w:after="0" w:line="240" w:lineRule="auto"/>
        <w:ind w:left="7200" w:firstLine="0"/>
        <w:rPr>
          <w:rFonts w:asciiTheme="majorHAnsi" w:eastAsia="Calibri" w:hAnsiTheme="majorHAnsi" w:cs="Times New Roman"/>
          <w:b/>
          <w:i/>
          <w:sz w:val="16"/>
          <w:szCs w:val="16"/>
          <w:lang w:val="en-GB" w:eastAsia="en-US"/>
        </w:rPr>
      </w:pPr>
      <w:r>
        <w:rPr>
          <w:rFonts w:asciiTheme="majorHAnsi" w:eastAsia="Times New Roman" w:hAnsiTheme="majorHAnsi" w:cs="Times New Roman"/>
          <w:b/>
          <w:bCs/>
          <w:sz w:val="18"/>
          <w:szCs w:val="18"/>
          <w:lang w:val="en-GB" w:eastAsia="en-US"/>
        </w:rPr>
        <w:t xml:space="preserve">(Thousand </w:t>
      </w:r>
      <w:r w:rsidR="00322BD0" w:rsidRPr="00322BD0">
        <w:rPr>
          <w:rFonts w:asciiTheme="majorHAnsi" w:eastAsia="Times New Roman" w:hAnsiTheme="majorHAnsi" w:cs="Times New Roman"/>
          <w:b/>
          <w:bCs/>
          <w:sz w:val="18"/>
          <w:szCs w:val="18"/>
          <w:lang w:val="en-GB" w:eastAsia="en-US"/>
        </w:rPr>
        <w:t>c</w:t>
      </w:r>
      <w:r>
        <w:rPr>
          <w:rFonts w:asciiTheme="majorHAnsi" w:eastAsia="Times New Roman" w:hAnsiTheme="majorHAnsi" w:cs="Times New Roman"/>
          <w:b/>
          <w:bCs/>
          <w:sz w:val="18"/>
          <w:szCs w:val="18"/>
          <w:lang w:val="en-GB" w:eastAsia="en-US"/>
        </w:rPr>
        <w:t>m</w:t>
      </w:r>
      <w:r w:rsidR="00322BD0" w:rsidRPr="00322BD0">
        <w:rPr>
          <w:rFonts w:asciiTheme="majorHAnsi" w:eastAsia="Times New Roman" w:hAnsiTheme="majorHAnsi" w:cs="Times New Roman"/>
          <w:b/>
          <w:bCs/>
          <w:sz w:val="18"/>
          <w:szCs w:val="18"/>
          <w:lang w:val="en-GB" w:eastAsia="en-US"/>
        </w:rPr>
        <w:t>)</w:t>
      </w:r>
    </w:p>
    <w:tbl>
      <w:tblPr>
        <w:tblW w:w="948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343"/>
        <w:gridCol w:w="1159"/>
        <w:gridCol w:w="1160"/>
        <w:gridCol w:w="1289"/>
        <w:gridCol w:w="1141"/>
        <w:gridCol w:w="1243"/>
        <w:gridCol w:w="1228"/>
        <w:gridCol w:w="992"/>
      </w:tblGrid>
      <w:tr w:rsidR="00322BD0" w:rsidRPr="00322BD0" w:rsidTr="00322BD0">
        <w:trPr>
          <w:trHeight w:val="53"/>
          <w:tblCellSpacing w:w="20" w:type="dxa"/>
          <w:jc w:val="center"/>
        </w:trPr>
        <w:tc>
          <w:tcPr>
            <w:tcW w:w="9405" w:type="dxa"/>
            <w:gridSpan w:val="8"/>
            <w:shd w:val="clear" w:color="auto" w:fill="D1DEEE" w:themeFill="accent2" w:themeFillTint="33"/>
            <w:noWrap/>
            <w:vAlign w:val="center"/>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hAnsiTheme="majorHAnsi"/>
                <w:b/>
                <w:sz w:val="20"/>
                <w:szCs w:val="16"/>
                <w:lang w:val="en-GB"/>
              </w:rPr>
              <w:t>Technological consumption gas volumes</w:t>
            </w:r>
            <w:r w:rsidRPr="00322BD0">
              <w:rPr>
                <w:rFonts w:asciiTheme="majorHAnsi" w:eastAsia="Times New Roman" w:hAnsiTheme="majorHAnsi" w:cs="Times New Roman"/>
                <w:b/>
                <w:bCs/>
                <w:sz w:val="24"/>
                <w:szCs w:val="20"/>
                <w:lang w:val="en-GB" w:eastAsia="en-US"/>
              </w:rPr>
              <w:t xml:space="preserve"> </w:t>
            </w:r>
            <w:r w:rsidRPr="00322BD0">
              <w:rPr>
                <w:rFonts w:asciiTheme="majorHAnsi" w:eastAsia="Times New Roman" w:hAnsiTheme="majorHAnsi" w:cs="Times New Roman"/>
                <w:b/>
                <w:bCs/>
                <w:sz w:val="20"/>
                <w:szCs w:val="20"/>
                <w:lang w:val="en-GB" w:eastAsia="en-US"/>
              </w:rPr>
              <w:t>transmitted</w:t>
            </w:r>
            <w:r w:rsidR="000665AD">
              <w:rPr>
                <w:rFonts w:asciiTheme="majorHAnsi" w:eastAsia="Times New Roman" w:hAnsiTheme="majorHAnsi" w:cs="Times New Roman"/>
                <w:b/>
                <w:bCs/>
                <w:sz w:val="20"/>
                <w:szCs w:val="20"/>
                <w:lang w:val="en-GB" w:eastAsia="en-US"/>
              </w:rPr>
              <w:t xml:space="preserve"> in 2016 compared to plan</w:t>
            </w:r>
            <w:r w:rsidR="00F262E2">
              <w:rPr>
                <w:rFonts w:asciiTheme="majorHAnsi" w:eastAsia="Times New Roman" w:hAnsiTheme="majorHAnsi" w:cs="Times New Roman"/>
                <w:b/>
                <w:bCs/>
                <w:sz w:val="20"/>
                <w:szCs w:val="20"/>
                <w:lang w:val="en-GB" w:eastAsia="en-US"/>
              </w:rPr>
              <w:t>n</w:t>
            </w:r>
            <w:r w:rsidR="000665AD">
              <w:rPr>
                <w:rFonts w:asciiTheme="majorHAnsi" w:eastAsia="Times New Roman" w:hAnsiTheme="majorHAnsi" w:cs="Times New Roman"/>
                <w:b/>
                <w:bCs/>
                <w:sz w:val="20"/>
                <w:szCs w:val="20"/>
                <w:lang w:val="en-GB" w:eastAsia="en-US"/>
              </w:rPr>
              <w:t>ed (mo</w:t>
            </w:r>
            <w:r w:rsidRPr="00322BD0">
              <w:rPr>
                <w:rFonts w:asciiTheme="majorHAnsi" w:eastAsia="Times New Roman" w:hAnsiTheme="majorHAnsi" w:cs="Times New Roman"/>
                <w:b/>
                <w:bCs/>
                <w:sz w:val="20"/>
                <w:szCs w:val="20"/>
                <w:lang w:val="en-GB" w:eastAsia="en-US"/>
              </w:rPr>
              <w:t xml:space="preserve">nthly) </w:t>
            </w:r>
          </w:p>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p>
        </w:tc>
      </w:tr>
      <w:tr w:rsidR="00322BD0" w:rsidRPr="00322BD0" w:rsidTr="00322BD0">
        <w:trPr>
          <w:trHeight w:val="183"/>
          <w:tblCellSpacing w:w="20" w:type="dxa"/>
          <w:jc w:val="center"/>
        </w:trPr>
        <w:tc>
          <w:tcPr>
            <w:tcW w:w="1273"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p>
        </w:tc>
        <w:tc>
          <w:tcPr>
            <w:tcW w:w="1109"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July</w:t>
            </w:r>
          </w:p>
        </w:tc>
        <w:tc>
          <w:tcPr>
            <w:tcW w:w="1110"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August</w:t>
            </w:r>
          </w:p>
        </w:tc>
        <w:tc>
          <w:tcPr>
            <w:tcW w:w="1239"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September</w:t>
            </w:r>
          </w:p>
        </w:tc>
        <w:tc>
          <w:tcPr>
            <w:tcW w:w="1091"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October</w:t>
            </w:r>
          </w:p>
        </w:tc>
        <w:tc>
          <w:tcPr>
            <w:tcW w:w="1193"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November</w:t>
            </w:r>
          </w:p>
        </w:tc>
        <w:tc>
          <w:tcPr>
            <w:tcW w:w="1178" w:type="dxa"/>
            <w:shd w:val="clear" w:color="auto" w:fill="D1DEEE" w:themeFill="accent2" w:themeFillTint="33"/>
            <w:noWrap/>
            <w:vAlign w:val="center"/>
            <w:hideMark/>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December</w:t>
            </w:r>
          </w:p>
        </w:tc>
        <w:tc>
          <w:tcPr>
            <w:tcW w:w="932" w:type="dxa"/>
            <w:shd w:val="clear" w:color="auto" w:fill="D1DEEE" w:themeFill="accent2" w:themeFillTint="33"/>
          </w:tcPr>
          <w:p w:rsidR="00322BD0" w:rsidRPr="00322BD0" w:rsidRDefault="00322BD0" w:rsidP="000D72D0">
            <w:pPr>
              <w:spacing w:after="0" w:line="240" w:lineRule="auto"/>
              <w:ind w:firstLine="0"/>
              <w:jc w:val="center"/>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 xml:space="preserve">TOTAL </w:t>
            </w:r>
            <w:r>
              <w:rPr>
                <w:rFonts w:asciiTheme="majorHAnsi" w:eastAsia="Times New Roman" w:hAnsiTheme="majorHAnsi" w:cs="Times New Roman"/>
                <w:b/>
                <w:bCs/>
                <w:sz w:val="20"/>
                <w:szCs w:val="20"/>
                <w:lang w:val="en-GB" w:eastAsia="en-US"/>
              </w:rPr>
              <w:t>(year</w:t>
            </w:r>
            <w:r w:rsidRPr="00322BD0">
              <w:rPr>
                <w:rFonts w:asciiTheme="majorHAnsi" w:eastAsia="Times New Roman" w:hAnsiTheme="majorHAnsi" w:cs="Times New Roman"/>
                <w:b/>
                <w:bCs/>
                <w:sz w:val="20"/>
                <w:szCs w:val="20"/>
                <w:lang w:val="en-GB" w:eastAsia="en-US"/>
              </w:rPr>
              <w:t>)</w:t>
            </w:r>
          </w:p>
        </w:tc>
      </w:tr>
      <w:tr w:rsidR="00322BD0" w:rsidRPr="00322BD0" w:rsidTr="00322BD0">
        <w:trPr>
          <w:trHeight w:val="186"/>
          <w:tblCellSpacing w:w="20" w:type="dxa"/>
          <w:jc w:val="center"/>
        </w:trPr>
        <w:tc>
          <w:tcPr>
            <w:tcW w:w="1273" w:type="dxa"/>
            <w:shd w:val="clear" w:color="auto" w:fill="auto"/>
            <w:noWrap/>
            <w:vAlign w:val="center"/>
            <w:hideMark/>
          </w:tcPr>
          <w:p w:rsidR="00322BD0" w:rsidRPr="00322BD0" w:rsidRDefault="00322BD0" w:rsidP="000D72D0">
            <w:pPr>
              <w:spacing w:after="0" w:line="240" w:lineRule="auto"/>
              <w:ind w:firstLine="0"/>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 xml:space="preserve">PLANED </w:t>
            </w:r>
          </w:p>
        </w:tc>
        <w:tc>
          <w:tcPr>
            <w:tcW w:w="1109"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7.649</w:t>
            </w:r>
          </w:p>
        </w:tc>
        <w:tc>
          <w:tcPr>
            <w:tcW w:w="1110"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9.530</w:t>
            </w:r>
          </w:p>
        </w:tc>
        <w:tc>
          <w:tcPr>
            <w:tcW w:w="1239"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10.844</w:t>
            </w:r>
          </w:p>
        </w:tc>
        <w:tc>
          <w:tcPr>
            <w:tcW w:w="1091"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8.321</w:t>
            </w:r>
          </w:p>
        </w:tc>
        <w:tc>
          <w:tcPr>
            <w:tcW w:w="1193"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19.132</w:t>
            </w:r>
          </w:p>
        </w:tc>
        <w:tc>
          <w:tcPr>
            <w:tcW w:w="1178"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11.486</w:t>
            </w:r>
          </w:p>
        </w:tc>
        <w:tc>
          <w:tcPr>
            <w:tcW w:w="932" w:type="dxa"/>
            <w:vAlign w:val="center"/>
          </w:tcPr>
          <w:p w:rsidR="00322BD0" w:rsidRPr="00322BD0" w:rsidRDefault="00322BD0" w:rsidP="000D72D0">
            <w:pPr>
              <w:spacing w:after="0" w:line="240" w:lineRule="auto"/>
              <w:ind w:firstLine="0"/>
              <w:jc w:val="center"/>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119.823</w:t>
            </w:r>
          </w:p>
        </w:tc>
      </w:tr>
      <w:tr w:rsidR="00322BD0" w:rsidRPr="00322BD0" w:rsidTr="00322BD0">
        <w:trPr>
          <w:trHeight w:val="190"/>
          <w:tblCellSpacing w:w="20" w:type="dxa"/>
          <w:jc w:val="center"/>
        </w:trPr>
        <w:tc>
          <w:tcPr>
            <w:tcW w:w="1273" w:type="dxa"/>
            <w:shd w:val="clear" w:color="auto" w:fill="auto"/>
            <w:noWrap/>
            <w:vAlign w:val="center"/>
            <w:hideMark/>
          </w:tcPr>
          <w:p w:rsidR="00322BD0" w:rsidRPr="00322BD0" w:rsidRDefault="00322BD0" w:rsidP="000D72D0">
            <w:pPr>
              <w:spacing w:after="0" w:line="240" w:lineRule="auto"/>
              <w:ind w:firstLine="0"/>
              <w:rPr>
                <w:rFonts w:asciiTheme="majorHAnsi" w:eastAsia="Times New Roman" w:hAnsiTheme="majorHAnsi" w:cs="Times New Roman"/>
                <w:b/>
                <w:bCs/>
                <w:sz w:val="20"/>
                <w:szCs w:val="20"/>
                <w:lang w:val="en-GB" w:eastAsia="en-US"/>
              </w:rPr>
            </w:pPr>
            <w:r w:rsidRPr="00322BD0">
              <w:rPr>
                <w:rFonts w:asciiTheme="majorHAnsi" w:eastAsia="Times New Roman" w:hAnsiTheme="majorHAnsi" w:cs="Times New Roman"/>
                <w:b/>
                <w:bCs/>
                <w:sz w:val="20"/>
                <w:szCs w:val="20"/>
                <w:lang w:val="en-GB" w:eastAsia="en-US"/>
              </w:rPr>
              <w:t xml:space="preserve">ACHIEVED </w:t>
            </w:r>
          </w:p>
        </w:tc>
        <w:tc>
          <w:tcPr>
            <w:tcW w:w="1109"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6.417</w:t>
            </w:r>
          </w:p>
        </w:tc>
        <w:tc>
          <w:tcPr>
            <w:tcW w:w="1110"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6.849</w:t>
            </w:r>
          </w:p>
        </w:tc>
        <w:tc>
          <w:tcPr>
            <w:tcW w:w="1239"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5.75</w:t>
            </w:r>
          </w:p>
        </w:tc>
        <w:tc>
          <w:tcPr>
            <w:tcW w:w="1091" w:type="dxa"/>
            <w:shd w:val="clear" w:color="auto" w:fill="auto"/>
            <w:noWrap/>
          </w:tcPr>
          <w:p w:rsidR="00322BD0" w:rsidRPr="00322BD0" w:rsidRDefault="00F262E2" w:rsidP="000D72D0">
            <w:pPr>
              <w:spacing w:after="0" w:line="240" w:lineRule="auto"/>
              <w:ind w:firstLine="0"/>
              <w:jc w:val="right"/>
              <w:rPr>
                <w:rFonts w:asciiTheme="majorHAnsi" w:hAnsiTheme="majorHAnsi"/>
                <w:sz w:val="20"/>
                <w:szCs w:val="20"/>
                <w:lang w:val="en-GB"/>
              </w:rPr>
            </w:pPr>
            <w:r>
              <w:rPr>
                <w:rFonts w:asciiTheme="majorHAnsi" w:hAnsiTheme="majorHAnsi"/>
                <w:sz w:val="20"/>
                <w:szCs w:val="20"/>
                <w:lang w:val="en-GB"/>
              </w:rPr>
              <w:t>6.808</w:t>
            </w:r>
          </w:p>
        </w:tc>
        <w:tc>
          <w:tcPr>
            <w:tcW w:w="1193"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8.125</w:t>
            </w:r>
          </w:p>
        </w:tc>
        <w:tc>
          <w:tcPr>
            <w:tcW w:w="1178" w:type="dxa"/>
            <w:shd w:val="clear" w:color="auto" w:fill="auto"/>
            <w:noWrap/>
          </w:tcPr>
          <w:p w:rsidR="00322BD0" w:rsidRPr="00322BD0" w:rsidRDefault="00322BD0" w:rsidP="000D72D0">
            <w:pPr>
              <w:spacing w:after="0" w:line="240" w:lineRule="auto"/>
              <w:ind w:firstLine="0"/>
              <w:jc w:val="right"/>
              <w:rPr>
                <w:rFonts w:asciiTheme="majorHAnsi" w:hAnsiTheme="majorHAnsi"/>
                <w:sz w:val="20"/>
                <w:szCs w:val="20"/>
                <w:lang w:val="en-GB"/>
              </w:rPr>
            </w:pPr>
            <w:r w:rsidRPr="00322BD0">
              <w:rPr>
                <w:rFonts w:asciiTheme="majorHAnsi" w:hAnsiTheme="majorHAnsi"/>
                <w:sz w:val="20"/>
                <w:szCs w:val="20"/>
                <w:lang w:val="en-GB"/>
              </w:rPr>
              <w:t>9.627</w:t>
            </w:r>
          </w:p>
        </w:tc>
        <w:tc>
          <w:tcPr>
            <w:tcW w:w="932" w:type="dxa"/>
            <w:vAlign w:val="center"/>
          </w:tcPr>
          <w:p w:rsidR="00322BD0" w:rsidRPr="00322BD0" w:rsidRDefault="00322BD0" w:rsidP="000D72D0">
            <w:pPr>
              <w:spacing w:after="0" w:line="240" w:lineRule="auto"/>
              <w:ind w:firstLine="0"/>
              <w:jc w:val="center"/>
              <w:rPr>
                <w:rFonts w:asciiTheme="majorHAnsi" w:eastAsia="Times New Roman" w:hAnsiTheme="majorHAnsi" w:cs="Times New Roman"/>
                <w:bCs/>
                <w:sz w:val="20"/>
                <w:szCs w:val="20"/>
                <w:lang w:val="en-GB" w:eastAsia="en-US"/>
              </w:rPr>
            </w:pPr>
            <w:r w:rsidRPr="00322BD0">
              <w:rPr>
                <w:rFonts w:asciiTheme="majorHAnsi" w:eastAsia="Times New Roman" w:hAnsiTheme="majorHAnsi" w:cs="Times New Roman"/>
                <w:bCs/>
                <w:sz w:val="20"/>
                <w:szCs w:val="20"/>
                <w:lang w:val="en-GB" w:eastAsia="en-US"/>
              </w:rPr>
              <w:t>108.874</w:t>
            </w:r>
          </w:p>
        </w:tc>
      </w:tr>
    </w:tbl>
    <w:p w:rsidR="00322BD0" w:rsidRPr="00322BD0" w:rsidRDefault="00322BD0" w:rsidP="00322BD0">
      <w:pPr>
        <w:spacing w:after="0" w:line="240" w:lineRule="auto"/>
        <w:jc w:val="center"/>
        <w:rPr>
          <w:rFonts w:ascii="Cambria" w:hAnsi="Cambria"/>
          <w:b/>
          <w:i/>
          <w:sz w:val="16"/>
          <w:szCs w:val="16"/>
          <w:lang w:val="en-GB"/>
        </w:rPr>
      </w:pPr>
      <w:r w:rsidRPr="00322BD0">
        <w:rPr>
          <w:rFonts w:ascii="Cambria" w:hAnsi="Cambria"/>
          <w:b/>
          <w:i/>
          <w:sz w:val="16"/>
          <w:szCs w:val="16"/>
          <w:lang w:val="en-GB"/>
        </w:rPr>
        <w:t>Tabel 4 – Technological consumption gas volumes achieved vs pla</w:t>
      </w:r>
      <w:r w:rsidR="000665AD">
        <w:rPr>
          <w:rFonts w:ascii="Cambria" w:hAnsi="Cambria"/>
          <w:b/>
          <w:i/>
          <w:sz w:val="16"/>
          <w:szCs w:val="16"/>
          <w:lang w:val="en-GB"/>
        </w:rPr>
        <w:t>nn</w:t>
      </w:r>
      <w:r w:rsidRPr="00322BD0">
        <w:rPr>
          <w:rFonts w:ascii="Cambria" w:hAnsi="Cambria"/>
          <w:b/>
          <w:i/>
          <w:sz w:val="16"/>
          <w:szCs w:val="16"/>
          <w:lang w:val="en-GB"/>
        </w:rPr>
        <w:t xml:space="preserve">ed </w:t>
      </w:r>
      <w:r w:rsidR="000665AD" w:rsidRPr="00322BD0">
        <w:rPr>
          <w:rFonts w:ascii="Cambria" w:hAnsi="Cambria"/>
          <w:b/>
          <w:i/>
          <w:sz w:val="16"/>
          <w:szCs w:val="16"/>
          <w:lang w:val="en-GB"/>
        </w:rPr>
        <w:t>monthly</w:t>
      </w:r>
      <w:r w:rsidRPr="00322BD0">
        <w:rPr>
          <w:rFonts w:ascii="Cambria" w:hAnsi="Cambria"/>
          <w:b/>
          <w:i/>
          <w:sz w:val="16"/>
          <w:szCs w:val="16"/>
          <w:lang w:val="en-GB"/>
        </w:rPr>
        <w:t xml:space="preserve"> in 2016</w:t>
      </w:r>
    </w:p>
    <w:p w:rsidR="00761C8D" w:rsidRPr="00322BD0" w:rsidRDefault="00761C8D" w:rsidP="007279C4">
      <w:pPr>
        <w:spacing w:after="0" w:line="240" w:lineRule="auto"/>
        <w:ind w:firstLine="0"/>
        <w:jc w:val="both"/>
        <w:rPr>
          <w:rFonts w:ascii="Cambria" w:eastAsia="Calibri" w:hAnsi="Cambria" w:cs="Times New Roman"/>
          <w:sz w:val="24"/>
          <w:lang w:val="en-GB" w:eastAsia="en-US"/>
        </w:rPr>
      </w:pPr>
    </w:p>
    <w:p w:rsidR="00322BD0" w:rsidRPr="00322BD0" w:rsidRDefault="00284FDD" w:rsidP="007279C4">
      <w:pPr>
        <w:spacing w:after="0" w:line="240" w:lineRule="auto"/>
        <w:ind w:firstLine="0"/>
        <w:jc w:val="both"/>
        <w:rPr>
          <w:rFonts w:ascii="Cambria" w:eastAsia="Calibri" w:hAnsi="Cambria" w:cs="Times New Roman"/>
          <w:sz w:val="24"/>
          <w:lang w:val="en-GB" w:eastAsia="en-US"/>
        </w:rPr>
      </w:pPr>
      <w:r>
        <w:rPr>
          <w:noProof/>
          <w:lang w:val="ro-RO" w:eastAsia="ro-RO"/>
        </w:rPr>
        <w:lastRenderedPageBreak/>
        <w:drawing>
          <wp:inline distT="0" distB="0" distL="0" distR="0" wp14:anchorId="1BBB9937" wp14:editId="06F1833D">
            <wp:extent cx="5732145" cy="1533525"/>
            <wp:effectExtent l="0" t="0" r="190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84FDD" w:rsidRPr="00322BD0" w:rsidRDefault="00322BD0" w:rsidP="00284FDD">
      <w:pPr>
        <w:spacing w:after="0" w:line="240" w:lineRule="auto"/>
        <w:jc w:val="center"/>
        <w:rPr>
          <w:rFonts w:ascii="Cambria" w:hAnsi="Cambria"/>
          <w:b/>
          <w:i/>
          <w:sz w:val="16"/>
          <w:szCs w:val="16"/>
          <w:lang w:val="en-GB"/>
        </w:rPr>
      </w:pPr>
      <w:r w:rsidRPr="00322BD0">
        <w:rPr>
          <w:rFonts w:ascii="Cambria" w:eastAsia="Calibri" w:hAnsi="Cambria" w:cs="Times New Roman"/>
          <w:sz w:val="24"/>
          <w:lang w:val="en-GB" w:eastAsia="en-US"/>
        </w:rPr>
        <w:t xml:space="preserve"> </w:t>
      </w:r>
      <w:r w:rsidR="00284FDD" w:rsidRPr="00322BD0">
        <w:rPr>
          <w:rFonts w:ascii="Cambria" w:hAnsi="Cambria"/>
          <w:b/>
          <w:i/>
          <w:sz w:val="16"/>
          <w:szCs w:val="16"/>
          <w:lang w:val="en-GB"/>
        </w:rPr>
        <w:t>Chart</w:t>
      </w:r>
      <w:r w:rsidR="00284FDD">
        <w:rPr>
          <w:rFonts w:ascii="Cambria" w:hAnsi="Cambria"/>
          <w:b/>
          <w:i/>
          <w:sz w:val="16"/>
          <w:szCs w:val="16"/>
          <w:lang w:val="en-GB"/>
        </w:rPr>
        <w:t xml:space="preserve"> 6</w:t>
      </w:r>
      <w:r w:rsidR="00284FDD" w:rsidRPr="00322BD0">
        <w:rPr>
          <w:rFonts w:ascii="Cambria" w:hAnsi="Cambria"/>
          <w:b/>
          <w:i/>
          <w:sz w:val="16"/>
          <w:szCs w:val="16"/>
          <w:lang w:val="en-GB"/>
        </w:rPr>
        <w:t xml:space="preserve"> – Evolution of achieved vs. pl</w:t>
      </w:r>
      <w:r w:rsidR="00284FDD">
        <w:rPr>
          <w:rFonts w:ascii="Cambria" w:hAnsi="Cambria"/>
          <w:b/>
          <w:i/>
          <w:sz w:val="16"/>
          <w:szCs w:val="16"/>
          <w:lang w:val="en-GB"/>
        </w:rPr>
        <w:t xml:space="preserve">anned technological consumption </w:t>
      </w:r>
      <w:r w:rsidR="000665AD">
        <w:rPr>
          <w:rFonts w:ascii="Cambria" w:hAnsi="Cambria"/>
          <w:b/>
          <w:i/>
          <w:sz w:val="16"/>
          <w:szCs w:val="16"/>
          <w:lang w:val="en-GB"/>
        </w:rPr>
        <w:t>monthly</w:t>
      </w:r>
      <w:r w:rsidR="00F262E2">
        <w:rPr>
          <w:rFonts w:ascii="Cambria" w:hAnsi="Cambria"/>
          <w:b/>
          <w:i/>
          <w:sz w:val="16"/>
          <w:szCs w:val="16"/>
          <w:lang w:val="en-GB"/>
        </w:rPr>
        <w:t xml:space="preserve"> in </w:t>
      </w:r>
      <w:r w:rsidR="00284FDD">
        <w:rPr>
          <w:rFonts w:ascii="Cambria" w:hAnsi="Cambria"/>
          <w:b/>
          <w:i/>
          <w:sz w:val="16"/>
          <w:szCs w:val="16"/>
          <w:lang w:val="en-GB"/>
        </w:rPr>
        <w:t>2016</w:t>
      </w:r>
    </w:p>
    <w:p w:rsidR="00322BD0" w:rsidRPr="00322BD0" w:rsidRDefault="00322BD0" w:rsidP="007279C4">
      <w:pPr>
        <w:spacing w:after="0" w:line="240" w:lineRule="auto"/>
        <w:ind w:firstLine="0"/>
        <w:jc w:val="both"/>
        <w:rPr>
          <w:rFonts w:ascii="Cambria" w:eastAsia="Calibri" w:hAnsi="Cambria" w:cs="Times New Roman"/>
          <w:sz w:val="24"/>
          <w:lang w:val="en-GB" w:eastAsia="en-US"/>
        </w:rPr>
      </w:pPr>
    </w:p>
    <w:p w:rsidR="004216C1" w:rsidRDefault="004216C1" w:rsidP="004216C1">
      <w:pPr>
        <w:spacing w:after="0" w:line="240" w:lineRule="auto"/>
        <w:ind w:firstLine="0"/>
        <w:jc w:val="both"/>
        <w:rPr>
          <w:rFonts w:ascii="Cambria" w:eastAsia="Calibri" w:hAnsi="Cambria" w:cs="Times New Roman"/>
          <w:sz w:val="24"/>
          <w:lang w:val="en-GB" w:eastAsia="en-US"/>
        </w:rPr>
      </w:pPr>
      <w:r>
        <w:rPr>
          <w:rFonts w:ascii="Cambria" w:eastAsia="Times New Roman" w:hAnsi="Cambria" w:cs="Cambria"/>
          <w:sz w:val="24"/>
          <w:szCs w:val="24"/>
          <w:lang w:val="en-GB" w:eastAsia="ro-RO"/>
        </w:rPr>
        <w:t>Thus, as we can see, in 2016, compared to the previous year</w:t>
      </w:r>
      <w:r>
        <w:rPr>
          <w:rFonts w:ascii="Cambria" w:eastAsia="Calibri" w:hAnsi="Cambria" w:cs="Times New Roman"/>
          <w:sz w:val="24"/>
          <w:lang w:val="en-GB" w:eastAsia="en-US"/>
        </w:rPr>
        <w:t xml:space="preserve">, the evolution of the technological consumption in the NTS </w:t>
      </w:r>
      <w:r w:rsidR="00310799">
        <w:rPr>
          <w:rFonts w:ascii="Cambria" w:eastAsia="Calibri" w:hAnsi="Cambria" w:cs="Times New Roman"/>
          <w:sz w:val="24"/>
          <w:lang w:val="en-GB" w:eastAsia="en-US"/>
        </w:rPr>
        <w:t xml:space="preserve">had </w:t>
      </w:r>
      <w:r>
        <w:rPr>
          <w:rFonts w:ascii="Cambria" w:eastAsia="Calibri" w:hAnsi="Cambria" w:cs="Times New Roman"/>
          <w:sz w:val="24"/>
          <w:lang w:val="en-GB" w:eastAsia="en-US"/>
        </w:rPr>
        <w:t xml:space="preserve">a pronounced upward trend, </w:t>
      </w:r>
      <w:r w:rsidR="00310799">
        <w:rPr>
          <w:rFonts w:ascii="Cambria" w:eastAsia="Calibri" w:hAnsi="Cambria" w:cs="Times New Roman"/>
          <w:sz w:val="24"/>
          <w:lang w:val="en-GB" w:eastAsia="en-US"/>
        </w:rPr>
        <w:t>higher</w:t>
      </w:r>
      <w:r>
        <w:rPr>
          <w:rFonts w:ascii="Cambria" w:eastAsia="Calibri" w:hAnsi="Cambria" w:cs="Times New Roman"/>
          <w:sz w:val="24"/>
          <w:lang w:val="en-GB" w:eastAsia="en-US"/>
        </w:rPr>
        <w:t xml:space="preserve"> by 24% compared to 2015 and lower by 9% compared to the planned level.</w:t>
      </w:r>
    </w:p>
    <w:p w:rsidR="00322BD0" w:rsidRPr="00322BD0" w:rsidRDefault="00322BD0" w:rsidP="007279C4">
      <w:pPr>
        <w:spacing w:after="0" w:line="240" w:lineRule="auto"/>
        <w:ind w:firstLine="0"/>
        <w:jc w:val="both"/>
        <w:rPr>
          <w:rFonts w:ascii="Cambria" w:eastAsia="Calibri" w:hAnsi="Cambria" w:cs="Times New Roman"/>
          <w:sz w:val="24"/>
          <w:lang w:val="en-GB" w:eastAsia="en-US"/>
        </w:rPr>
      </w:pPr>
    </w:p>
    <w:p w:rsidR="00322BD0" w:rsidRPr="00322BD0" w:rsidRDefault="00322BD0" w:rsidP="007279C4">
      <w:pPr>
        <w:spacing w:after="0" w:line="240" w:lineRule="auto"/>
        <w:ind w:firstLine="0"/>
        <w:jc w:val="both"/>
        <w:rPr>
          <w:rFonts w:ascii="Cambria" w:eastAsia="Calibri" w:hAnsi="Cambria" w:cs="Times New Roman"/>
          <w:sz w:val="24"/>
          <w:lang w:val="en-GB" w:eastAsia="en-US"/>
        </w:rPr>
      </w:pPr>
    </w:p>
    <w:p w:rsidR="00761C8D" w:rsidRPr="00322BD0" w:rsidRDefault="00761C8D" w:rsidP="00761C8D">
      <w:pPr>
        <w:spacing w:after="0" w:line="240" w:lineRule="auto"/>
        <w:ind w:firstLine="0"/>
        <w:jc w:val="right"/>
        <w:rPr>
          <w:rFonts w:ascii="Cambria" w:eastAsia="Calibri" w:hAnsi="Cambria" w:cs="Times New Roman"/>
          <w:b/>
          <w:sz w:val="18"/>
          <w:szCs w:val="18"/>
          <w:lang w:val="en-GB" w:eastAsia="en-US"/>
        </w:rPr>
      </w:pPr>
      <w:r w:rsidRPr="00322BD0">
        <w:rPr>
          <w:rFonts w:ascii="Cambria" w:eastAsia="Calibri" w:hAnsi="Cambria" w:cs="Times New Roman"/>
          <w:b/>
          <w:sz w:val="18"/>
          <w:szCs w:val="18"/>
          <w:lang w:val="en-GB" w:eastAsia="en-US"/>
        </w:rPr>
        <w:t>(</w:t>
      </w:r>
      <w:r w:rsidR="00F262E2" w:rsidRPr="00322BD0">
        <w:rPr>
          <w:rFonts w:ascii="Cambria" w:eastAsia="Calibri" w:hAnsi="Cambria" w:cs="Times New Roman"/>
          <w:b/>
          <w:sz w:val="18"/>
          <w:szCs w:val="18"/>
          <w:lang w:val="en-GB" w:eastAsia="en-US"/>
        </w:rPr>
        <w:t>Million</w:t>
      </w:r>
      <w:r w:rsidR="00FB6A8A" w:rsidRPr="00322BD0">
        <w:rPr>
          <w:rFonts w:ascii="Cambria" w:eastAsia="Calibri" w:hAnsi="Cambria" w:cs="Times New Roman"/>
          <w:b/>
          <w:sz w:val="18"/>
          <w:szCs w:val="18"/>
          <w:lang w:val="en-GB" w:eastAsia="en-US"/>
        </w:rPr>
        <w:t xml:space="preserve"> </w:t>
      </w:r>
      <w:r w:rsidRPr="00322BD0">
        <w:rPr>
          <w:rFonts w:ascii="Cambria" w:eastAsia="Calibri" w:hAnsi="Cambria" w:cs="Times New Roman"/>
          <w:b/>
          <w:sz w:val="18"/>
          <w:szCs w:val="18"/>
          <w:lang w:val="en-GB" w:eastAsia="en-US"/>
        </w:rPr>
        <w:t>cm)</w:t>
      </w:r>
    </w:p>
    <w:tbl>
      <w:tblPr>
        <w:tblW w:w="11636"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1415"/>
        <w:gridCol w:w="724"/>
        <w:gridCol w:w="850"/>
        <w:gridCol w:w="836"/>
        <w:gridCol w:w="850"/>
        <w:gridCol w:w="724"/>
        <w:gridCol w:w="709"/>
        <w:gridCol w:w="708"/>
        <w:gridCol w:w="709"/>
        <w:gridCol w:w="709"/>
        <w:gridCol w:w="709"/>
        <w:gridCol w:w="850"/>
        <w:gridCol w:w="851"/>
        <w:gridCol w:w="992"/>
      </w:tblGrid>
      <w:tr w:rsidR="00761C8D" w:rsidRPr="00322BD0" w:rsidTr="00A74D4E">
        <w:trPr>
          <w:trHeight w:val="315"/>
          <w:tblCellSpacing w:w="20" w:type="dxa"/>
          <w:jc w:val="center"/>
        </w:trPr>
        <w:tc>
          <w:tcPr>
            <w:tcW w:w="11556" w:type="dxa"/>
            <w:gridSpan w:val="14"/>
            <w:shd w:val="clear" w:color="auto" w:fill="D6E0F4"/>
            <w:noWrap/>
            <w:vAlign w:val="center"/>
          </w:tcPr>
          <w:p w:rsidR="00761C8D" w:rsidRPr="00322BD0" w:rsidRDefault="00761C8D" w:rsidP="004216C1">
            <w:pPr>
              <w:spacing w:after="0" w:line="240" w:lineRule="auto"/>
              <w:ind w:firstLine="0"/>
              <w:jc w:val="center"/>
              <w:rPr>
                <w:rFonts w:asciiTheme="majorHAnsi" w:eastAsia="Times New Roman" w:hAnsiTheme="majorHAnsi" w:cs="Times New Roman"/>
                <w:b/>
                <w:bCs/>
                <w:sz w:val="16"/>
                <w:szCs w:val="16"/>
                <w:lang w:val="en-GB" w:eastAsia="en-US"/>
              </w:rPr>
            </w:pPr>
            <w:r w:rsidRPr="00322BD0">
              <w:rPr>
                <w:rFonts w:ascii="Cambria" w:eastAsia="Times New Roman" w:hAnsi="Cambria" w:cs="Times New Roman"/>
                <w:b/>
                <w:bCs/>
                <w:i/>
                <w:sz w:val="16"/>
                <w:szCs w:val="16"/>
                <w:lang w:val="en-GB"/>
              </w:rPr>
              <w:t>Gas circulated</w:t>
            </w:r>
            <w:r w:rsidR="004216C1" w:rsidRPr="00322BD0">
              <w:rPr>
                <w:rFonts w:ascii="Cambria" w:eastAsia="Times New Roman" w:hAnsi="Cambria" w:cs="Times New Roman"/>
                <w:b/>
                <w:bCs/>
                <w:i/>
                <w:sz w:val="16"/>
                <w:szCs w:val="16"/>
                <w:lang w:val="en-GB"/>
              </w:rPr>
              <w:t xml:space="preserve"> in 201</w:t>
            </w:r>
            <w:r w:rsidR="002513E8">
              <w:rPr>
                <w:rFonts w:ascii="Cambria" w:eastAsia="Times New Roman" w:hAnsi="Cambria" w:cs="Times New Roman"/>
                <w:b/>
                <w:bCs/>
                <w:i/>
                <w:sz w:val="16"/>
                <w:szCs w:val="16"/>
                <w:lang w:val="en-GB"/>
              </w:rPr>
              <w:t>6</w:t>
            </w:r>
            <w:r w:rsidR="004216C1" w:rsidRPr="00322BD0">
              <w:rPr>
                <w:rFonts w:ascii="Cambria" w:eastAsia="Times New Roman" w:hAnsi="Cambria" w:cs="Times New Roman"/>
                <w:b/>
                <w:bCs/>
                <w:i/>
                <w:sz w:val="16"/>
                <w:szCs w:val="16"/>
                <w:lang w:val="en-GB"/>
              </w:rPr>
              <w:t xml:space="preserve"> </w:t>
            </w:r>
            <w:r w:rsidR="004216C1">
              <w:rPr>
                <w:rFonts w:ascii="Cambria" w:eastAsia="Times New Roman" w:hAnsi="Cambria" w:cs="Times New Roman"/>
                <w:b/>
                <w:bCs/>
                <w:i/>
                <w:sz w:val="16"/>
                <w:szCs w:val="16"/>
                <w:lang w:val="en-GB"/>
              </w:rPr>
              <w:t xml:space="preserve">compared to </w:t>
            </w:r>
            <w:r w:rsidRPr="00322BD0">
              <w:rPr>
                <w:rFonts w:ascii="Cambria" w:eastAsia="Times New Roman" w:hAnsi="Cambria" w:cs="Times New Roman"/>
                <w:b/>
                <w:bCs/>
                <w:i/>
                <w:sz w:val="16"/>
                <w:szCs w:val="16"/>
                <w:lang w:val="en-GB"/>
              </w:rPr>
              <w:t xml:space="preserve">planned </w:t>
            </w:r>
          </w:p>
        </w:tc>
      </w:tr>
      <w:tr w:rsidR="00761C8D" w:rsidRPr="00322BD0" w:rsidTr="00761C8D">
        <w:trPr>
          <w:trHeight w:val="315"/>
          <w:tblCellSpacing w:w="20" w:type="dxa"/>
          <w:jc w:val="center"/>
        </w:trPr>
        <w:tc>
          <w:tcPr>
            <w:tcW w:w="1355"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6"/>
                <w:szCs w:val="16"/>
                <w:lang w:val="en-GB" w:eastAsia="en-US"/>
              </w:rPr>
            </w:pPr>
          </w:p>
        </w:tc>
        <w:tc>
          <w:tcPr>
            <w:tcW w:w="684"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January</w:t>
            </w:r>
          </w:p>
        </w:tc>
        <w:tc>
          <w:tcPr>
            <w:tcW w:w="810"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February</w:t>
            </w:r>
          </w:p>
        </w:tc>
        <w:tc>
          <w:tcPr>
            <w:tcW w:w="796"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March</w:t>
            </w:r>
          </w:p>
        </w:tc>
        <w:tc>
          <w:tcPr>
            <w:tcW w:w="810"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April</w:t>
            </w:r>
          </w:p>
        </w:tc>
        <w:tc>
          <w:tcPr>
            <w:tcW w:w="684" w:type="dxa"/>
            <w:shd w:val="clear" w:color="auto" w:fill="D6E0F4"/>
            <w:noWrap/>
            <w:vAlign w:val="center"/>
            <w:hideMark/>
          </w:tcPr>
          <w:p w:rsidR="00761C8D" w:rsidRPr="00322BD0" w:rsidRDefault="00761C8D" w:rsidP="00761C8D">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May</w:t>
            </w:r>
          </w:p>
        </w:tc>
        <w:tc>
          <w:tcPr>
            <w:tcW w:w="669"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June</w:t>
            </w:r>
          </w:p>
        </w:tc>
        <w:tc>
          <w:tcPr>
            <w:tcW w:w="668"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July</w:t>
            </w:r>
          </w:p>
        </w:tc>
        <w:tc>
          <w:tcPr>
            <w:tcW w:w="669"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August</w:t>
            </w:r>
          </w:p>
        </w:tc>
        <w:tc>
          <w:tcPr>
            <w:tcW w:w="669"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September</w:t>
            </w:r>
          </w:p>
        </w:tc>
        <w:tc>
          <w:tcPr>
            <w:tcW w:w="669"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October</w:t>
            </w:r>
          </w:p>
        </w:tc>
        <w:tc>
          <w:tcPr>
            <w:tcW w:w="810"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November</w:t>
            </w:r>
          </w:p>
        </w:tc>
        <w:tc>
          <w:tcPr>
            <w:tcW w:w="811" w:type="dxa"/>
            <w:shd w:val="clear" w:color="auto" w:fill="D6E0F4"/>
            <w:vAlign w:val="center"/>
          </w:tcPr>
          <w:p w:rsidR="00761C8D" w:rsidRPr="00322BD0" w:rsidRDefault="00761C8D" w:rsidP="00A74D4E">
            <w:pPr>
              <w:spacing w:after="0" w:line="240" w:lineRule="auto"/>
              <w:ind w:firstLine="0"/>
              <w:jc w:val="center"/>
              <w:rPr>
                <w:rFonts w:asciiTheme="majorHAnsi" w:eastAsia="Times New Roman" w:hAnsiTheme="majorHAnsi" w:cs="Times New Roman"/>
                <w:b/>
                <w:bCs/>
                <w:sz w:val="12"/>
                <w:szCs w:val="12"/>
                <w:lang w:val="en-GB" w:eastAsia="en-US"/>
              </w:rPr>
            </w:pPr>
            <w:r w:rsidRPr="00322BD0">
              <w:rPr>
                <w:rFonts w:asciiTheme="majorHAnsi" w:eastAsia="Times New Roman" w:hAnsiTheme="majorHAnsi" w:cs="Times New Roman"/>
                <w:b/>
                <w:bCs/>
                <w:sz w:val="12"/>
                <w:szCs w:val="12"/>
                <w:lang w:val="en-GB" w:eastAsia="en-US"/>
              </w:rPr>
              <w:t>December</w:t>
            </w:r>
          </w:p>
        </w:tc>
        <w:tc>
          <w:tcPr>
            <w:tcW w:w="932" w:type="dxa"/>
            <w:shd w:val="clear" w:color="auto" w:fill="D6E0F4"/>
            <w:noWrap/>
            <w:vAlign w:val="center"/>
            <w:hideMark/>
          </w:tcPr>
          <w:p w:rsidR="00761C8D" w:rsidRPr="00322BD0" w:rsidRDefault="00761C8D" w:rsidP="00A74D4E">
            <w:pPr>
              <w:spacing w:after="0" w:line="240" w:lineRule="auto"/>
              <w:ind w:firstLine="0"/>
              <w:jc w:val="center"/>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TOTAL</w:t>
            </w:r>
          </w:p>
        </w:tc>
      </w:tr>
      <w:tr w:rsidR="004216C1" w:rsidRPr="00322BD0" w:rsidTr="00761C8D">
        <w:trPr>
          <w:trHeight w:val="247"/>
          <w:tblCellSpacing w:w="20" w:type="dxa"/>
          <w:jc w:val="center"/>
        </w:trPr>
        <w:tc>
          <w:tcPr>
            <w:tcW w:w="1355" w:type="dxa"/>
            <w:shd w:val="clear" w:color="auto" w:fill="auto"/>
            <w:noWrap/>
            <w:vAlign w:val="center"/>
            <w:hideMark/>
          </w:tcPr>
          <w:p w:rsidR="004216C1" w:rsidRPr="00322BD0" w:rsidRDefault="004216C1" w:rsidP="00A74D4E">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ROMGAZ</w:t>
            </w:r>
          </w:p>
        </w:tc>
        <w:tc>
          <w:tcPr>
            <w:tcW w:w="684" w:type="dxa"/>
            <w:shd w:val="clear" w:color="auto" w:fill="auto"/>
            <w:noWrap/>
            <w:vAlign w:val="center"/>
            <w:hideMark/>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490</w:t>
            </w:r>
          </w:p>
        </w:tc>
        <w:tc>
          <w:tcPr>
            <w:tcW w:w="810" w:type="dxa"/>
            <w:shd w:val="clear" w:color="auto" w:fill="auto"/>
            <w:noWrap/>
            <w:vAlign w:val="center"/>
            <w:hideMark/>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434</w:t>
            </w:r>
          </w:p>
        </w:tc>
        <w:tc>
          <w:tcPr>
            <w:tcW w:w="796"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435</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328</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262</w:t>
            </w:r>
          </w:p>
        </w:tc>
        <w:tc>
          <w:tcPr>
            <w:tcW w:w="669"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226</w:t>
            </w:r>
          </w:p>
        </w:tc>
        <w:tc>
          <w:tcPr>
            <w:tcW w:w="668"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261</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291</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278</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330</w:t>
            </w:r>
          </w:p>
        </w:tc>
        <w:tc>
          <w:tcPr>
            <w:tcW w:w="810"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381</w:t>
            </w:r>
          </w:p>
        </w:tc>
        <w:tc>
          <w:tcPr>
            <w:tcW w:w="811"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461</w:t>
            </w:r>
          </w:p>
        </w:tc>
        <w:tc>
          <w:tcPr>
            <w:tcW w:w="932"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4.177</w:t>
            </w:r>
          </w:p>
        </w:tc>
      </w:tr>
      <w:tr w:rsidR="004216C1" w:rsidRPr="00322BD0" w:rsidTr="00761C8D">
        <w:trPr>
          <w:trHeight w:val="237"/>
          <w:tblCellSpacing w:w="20" w:type="dxa"/>
          <w:jc w:val="center"/>
        </w:trPr>
        <w:tc>
          <w:tcPr>
            <w:tcW w:w="1355" w:type="dxa"/>
            <w:shd w:val="clear" w:color="auto" w:fill="auto"/>
            <w:noWrap/>
            <w:vAlign w:val="center"/>
            <w:hideMark/>
          </w:tcPr>
          <w:p w:rsidR="004216C1" w:rsidRPr="00322BD0" w:rsidRDefault="004216C1" w:rsidP="00A74D4E">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PETROM</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342</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328</w:t>
            </w:r>
          </w:p>
        </w:tc>
        <w:tc>
          <w:tcPr>
            <w:tcW w:w="796"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357</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355</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377</w:t>
            </w:r>
          </w:p>
        </w:tc>
        <w:tc>
          <w:tcPr>
            <w:tcW w:w="669"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365</w:t>
            </w:r>
          </w:p>
        </w:tc>
        <w:tc>
          <w:tcPr>
            <w:tcW w:w="668"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371</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370</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350</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339</w:t>
            </w:r>
          </w:p>
        </w:tc>
        <w:tc>
          <w:tcPr>
            <w:tcW w:w="810"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346</w:t>
            </w:r>
          </w:p>
        </w:tc>
        <w:tc>
          <w:tcPr>
            <w:tcW w:w="811"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346</w:t>
            </w:r>
          </w:p>
        </w:tc>
        <w:tc>
          <w:tcPr>
            <w:tcW w:w="932"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4.247</w:t>
            </w:r>
          </w:p>
        </w:tc>
      </w:tr>
      <w:tr w:rsidR="004216C1" w:rsidRPr="00322BD0" w:rsidTr="00761C8D">
        <w:trPr>
          <w:trHeight w:val="98"/>
          <w:tblCellSpacing w:w="20" w:type="dxa"/>
          <w:jc w:val="center"/>
        </w:trPr>
        <w:tc>
          <w:tcPr>
            <w:tcW w:w="1355" w:type="dxa"/>
            <w:shd w:val="clear" w:color="auto" w:fill="auto"/>
            <w:noWrap/>
            <w:vAlign w:val="center"/>
            <w:hideMark/>
          </w:tcPr>
          <w:p w:rsidR="004216C1" w:rsidRPr="00322BD0" w:rsidRDefault="004216C1" w:rsidP="00A74D4E">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OTHERS</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55</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48</w:t>
            </w:r>
          </w:p>
        </w:tc>
        <w:tc>
          <w:tcPr>
            <w:tcW w:w="796"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47</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44</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52</w:t>
            </w:r>
          </w:p>
        </w:tc>
        <w:tc>
          <w:tcPr>
            <w:tcW w:w="669"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49</w:t>
            </w:r>
          </w:p>
        </w:tc>
        <w:tc>
          <w:tcPr>
            <w:tcW w:w="668"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47</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46</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46</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56</w:t>
            </w:r>
          </w:p>
        </w:tc>
        <w:tc>
          <w:tcPr>
            <w:tcW w:w="810"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55</w:t>
            </w:r>
          </w:p>
        </w:tc>
        <w:tc>
          <w:tcPr>
            <w:tcW w:w="811"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54</w:t>
            </w:r>
          </w:p>
        </w:tc>
        <w:tc>
          <w:tcPr>
            <w:tcW w:w="932"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598</w:t>
            </w:r>
          </w:p>
        </w:tc>
      </w:tr>
      <w:tr w:rsidR="004216C1" w:rsidRPr="00322BD0" w:rsidTr="00761C8D">
        <w:trPr>
          <w:trHeight w:val="315"/>
          <w:tblCellSpacing w:w="20" w:type="dxa"/>
          <w:jc w:val="center"/>
        </w:trPr>
        <w:tc>
          <w:tcPr>
            <w:tcW w:w="1355" w:type="dxa"/>
            <w:shd w:val="clear" w:color="auto" w:fill="auto"/>
            <w:noWrap/>
            <w:vAlign w:val="center"/>
            <w:hideMark/>
          </w:tcPr>
          <w:p w:rsidR="004216C1" w:rsidRPr="00322BD0" w:rsidRDefault="004216C1" w:rsidP="00761C8D">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 xml:space="preserve">CURRENT IMPORT </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96</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45</w:t>
            </w:r>
          </w:p>
        </w:tc>
        <w:tc>
          <w:tcPr>
            <w:tcW w:w="796"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16</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38</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44</w:t>
            </w:r>
          </w:p>
        </w:tc>
        <w:tc>
          <w:tcPr>
            <w:tcW w:w="669"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37</w:t>
            </w:r>
          </w:p>
        </w:tc>
        <w:tc>
          <w:tcPr>
            <w:tcW w:w="668"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54</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64</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79</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297</w:t>
            </w:r>
          </w:p>
        </w:tc>
        <w:tc>
          <w:tcPr>
            <w:tcW w:w="810"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319</w:t>
            </w:r>
          </w:p>
        </w:tc>
        <w:tc>
          <w:tcPr>
            <w:tcW w:w="811"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387</w:t>
            </w:r>
          </w:p>
        </w:tc>
        <w:tc>
          <w:tcPr>
            <w:tcW w:w="932"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1.475</w:t>
            </w:r>
          </w:p>
        </w:tc>
      </w:tr>
      <w:tr w:rsidR="004216C1" w:rsidRPr="00322BD0" w:rsidTr="00761C8D">
        <w:trPr>
          <w:trHeight w:val="315"/>
          <w:tblCellSpacing w:w="20" w:type="dxa"/>
          <w:jc w:val="center"/>
        </w:trPr>
        <w:tc>
          <w:tcPr>
            <w:tcW w:w="1355" w:type="dxa"/>
            <w:shd w:val="clear" w:color="auto" w:fill="auto"/>
            <w:noWrap/>
            <w:vAlign w:val="center"/>
            <w:hideMark/>
          </w:tcPr>
          <w:p w:rsidR="004216C1" w:rsidRPr="00322BD0" w:rsidRDefault="004216C1" w:rsidP="00761C8D">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STORAGE WITHDRAWAL</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661</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233</w:t>
            </w:r>
          </w:p>
        </w:tc>
        <w:tc>
          <w:tcPr>
            <w:tcW w:w="796"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187</w:t>
            </w:r>
          </w:p>
        </w:tc>
        <w:tc>
          <w:tcPr>
            <w:tcW w:w="810"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w:t>
            </w:r>
          </w:p>
        </w:tc>
        <w:tc>
          <w:tcPr>
            <w:tcW w:w="684"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0</w:t>
            </w:r>
          </w:p>
        </w:tc>
        <w:tc>
          <w:tcPr>
            <w:tcW w:w="669"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0</w:t>
            </w:r>
          </w:p>
        </w:tc>
        <w:tc>
          <w:tcPr>
            <w:tcW w:w="668"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0</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0</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0</w:t>
            </w:r>
          </w:p>
        </w:tc>
        <w:tc>
          <w:tcPr>
            <w:tcW w:w="669"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5</w:t>
            </w:r>
          </w:p>
        </w:tc>
        <w:tc>
          <w:tcPr>
            <w:tcW w:w="810"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194</w:t>
            </w:r>
          </w:p>
        </w:tc>
        <w:tc>
          <w:tcPr>
            <w:tcW w:w="811" w:type="dxa"/>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424</w:t>
            </w:r>
          </w:p>
        </w:tc>
        <w:tc>
          <w:tcPr>
            <w:tcW w:w="932" w:type="dxa"/>
            <w:shd w:val="clear" w:color="auto" w:fill="auto"/>
            <w:noWrap/>
            <w:vAlign w:val="center"/>
          </w:tcPr>
          <w:p w:rsidR="004216C1" w:rsidRPr="00945A8E" w:rsidRDefault="004216C1"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1.705</w:t>
            </w:r>
          </w:p>
        </w:tc>
      </w:tr>
      <w:tr w:rsidR="007B7DFF" w:rsidRPr="00322BD0" w:rsidTr="00761C8D">
        <w:trPr>
          <w:trHeight w:val="148"/>
          <w:tblCellSpacing w:w="20" w:type="dxa"/>
          <w:jc w:val="center"/>
        </w:trPr>
        <w:tc>
          <w:tcPr>
            <w:tcW w:w="1355" w:type="dxa"/>
            <w:shd w:val="clear" w:color="auto" w:fill="ECF2DA"/>
            <w:noWrap/>
            <w:vAlign w:val="center"/>
            <w:hideMark/>
          </w:tcPr>
          <w:p w:rsidR="007B7DFF" w:rsidRPr="00322BD0" w:rsidRDefault="007B7DFF" w:rsidP="00A74D4E">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ACHIEVED</w:t>
            </w:r>
          </w:p>
        </w:tc>
        <w:tc>
          <w:tcPr>
            <w:tcW w:w="684"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1.644</w:t>
            </w:r>
          </w:p>
        </w:tc>
        <w:tc>
          <w:tcPr>
            <w:tcW w:w="810"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1.089</w:t>
            </w:r>
          </w:p>
        </w:tc>
        <w:tc>
          <w:tcPr>
            <w:tcW w:w="796"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1.041</w:t>
            </w:r>
          </w:p>
        </w:tc>
        <w:tc>
          <w:tcPr>
            <w:tcW w:w="810"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765</w:t>
            </w:r>
          </w:p>
        </w:tc>
        <w:tc>
          <w:tcPr>
            <w:tcW w:w="684"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735</w:t>
            </w:r>
          </w:p>
        </w:tc>
        <w:tc>
          <w:tcPr>
            <w:tcW w:w="669"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677</w:t>
            </w:r>
          </w:p>
        </w:tc>
        <w:tc>
          <w:tcPr>
            <w:tcW w:w="668" w:type="dxa"/>
            <w:shd w:val="clear" w:color="auto" w:fill="ECF2DA"/>
            <w:vAlign w:val="center"/>
          </w:tcPr>
          <w:p w:rsidR="007B7DFF" w:rsidRPr="00945A8E" w:rsidRDefault="007B7DFF" w:rsidP="00F21009">
            <w:pPr>
              <w:spacing w:after="0" w:line="240" w:lineRule="auto"/>
              <w:ind w:firstLine="0"/>
              <w:jc w:val="right"/>
              <w:rPr>
                <w:rFonts w:asciiTheme="majorHAnsi" w:eastAsia="Calibri" w:hAnsiTheme="majorHAnsi" w:cs="DokChampa"/>
                <w:sz w:val="18"/>
                <w:szCs w:val="18"/>
                <w:lang w:eastAsia="en-US"/>
              </w:rPr>
            </w:pPr>
            <w:r>
              <w:rPr>
                <w:rFonts w:asciiTheme="majorHAnsi" w:eastAsia="Calibri" w:hAnsiTheme="majorHAnsi" w:cs="DokChampa"/>
                <w:sz w:val="18"/>
                <w:szCs w:val="18"/>
                <w:lang w:eastAsia="en-US"/>
              </w:rPr>
              <w:t>733</w:t>
            </w:r>
          </w:p>
        </w:tc>
        <w:tc>
          <w:tcPr>
            <w:tcW w:w="669" w:type="dxa"/>
            <w:shd w:val="clear" w:color="auto" w:fill="ECF2DA"/>
            <w:vAlign w:val="center"/>
          </w:tcPr>
          <w:p w:rsidR="007B7DFF" w:rsidRPr="00945A8E" w:rsidRDefault="007B7DFF" w:rsidP="00F21009">
            <w:pPr>
              <w:spacing w:after="0" w:line="240" w:lineRule="auto"/>
              <w:ind w:firstLine="0"/>
              <w:jc w:val="right"/>
              <w:rPr>
                <w:rFonts w:asciiTheme="majorHAnsi" w:eastAsia="Calibri" w:hAnsiTheme="majorHAnsi" w:cs="DokChampa"/>
                <w:sz w:val="18"/>
                <w:szCs w:val="18"/>
                <w:lang w:eastAsia="en-US"/>
              </w:rPr>
            </w:pPr>
            <w:r>
              <w:rPr>
                <w:rFonts w:asciiTheme="majorHAnsi" w:eastAsia="Calibri" w:hAnsiTheme="majorHAnsi" w:cs="DokChampa"/>
                <w:sz w:val="18"/>
                <w:szCs w:val="18"/>
                <w:lang w:eastAsia="en-US"/>
              </w:rPr>
              <w:t>771</w:t>
            </w:r>
          </w:p>
        </w:tc>
        <w:tc>
          <w:tcPr>
            <w:tcW w:w="669" w:type="dxa"/>
            <w:shd w:val="clear" w:color="auto" w:fill="ECF2DA"/>
            <w:vAlign w:val="center"/>
          </w:tcPr>
          <w:p w:rsidR="007B7DFF" w:rsidRPr="00945A8E" w:rsidRDefault="007B7DFF" w:rsidP="00F21009">
            <w:pPr>
              <w:spacing w:after="0" w:line="240" w:lineRule="auto"/>
              <w:ind w:firstLine="0"/>
              <w:jc w:val="right"/>
              <w:rPr>
                <w:rFonts w:asciiTheme="majorHAnsi" w:eastAsia="Calibri" w:hAnsiTheme="majorHAnsi" w:cs="DokChampa"/>
                <w:sz w:val="18"/>
                <w:szCs w:val="18"/>
                <w:lang w:eastAsia="en-US"/>
              </w:rPr>
            </w:pPr>
            <w:r>
              <w:rPr>
                <w:rFonts w:asciiTheme="majorHAnsi" w:eastAsia="Calibri" w:hAnsiTheme="majorHAnsi" w:cs="DokChampa"/>
                <w:sz w:val="18"/>
                <w:szCs w:val="18"/>
                <w:lang w:eastAsia="en-US"/>
              </w:rPr>
              <w:t>753</w:t>
            </w:r>
          </w:p>
        </w:tc>
        <w:tc>
          <w:tcPr>
            <w:tcW w:w="669" w:type="dxa"/>
            <w:shd w:val="clear" w:color="auto" w:fill="ECF2DA"/>
            <w:vAlign w:val="center"/>
          </w:tcPr>
          <w:p w:rsidR="007B7DFF" w:rsidRPr="00945A8E" w:rsidRDefault="007B7DFF" w:rsidP="00F21009">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1.028</w:t>
            </w:r>
          </w:p>
        </w:tc>
        <w:tc>
          <w:tcPr>
            <w:tcW w:w="810" w:type="dxa"/>
            <w:shd w:val="clear" w:color="auto" w:fill="ECF2DA"/>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1.294</w:t>
            </w:r>
          </w:p>
        </w:tc>
        <w:tc>
          <w:tcPr>
            <w:tcW w:w="811" w:type="dxa"/>
            <w:shd w:val="clear" w:color="auto" w:fill="ECF2DA"/>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1.671</w:t>
            </w:r>
          </w:p>
        </w:tc>
        <w:tc>
          <w:tcPr>
            <w:tcW w:w="932" w:type="dxa"/>
            <w:shd w:val="clear" w:color="auto" w:fill="ECF2DA"/>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12.201</w:t>
            </w:r>
          </w:p>
        </w:tc>
      </w:tr>
      <w:tr w:rsidR="007B7DFF" w:rsidRPr="00322BD0" w:rsidTr="00761C8D">
        <w:trPr>
          <w:trHeight w:val="82"/>
          <w:tblCellSpacing w:w="20" w:type="dxa"/>
          <w:jc w:val="center"/>
        </w:trPr>
        <w:tc>
          <w:tcPr>
            <w:tcW w:w="1355" w:type="dxa"/>
            <w:shd w:val="clear" w:color="auto" w:fill="D6E0F4"/>
            <w:noWrap/>
            <w:vAlign w:val="center"/>
            <w:hideMark/>
          </w:tcPr>
          <w:p w:rsidR="007B7DFF" w:rsidRPr="00322BD0" w:rsidRDefault="007B7DFF" w:rsidP="00A74D4E">
            <w:pPr>
              <w:spacing w:after="0" w:line="240" w:lineRule="auto"/>
              <w:ind w:firstLine="0"/>
              <w:rPr>
                <w:rFonts w:asciiTheme="majorHAnsi" w:eastAsia="Times New Roman" w:hAnsiTheme="majorHAnsi" w:cs="Times New Roman"/>
                <w:b/>
                <w:bCs/>
                <w:sz w:val="16"/>
                <w:szCs w:val="16"/>
                <w:lang w:val="en-GB" w:eastAsia="en-US"/>
              </w:rPr>
            </w:pPr>
            <w:r w:rsidRPr="00322BD0">
              <w:rPr>
                <w:rFonts w:asciiTheme="majorHAnsi" w:eastAsia="Times New Roman" w:hAnsiTheme="majorHAnsi" w:cs="Times New Roman"/>
                <w:b/>
                <w:bCs/>
                <w:sz w:val="16"/>
                <w:szCs w:val="16"/>
                <w:lang w:val="en-GB" w:eastAsia="en-US"/>
              </w:rPr>
              <w:t>PLANNED</w:t>
            </w:r>
          </w:p>
        </w:tc>
        <w:tc>
          <w:tcPr>
            <w:tcW w:w="684"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1.491</w:t>
            </w:r>
          </w:p>
        </w:tc>
        <w:tc>
          <w:tcPr>
            <w:tcW w:w="810"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1.307</w:t>
            </w:r>
          </w:p>
        </w:tc>
        <w:tc>
          <w:tcPr>
            <w:tcW w:w="796"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1.135</w:t>
            </w:r>
          </w:p>
        </w:tc>
        <w:tc>
          <w:tcPr>
            <w:tcW w:w="810"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765</w:t>
            </w:r>
          </w:p>
        </w:tc>
        <w:tc>
          <w:tcPr>
            <w:tcW w:w="684"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718</w:t>
            </w:r>
          </w:p>
        </w:tc>
        <w:tc>
          <w:tcPr>
            <w:tcW w:w="669"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726</w:t>
            </w:r>
          </w:p>
        </w:tc>
        <w:tc>
          <w:tcPr>
            <w:tcW w:w="668" w:type="dxa"/>
            <w:shd w:val="clear" w:color="auto" w:fill="D6E0F4"/>
            <w:vAlign w:val="center"/>
          </w:tcPr>
          <w:p w:rsidR="007B7DFF" w:rsidRPr="00460ACD" w:rsidRDefault="007B7DFF" w:rsidP="00F21009">
            <w:pPr>
              <w:spacing w:after="0" w:line="240" w:lineRule="auto"/>
              <w:ind w:firstLine="0"/>
              <w:jc w:val="right"/>
              <w:rPr>
                <w:rFonts w:asciiTheme="majorHAnsi" w:eastAsia="Calibri" w:hAnsiTheme="majorHAnsi" w:cs="DokChampa"/>
                <w:sz w:val="18"/>
                <w:szCs w:val="18"/>
                <w:lang w:eastAsia="en-US"/>
              </w:rPr>
            </w:pPr>
            <w:r w:rsidRPr="00460ACD">
              <w:rPr>
                <w:rFonts w:asciiTheme="majorHAnsi" w:hAnsiTheme="majorHAnsi"/>
                <w:sz w:val="18"/>
                <w:szCs w:val="18"/>
              </w:rPr>
              <w:t>818</w:t>
            </w:r>
          </w:p>
        </w:tc>
        <w:tc>
          <w:tcPr>
            <w:tcW w:w="669" w:type="dxa"/>
            <w:tcBorders>
              <w:top w:val="outset" w:sz="2" w:space="0" w:color="auto"/>
              <w:bottom w:val="outset" w:sz="2" w:space="0" w:color="auto"/>
            </w:tcBorders>
            <w:shd w:val="clear" w:color="auto" w:fill="D6E0F4"/>
            <w:vAlign w:val="center"/>
          </w:tcPr>
          <w:p w:rsidR="007B7DFF" w:rsidRPr="00460ACD" w:rsidRDefault="007B7DFF" w:rsidP="00F21009">
            <w:pPr>
              <w:spacing w:after="0" w:line="240" w:lineRule="auto"/>
              <w:ind w:firstLine="0"/>
              <w:jc w:val="right"/>
              <w:rPr>
                <w:rFonts w:asciiTheme="majorHAnsi" w:eastAsia="Calibri" w:hAnsiTheme="majorHAnsi" w:cs="DokChampa"/>
                <w:sz w:val="18"/>
                <w:szCs w:val="18"/>
                <w:lang w:eastAsia="en-US"/>
              </w:rPr>
            </w:pPr>
            <w:r w:rsidRPr="00460ACD">
              <w:rPr>
                <w:rFonts w:asciiTheme="majorHAnsi" w:hAnsiTheme="majorHAnsi"/>
                <w:sz w:val="18"/>
                <w:szCs w:val="18"/>
              </w:rPr>
              <w:t>807</w:t>
            </w:r>
          </w:p>
        </w:tc>
        <w:tc>
          <w:tcPr>
            <w:tcW w:w="669" w:type="dxa"/>
            <w:tcBorders>
              <w:top w:val="outset" w:sz="2" w:space="0" w:color="auto"/>
              <w:left w:val="nil"/>
              <w:bottom w:val="outset" w:sz="2" w:space="0" w:color="auto"/>
              <w:right w:val="nil"/>
            </w:tcBorders>
            <w:shd w:val="clear" w:color="auto" w:fill="D6E0F4"/>
            <w:vAlign w:val="center"/>
          </w:tcPr>
          <w:p w:rsidR="007B7DFF" w:rsidRPr="00460ACD" w:rsidRDefault="007B7DFF" w:rsidP="00F21009">
            <w:pPr>
              <w:spacing w:after="0" w:line="240" w:lineRule="auto"/>
              <w:ind w:firstLine="0"/>
              <w:jc w:val="right"/>
              <w:rPr>
                <w:rFonts w:asciiTheme="majorHAnsi" w:eastAsia="Calibri" w:hAnsiTheme="majorHAnsi" w:cs="DokChampa"/>
                <w:sz w:val="18"/>
                <w:szCs w:val="18"/>
                <w:lang w:eastAsia="en-US"/>
              </w:rPr>
            </w:pPr>
            <w:r w:rsidRPr="00460ACD">
              <w:rPr>
                <w:rFonts w:asciiTheme="majorHAnsi" w:hAnsiTheme="majorHAnsi"/>
                <w:sz w:val="18"/>
                <w:szCs w:val="18"/>
              </w:rPr>
              <w:t>787</w:t>
            </w:r>
          </w:p>
        </w:tc>
        <w:tc>
          <w:tcPr>
            <w:tcW w:w="669" w:type="dxa"/>
            <w:tcBorders>
              <w:top w:val="outset" w:sz="2" w:space="0" w:color="auto"/>
              <w:bottom w:val="outset" w:sz="2" w:space="0" w:color="auto"/>
            </w:tcBorders>
            <w:shd w:val="clear" w:color="auto" w:fill="D6E0F4"/>
            <w:vAlign w:val="center"/>
          </w:tcPr>
          <w:p w:rsidR="007B7DFF" w:rsidRPr="00460ACD" w:rsidRDefault="007B7DFF" w:rsidP="00F21009">
            <w:pPr>
              <w:spacing w:after="0" w:line="240" w:lineRule="auto"/>
              <w:ind w:firstLine="0"/>
              <w:jc w:val="right"/>
              <w:rPr>
                <w:rFonts w:asciiTheme="majorHAnsi" w:eastAsia="Calibri" w:hAnsiTheme="majorHAnsi" w:cs="DokChampa"/>
                <w:sz w:val="18"/>
                <w:szCs w:val="18"/>
                <w:lang w:eastAsia="en-US"/>
              </w:rPr>
            </w:pPr>
            <w:r>
              <w:rPr>
                <w:rFonts w:asciiTheme="majorHAnsi" w:hAnsiTheme="majorHAnsi"/>
                <w:sz w:val="18"/>
                <w:szCs w:val="18"/>
              </w:rPr>
              <w:t>920</w:t>
            </w:r>
          </w:p>
        </w:tc>
        <w:tc>
          <w:tcPr>
            <w:tcW w:w="810" w:type="dxa"/>
            <w:shd w:val="clear" w:color="auto" w:fill="D6E0F4"/>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1.039</w:t>
            </w:r>
          </w:p>
        </w:tc>
        <w:tc>
          <w:tcPr>
            <w:tcW w:w="811" w:type="dxa"/>
            <w:shd w:val="clear" w:color="auto" w:fill="D6E0F4"/>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1.294</w:t>
            </w:r>
          </w:p>
        </w:tc>
        <w:tc>
          <w:tcPr>
            <w:tcW w:w="932" w:type="dxa"/>
            <w:shd w:val="clear" w:color="auto" w:fill="D6E0F4"/>
            <w:noWrap/>
            <w:vAlign w:val="center"/>
          </w:tcPr>
          <w:p w:rsidR="007B7DFF" w:rsidRPr="00945A8E" w:rsidRDefault="007B7DFF" w:rsidP="000D72D0">
            <w:pPr>
              <w:spacing w:after="0" w:line="240" w:lineRule="auto"/>
              <w:ind w:firstLine="0"/>
              <w:jc w:val="right"/>
              <w:rPr>
                <w:rFonts w:asciiTheme="majorHAnsi" w:eastAsia="Calibri" w:hAnsiTheme="majorHAnsi" w:cs="DokChampa"/>
                <w:sz w:val="18"/>
                <w:szCs w:val="18"/>
                <w:lang w:eastAsia="en-US"/>
              </w:rPr>
            </w:pPr>
            <w:r w:rsidRPr="00945A8E">
              <w:rPr>
                <w:rFonts w:asciiTheme="majorHAnsi" w:eastAsia="Calibri" w:hAnsiTheme="majorHAnsi" w:cs="DokChampa"/>
                <w:sz w:val="18"/>
                <w:szCs w:val="18"/>
                <w:lang w:eastAsia="en-US"/>
              </w:rPr>
              <w:t>11.806</w:t>
            </w:r>
          </w:p>
        </w:tc>
      </w:tr>
    </w:tbl>
    <w:p w:rsidR="00761C8D" w:rsidRPr="00322BD0" w:rsidRDefault="00761C8D" w:rsidP="00761C8D">
      <w:pPr>
        <w:spacing w:after="0" w:line="240" w:lineRule="auto"/>
        <w:jc w:val="center"/>
        <w:rPr>
          <w:rFonts w:ascii="Cambria" w:hAnsi="Cambria"/>
          <w:b/>
          <w:i/>
          <w:sz w:val="16"/>
          <w:szCs w:val="16"/>
          <w:lang w:val="en-GB"/>
        </w:rPr>
      </w:pPr>
    </w:p>
    <w:p w:rsidR="004216C1" w:rsidRPr="00E8309C" w:rsidRDefault="00761C8D" w:rsidP="00E8309C">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Tabl</w:t>
      </w:r>
      <w:r w:rsidR="00D00FA8" w:rsidRPr="00322BD0">
        <w:rPr>
          <w:rFonts w:ascii="Cambria" w:hAnsi="Cambria"/>
          <w:b/>
          <w:i/>
          <w:sz w:val="16"/>
          <w:szCs w:val="16"/>
          <w:lang w:val="en-GB"/>
        </w:rPr>
        <w:t>e</w:t>
      </w:r>
      <w:r w:rsidR="004216C1">
        <w:rPr>
          <w:rFonts w:ascii="Cambria" w:hAnsi="Cambria"/>
          <w:b/>
          <w:i/>
          <w:sz w:val="16"/>
          <w:szCs w:val="16"/>
          <w:lang w:val="en-GB"/>
        </w:rPr>
        <w:t xml:space="preserve"> 5 </w:t>
      </w:r>
      <w:r w:rsidR="00BB5C99" w:rsidRPr="00322BD0">
        <w:rPr>
          <w:rFonts w:ascii="Cambria" w:hAnsi="Cambria"/>
          <w:b/>
          <w:i/>
          <w:sz w:val="16"/>
          <w:szCs w:val="16"/>
          <w:lang w:val="en-GB"/>
        </w:rPr>
        <w:t>–</w:t>
      </w:r>
      <w:r w:rsidRPr="00322BD0">
        <w:rPr>
          <w:rFonts w:ascii="Cambria" w:hAnsi="Cambria"/>
          <w:b/>
          <w:i/>
          <w:sz w:val="16"/>
          <w:szCs w:val="16"/>
          <w:lang w:val="en-GB"/>
        </w:rPr>
        <w:t xml:space="preserve"> </w:t>
      </w:r>
      <w:r w:rsidR="00BB5C99" w:rsidRPr="00322BD0">
        <w:rPr>
          <w:rFonts w:ascii="Cambria" w:hAnsi="Cambria"/>
          <w:b/>
          <w:i/>
          <w:sz w:val="16"/>
          <w:szCs w:val="16"/>
          <w:lang w:val="en-GB"/>
        </w:rPr>
        <w:t>2015 NTS g</w:t>
      </w:r>
      <w:r w:rsidR="004216C1">
        <w:rPr>
          <w:rFonts w:ascii="Cambria" w:eastAsia="Times New Roman" w:hAnsi="Cambria" w:cs="Times New Roman"/>
          <w:b/>
          <w:bCs/>
          <w:i/>
          <w:sz w:val="16"/>
          <w:szCs w:val="16"/>
          <w:lang w:val="en-GB"/>
        </w:rPr>
        <w:t xml:space="preserve">as circulated compared to planned in 2016 </w:t>
      </w:r>
      <w:r w:rsidR="00BB5C99" w:rsidRPr="00322BD0">
        <w:rPr>
          <w:rFonts w:ascii="Cambria" w:eastAsia="Times New Roman" w:hAnsi="Cambria" w:cs="Times New Roman"/>
          <w:b/>
          <w:bCs/>
          <w:i/>
          <w:sz w:val="16"/>
          <w:szCs w:val="16"/>
          <w:lang w:val="en-GB"/>
        </w:rPr>
        <w:t xml:space="preserve"> </w:t>
      </w:r>
      <w:r w:rsidRPr="00322BD0">
        <w:rPr>
          <w:rFonts w:ascii="Cambria" w:eastAsia="Times New Roman" w:hAnsi="Cambria" w:cs="Times New Roman"/>
          <w:b/>
          <w:bCs/>
          <w:i/>
          <w:sz w:val="16"/>
          <w:szCs w:val="16"/>
          <w:lang w:val="en-GB"/>
        </w:rPr>
        <w:t>(mil c</w:t>
      </w:r>
      <w:r w:rsidR="00BB5C99" w:rsidRPr="00322BD0">
        <w:rPr>
          <w:rFonts w:ascii="Cambria" w:eastAsia="Times New Roman" w:hAnsi="Cambria" w:cs="Times New Roman"/>
          <w:b/>
          <w:bCs/>
          <w:i/>
          <w:sz w:val="16"/>
          <w:szCs w:val="16"/>
          <w:lang w:val="en-GB"/>
        </w:rPr>
        <w:t>m</w:t>
      </w:r>
      <w:r w:rsidR="00E8309C">
        <w:rPr>
          <w:rFonts w:ascii="Cambria" w:eastAsia="Times New Roman" w:hAnsi="Cambria" w:cs="Times New Roman"/>
          <w:b/>
          <w:bCs/>
          <w:i/>
          <w:sz w:val="16"/>
          <w:szCs w:val="16"/>
          <w:lang w:val="en-GB"/>
        </w:rPr>
        <w:t>)</w:t>
      </w:r>
    </w:p>
    <w:p w:rsidR="004216C1" w:rsidRDefault="004216C1" w:rsidP="00761C8D">
      <w:pPr>
        <w:spacing w:after="0" w:line="240" w:lineRule="auto"/>
        <w:jc w:val="center"/>
        <w:rPr>
          <w:rFonts w:ascii="Cambria" w:hAnsi="Cambria"/>
          <w:b/>
          <w:i/>
          <w:sz w:val="16"/>
          <w:szCs w:val="16"/>
          <w:lang w:val="en-GB"/>
        </w:rPr>
      </w:pPr>
    </w:p>
    <w:p w:rsidR="004216C1" w:rsidRDefault="004216C1" w:rsidP="00761C8D">
      <w:pPr>
        <w:spacing w:after="0" w:line="240" w:lineRule="auto"/>
        <w:jc w:val="center"/>
        <w:rPr>
          <w:rFonts w:ascii="Cambria" w:hAnsi="Cambria"/>
          <w:b/>
          <w:i/>
          <w:sz w:val="16"/>
          <w:szCs w:val="16"/>
          <w:lang w:val="en-GB"/>
        </w:rPr>
      </w:pPr>
      <w:r w:rsidRPr="00945A8E">
        <w:rPr>
          <w:rFonts w:asciiTheme="majorHAnsi" w:hAnsiTheme="majorHAnsi"/>
          <w:noProof/>
          <w:lang w:val="ro-RO" w:eastAsia="ro-RO"/>
        </w:rPr>
        <w:drawing>
          <wp:inline distT="0" distB="0" distL="0" distR="0" wp14:anchorId="77D8CF69" wp14:editId="5399E275">
            <wp:extent cx="5732980" cy="1777429"/>
            <wp:effectExtent l="0" t="0" r="1270" b="0"/>
            <wp:docPr id="653" name="Chart 6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216C1" w:rsidRDefault="004216C1" w:rsidP="00761C8D">
      <w:pPr>
        <w:spacing w:after="0" w:line="240" w:lineRule="auto"/>
        <w:jc w:val="center"/>
        <w:rPr>
          <w:rFonts w:ascii="Cambria" w:hAnsi="Cambria"/>
          <w:b/>
          <w:i/>
          <w:sz w:val="16"/>
          <w:szCs w:val="16"/>
          <w:lang w:val="en-GB"/>
        </w:rPr>
      </w:pPr>
    </w:p>
    <w:p w:rsidR="00FB6A8A" w:rsidRPr="00322BD0" w:rsidRDefault="004216C1" w:rsidP="00761C8D">
      <w:pPr>
        <w:spacing w:after="0" w:line="240" w:lineRule="auto"/>
        <w:jc w:val="center"/>
        <w:rPr>
          <w:rFonts w:ascii="Cambria" w:eastAsia="Times New Roman" w:hAnsi="Cambria" w:cs="Times New Roman"/>
          <w:b/>
          <w:bCs/>
          <w:i/>
          <w:sz w:val="16"/>
          <w:szCs w:val="16"/>
          <w:lang w:val="en-GB"/>
        </w:rPr>
      </w:pPr>
      <w:r>
        <w:rPr>
          <w:rFonts w:ascii="Cambria" w:hAnsi="Cambria"/>
          <w:b/>
          <w:i/>
          <w:sz w:val="16"/>
          <w:szCs w:val="16"/>
          <w:lang w:val="en-GB"/>
        </w:rPr>
        <w:t>Chart 7</w:t>
      </w:r>
      <w:r w:rsidR="00FB6A8A" w:rsidRPr="00322BD0">
        <w:rPr>
          <w:rFonts w:ascii="Cambria" w:hAnsi="Cambria"/>
          <w:b/>
          <w:i/>
          <w:sz w:val="16"/>
          <w:szCs w:val="16"/>
          <w:lang w:val="en-GB"/>
        </w:rPr>
        <w:t xml:space="preserve"> </w:t>
      </w:r>
      <w:r w:rsidR="00536B34" w:rsidRPr="00322BD0">
        <w:rPr>
          <w:rFonts w:ascii="Cambria" w:hAnsi="Cambria"/>
          <w:b/>
          <w:i/>
          <w:sz w:val="16"/>
          <w:szCs w:val="16"/>
          <w:lang w:val="en-GB"/>
        </w:rPr>
        <w:t>–</w:t>
      </w:r>
      <w:r w:rsidR="00FB6A8A" w:rsidRPr="00322BD0">
        <w:rPr>
          <w:rFonts w:ascii="Cambria" w:hAnsi="Cambria"/>
          <w:b/>
          <w:i/>
          <w:sz w:val="16"/>
          <w:szCs w:val="16"/>
          <w:lang w:val="en-GB"/>
        </w:rPr>
        <w:t xml:space="preserve"> </w:t>
      </w:r>
      <w:r w:rsidR="000D72D0">
        <w:rPr>
          <w:rFonts w:ascii="Cambria" w:hAnsi="Cambria"/>
          <w:b/>
          <w:i/>
          <w:sz w:val="16"/>
          <w:szCs w:val="16"/>
          <w:lang w:val="en-GB"/>
        </w:rPr>
        <w:t>2016</w:t>
      </w:r>
      <w:r w:rsidR="00536B34" w:rsidRPr="00322BD0">
        <w:rPr>
          <w:rFonts w:ascii="Cambria" w:hAnsi="Cambria"/>
          <w:b/>
          <w:i/>
          <w:sz w:val="16"/>
          <w:szCs w:val="16"/>
          <w:lang w:val="en-GB"/>
        </w:rPr>
        <w:t xml:space="preserve"> NTS gas circulated, by </w:t>
      </w:r>
      <w:r w:rsidR="00536B34" w:rsidRPr="00322BD0">
        <w:rPr>
          <w:rFonts w:ascii="Cambria" w:eastAsia="Times New Roman" w:hAnsi="Cambria" w:cs="Times New Roman"/>
          <w:b/>
          <w:bCs/>
          <w:i/>
          <w:sz w:val="16"/>
          <w:szCs w:val="16"/>
          <w:lang w:val="en-GB"/>
        </w:rPr>
        <w:t>source</w:t>
      </w:r>
      <w:r w:rsidR="00FB6A8A" w:rsidRPr="00322BD0">
        <w:rPr>
          <w:rFonts w:ascii="Cambria" w:eastAsia="Times New Roman" w:hAnsi="Cambria" w:cs="Times New Roman"/>
          <w:b/>
          <w:bCs/>
          <w:i/>
          <w:sz w:val="16"/>
          <w:szCs w:val="16"/>
          <w:lang w:val="en-GB"/>
        </w:rPr>
        <w:t xml:space="preserve"> (mil c</w:t>
      </w:r>
      <w:r w:rsidR="00536B34" w:rsidRPr="00322BD0">
        <w:rPr>
          <w:rFonts w:ascii="Cambria" w:eastAsia="Times New Roman" w:hAnsi="Cambria" w:cs="Times New Roman"/>
          <w:b/>
          <w:bCs/>
          <w:i/>
          <w:sz w:val="16"/>
          <w:szCs w:val="16"/>
          <w:lang w:val="en-GB"/>
        </w:rPr>
        <w:t>m</w:t>
      </w:r>
      <w:r w:rsidR="00FB6A8A" w:rsidRPr="00322BD0">
        <w:rPr>
          <w:rFonts w:ascii="Cambria" w:eastAsia="Times New Roman" w:hAnsi="Cambria" w:cs="Times New Roman"/>
          <w:b/>
          <w:bCs/>
          <w:i/>
          <w:sz w:val="16"/>
          <w:szCs w:val="16"/>
          <w:lang w:val="en-GB"/>
        </w:rPr>
        <w:t>)</w:t>
      </w:r>
    </w:p>
    <w:p w:rsidR="00FB6A8A" w:rsidRPr="00322BD0" w:rsidRDefault="00FB6A8A" w:rsidP="00761C8D">
      <w:pPr>
        <w:spacing w:after="0" w:line="240" w:lineRule="auto"/>
        <w:jc w:val="center"/>
        <w:rPr>
          <w:rFonts w:ascii="Cambria" w:eastAsia="Times New Roman" w:hAnsi="Cambria" w:cs="Times New Roman"/>
          <w:b/>
          <w:bCs/>
          <w:i/>
          <w:sz w:val="16"/>
          <w:szCs w:val="16"/>
          <w:lang w:val="en-GB"/>
        </w:rPr>
      </w:pPr>
    </w:p>
    <w:p w:rsidR="00FB6A8A" w:rsidRPr="00322BD0" w:rsidRDefault="004D6A17" w:rsidP="00761C8D">
      <w:pPr>
        <w:spacing w:after="0" w:line="240" w:lineRule="auto"/>
        <w:jc w:val="center"/>
        <w:rPr>
          <w:rFonts w:ascii="Cambria" w:eastAsia="Times New Roman" w:hAnsi="Cambria" w:cs="Times New Roman"/>
          <w:b/>
          <w:bCs/>
          <w:i/>
          <w:sz w:val="16"/>
          <w:szCs w:val="16"/>
          <w:lang w:val="en-GB"/>
        </w:rPr>
      </w:pPr>
      <w:r>
        <w:rPr>
          <w:noProof/>
          <w:lang w:val="ro-RO" w:eastAsia="ro-RO"/>
        </w:rPr>
        <w:drawing>
          <wp:inline distT="0" distB="0" distL="0" distR="0" wp14:anchorId="48C34B27" wp14:editId="0726F6EE">
            <wp:extent cx="5732145" cy="1437005"/>
            <wp:effectExtent l="0" t="0" r="190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61C8D" w:rsidRPr="00322BD0" w:rsidRDefault="00761C8D" w:rsidP="00761C8D">
      <w:pPr>
        <w:spacing w:after="0" w:line="240" w:lineRule="auto"/>
        <w:jc w:val="center"/>
        <w:rPr>
          <w:rFonts w:ascii="Cambria" w:eastAsia="Times New Roman" w:hAnsi="Cambria" w:cs="Times New Roman"/>
          <w:b/>
          <w:bCs/>
          <w:i/>
          <w:sz w:val="16"/>
          <w:szCs w:val="16"/>
          <w:lang w:val="en-GB"/>
        </w:rPr>
      </w:pPr>
    </w:p>
    <w:p w:rsidR="00FB6A8A" w:rsidRDefault="00FB6A8A" w:rsidP="00FB6A8A">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Chart</w:t>
      </w:r>
      <w:r w:rsidR="00802A4B" w:rsidRPr="00322BD0">
        <w:rPr>
          <w:rFonts w:ascii="Cambria" w:hAnsi="Cambria"/>
          <w:b/>
          <w:i/>
          <w:sz w:val="16"/>
          <w:szCs w:val="16"/>
          <w:lang w:val="en-GB"/>
        </w:rPr>
        <w:t xml:space="preserve"> </w:t>
      </w:r>
      <w:r w:rsidR="000D72D0">
        <w:rPr>
          <w:rFonts w:ascii="Cambria" w:hAnsi="Cambria"/>
          <w:b/>
          <w:i/>
          <w:sz w:val="16"/>
          <w:szCs w:val="16"/>
          <w:lang w:val="en-GB"/>
        </w:rPr>
        <w:t>8</w:t>
      </w:r>
      <w:r w:rsidRPr="00322BD0">
        <w:rPr>
          <w:rFonts w:ascii="Cambria" w:hAnsi="Cambria"/>
          <w:b/>
          <w:i/>
          <w:sz w:val="16"/>
          <w:szCs w:val="16"/>
          <w:lang w:val="en-GB"/>
        </w:rPr>
        <w:t xml:space="preserve">- </w:t>
      </w:r>
      <w:r w:rsidR="000D72D0">
        <w:rPr>
          <w:rFonts w:ascii="Cambria" w:hAnsi="Cambria"/>
          <w:b/>
          <w:i/>
          <w:sz w:val="16"/>
          <w:szCs w:val="16"/>
          <w:lang w:val="en-GB"/>
        </w:rPr>
        <w:t>2016</w:t>
      </w:r>
      <w:r w:rsidR="00536B34" w:rsidRPr="00322BD0">
        <w:rPr>
          <w:rFonts w:ascii="Cambria" w:hAnsi="Cambria"/>
          <w:b/>
          <w:i/>
          <w:sz w:val="16"/>
          <w:szCs w:val="16"/>
          <w:lang w:val="en-GB"/>
        </w:rPr>
        <w:t xml:space="preserve"> NTS gas circulated</w:t>
      </w:r>
      <w:r w:rsidR="00536B34" w:rsidRPr="00322BD0">
        <w:rPr>
          <w:rFonts w:ascii="Cambria" w:eastAsia="Times New Roman" w:hAnsi="Cambria" w:cs="Times New Roman"/>
          <w:b/>
          <w:bCs/>
          <w:i/>
          <w:sz w:val="16"/>
          <w:szCs w:val="16"/>
          <w:lang w:val="en-GB"/>
        </w:rPr>
        <w:t xml:space="preserve"> </w:t>
      </w:r>
      <w:r w:rsidRPr="00322BD0">
        <w:rPr>
          <w:rFonts w:ascii="Cambria" w:eastAsia="Times New Roman" w:hAnsi="Cambria" w:cs="Times New Roman"/>
          <w:b/>
          <w:bCs/>
          <w:i/>
          <w:sz w:val="16"/>
          <w:szCs w:val="16"/>
          <w:lang w:val="en-GB"/>
        </w:rPr>
        <w:t>–</w:t>
      </w:r>
      <w:r w:rsidR="00536B34" w:rsidRPr="00322BD0">
        <w:rPr>
          <w:rFonts w:ascii="Cambria" w:eastAsia="Times New Roman" w:hAnsi="Cambria" w:cs="Times New Roman"/>
          <w:b/>
          <w:bCs/>
          <w:i/>
          <w:sz w:val="16"/>
          <w:szCs w:val="16"/>
          <w:lang w:val="en-GB"/>
        </w:rPr>
        <w:t xml:space="preserve"> achieved vs. planned</w:t>
      </w:r>
      <w:r w:rsidRPr="00322BD0">
        <w:rPr>
          <w:rFonts w:ascii="Cambria" w:eastAsia="Times New Roman" w:hAnsi="Cambria" w:cs="Times New Roman"/>
          <w:b/>
          <w:bCs/>
          <w:i/>
          <w:sz w:val="16"/>
          <w:szCs w:val="16"/>
          <w:lang w:val="en-GB"/>
        </w:rPr>
        <w:t xml:space="preserve"> (mil.</w:t>
      </w:r>
      <w:r w:rsidR="00536B34" w:rsidRPr="00322BD0">
        <w:rPr>
          <w:rFonts w:ascii="Cambria" w:eastAsia="Times New Roman" w:hAnsi="Cambria" w:cs="Times New Roman"/>
          <w:b/>
          <w:bCs/>
          <w:i/>
          <w:sz w:val="16"/>
          <w:szCs w:val="16"/>
          <w:lang w:val="en-GB"/>
        </w:rPr>
        <w:t xml:space="preserve"> </w:t>
      </w:r>
      <w:r w:rsidRPr="00322BD0">
        <w:rPr>
          <w:rFonts w:ascii="Cambria" w:eastAsia="Times New Roman" w:hAnsi="Cambria" w:cs="Times New Roman"/>
          <w:b/>
          <w:bCs/>
          <w:i/>
          <w:sz w:val="16"/>
          <w:szCs w:val="16"/>
          <w:lang w:val="en-GB"/>
        </w:rPr>
        <w:t>c</w:t>
      </w:r>
      <w:r w:rsidR="00536B34" w:rsidRPr="00322BD0">
        <w:rPr>
          <w:rFonts w:ascii="Cambria" w:eastAsia="Times New Roman" w:hAnsi="Cambria" w:cs="Times New Roman"/>
          <w:b/>
          <w:bCs/>
          <w:i/>
          <w:sz w:val="16"/>
          <w:szCs w:val="16"/>
          <w:lang w:val="en-GB"/>
        </w:rPr>
        <w:t>m</w:t>
      </w:r>
      <w:r w:rsidRPr="00322BD0">
        <w:rPr>
          <w:rFonts w:ascii="Cambria" w:eastAsia="Times New Roman" w:hAnsi="Cambria" w:cs="Times New Roman"/>
          <w:b/>
          <w:bCs/>
          <w:i/>
          <w:sz w:val="16"/>
          <w:szCs w:val="16"/>
          <w:lang w:val="en-GB"/>
        </w:rPr>
        <w:t>)</w:t>
      </w:r>
    </w:p>
    <w:p w:rsidR="000D72D0" w:rsidRDefault="000D72D0" w:rsidP="00FB6A8A">
      <w:pPr>
        <w:spacing w:after="0" w:line="240" w:lineRule="auto"/>
        <w:jc w:val="center"/>
        <w:rPr>
          <w:rFonts w:ascii="Cambria" w:eastAsia="Times New Roman" w:hAnsi="Cambria" w:cs="Times New Roman"/>
          <w:b/>
          <w:bCs/>
          <w:i/>
          <w:sz w:val="16"/>
          <w:szCs w:val="16"/>
          <w:lang w:val="en-GB"/>
        </w:rPr>
      </w:pPr>
    </w:p>
    <w:p w:rsidR="000D72D0" w:rsidRDefault="000D72D0" w:rsidP="00FB6A8A">
      <w:pPr>
        <w:spacing w:after="0" w:line="240" w:lineRule="auto"/>
        <w:jc w:val="center"/>
        <w:rPr>
          <w:rFonts w:ascii="Cambria" w:eastAsia="Times New Roman" w:hAnsi="Cambria" w:cs="Times New Roman"/>
          <w:b/>
          <w:bCs/>
          <w:i/>
          <w:sz w:val="16"/>
          <w:szCs w:val="16"/>
          <w:lang w:val="en-GB"/>
        </w:rPr>
      </w:pPr>
    </w:p>
    <w:p w:rsidR="000D72D0" w:rsidRDefault="000D72D0" w:rsidP="00FB6A8A">
      <w:pPr>
        <w:spacing w:after="0" w:line="240" w:lineRule="auto"/>
        <w:jc w:val="center"/>
        <w:rPr>
          <w:rFonts w:ascii="Cambria" w:eastAsia="Times New Roman" w:hAnsi="Cambria" w:cs="Times New Roman"/>
          <w:b/>
          <w:bCs/>
          <w:i/>
          <w:sz w:val="16"/>
          <w:szCs w:val="16"/>
          <w:lang w:val="en-GB"/>
        </w:rPr>
      </w:pPr>
      <w:r w:rsidRPr="00945A8E">
        <w:rPr>
          <w:rFonts w:asciiTheme="majorHAnsi" w:hAnsiTheme="majorHAnsi"/>
          <w:noProof/>
          <w:lang w:val="ro-RO" w:eastAsia="ro-RO"/>
        </w:rPr>
        <w:drawing>
          <wp:inline distT="0" distB="0" distL="0" distR="0" wp14:anchorId="487181A1" wp14:editId="4586C75E">
            <wp:extent cx="5732145" cy="1057275"/>
            <wp:effectExtent l="0" t="0" r="1905" b="0"/>
            <wp:docPr id="658" name="Chart 6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D72D0" w:rsidRDefault="000D72D0" w:rsidP="00FB6A8A">
      <w:pPr>
        <w:spacing w:after="0" w:line="240" w:lineRule="auto"/>
        <w:jc w:val="center"/>
        <w:rPr>
          <w:rFonts w:ascii="Cambria" w:eastAsia="Times New Roman" w:hAnsi="Cambria" w:cs="Times New Roman"/>
          <w:b/>
          <w:bCs/>
          <w:i/>
          <w:sz w:val="16"/>
          <w:szCs w:val="16"/>
          <w:lang w:val="en-GB"/>
        </w:rPr>
      </w:pPr>
    </w:p>
    <w:p w:rsidR="00FF014E" w:rsidRDefault="000D72D0" w:rsidP="000D72D0">
      <w:pPr>
        <w:spacing w:after="0" w:line="240" w:lineRule="auto"/>
        <w:ind w:firstLine="0"/>
        <w:jc w:val="center"/>
        <w:rPr>
          <w:rFonts w:ascii="Cambria" w:eastAsia="Times New Roman" w:hAnsi="Cambria" w:cs="Times New Roman"/>
          <w:b/>
          <w:bCs/>
          <w:i/>
          <w:sz w:val="16"/>
          <w:szCs w:val="16"/>
          <w:lang w:val="en-GB"/>
        </w:rPr>
      </w:pPr>
      <w:r>
        <w:rPr>
          <w:rFonts w:asciiTheme="majorHAnsi" w:eastAsia="Calibri" w:hAnsiTheme="majorHAnsi" w:cs="Times New Roman"/>
          <w:b/>
          <w:i/>
          <w:sz w:val="16"/>
          <w:szCs w:val="16"/>
          <w:lang w:eastAsia="en-US"/>
        </w:rPr>
        <w:t>Chart</w:t>
      </w:r>
      <w:r w:rsidRPr="00945A8E">
        <w:rPr>
          <w:rFonts w:asciiTheme="majorHAnsi" w:eastAsia="Calibri" w:hAnsiTheme="majorHAnsi" w:cs="Times New Roman"/>
          <w:b/>
          <w:i/>
          <w:sz w:val="16"/>
          <w:szCs w:val="16"/>
          <w:lang w:eastAsia="en-US"/>
        </w:rPr>
        <w:t xml:space="preserve"> </w:t>
      </w:r>
      <w:r>
        <w:rPr>
          <w:rFonts w:asciiTheme="majorHAnsi" w:eastAsia="Calibri" w:hAnsiTheme="majorHAnsi" w:cs="Times New Roman"/>
          <w:b/>
          <w:i/>
          <w:sz w:val="16"/>
          <w:szCs w:val="16"/>
          <w:lang w:eastAsia="en-US"/>
        </w:rPr>
        <w:t>9</w:t>
      </w:r>
      <w:r w:rsidRPr="00945A8E">
        <w:rPr>
          <w:rFonts w:asciiTheme="majorHAnsi" w:eastAsia="Calibri" w:hAnsiTheme="majorHAnsi" w:cs="Times New Roman"/>
          <w:b/>
          <w:i/>
          <w:sz w:val="16"/>
          <w:szCs w:val="16"/>
          <w:lang w:eastAsia="en-US"/>
        </w:rPr>
        <w:t xml:space="preserve">- </w:t>
      </w:r>
      <w:r>
        <w:rPr>
          <w:rFonts w:ascii="Cambria" w:hAnsi="Cambria"/>
          <w:b/>
          <w:i/>
          <w:sz w:val="16"/>
          <w:szCs w:val="16"/>
          <w:lang w:val="en-GB"/>
        </w:rPr>
        <w:t>2016</w:t>
      </w:r>
      <w:r w:rsidRPr="00322BD0">
        <w:rPr>
          <w:rFonts w:ascii="Cambria" w:hAnsi="Cambria"/>
          <w:b/>
          <w:i/>
          <w:sz w:val="16"/>
          <w:szCs w:val="16"/>
          <w:lang w:val="en-GB"/>
        </w:rPr>
        <w:t xml:space="preserve"> NTS gas circulated, by </w:t>
      </w:r>
      <w:r w:rsidRPr="00322BD0">
        <w:rPr>
          <w:rFonts w:ascii="Cambria" w:eastAsia="Times New Roman" w:hAnsi="Cambria" w:cs="Times New Roman"/>
          <w:b/>
          <w:bCs/>
          <w:i/>
          <w:sz w:val="16"/>
          <w:szCs w:val="16"/>
          <w:lang w:val="en-GB"/>
        </w:rPr>
        <w:t>source (mil cm)</w:t>
      </w:r>
    </w:p>
    <w:p w:rsidR="000D72D0" w:rsidRPr="00322BD0" w:rsidRDefault="000D72D0" w:rsidP="000D72D0">
      <w:pPr>
        <w:spacing w:after="0" w:line="240" w:lineRule="auto"/>
        <w:ind w:firstLine="0"/>
        <w:jc w:val="center"/>
        <w:rPr>
          <w:lang w:val="en-GB" w:eastAsia="en-US"/>
        </w:rPr>
      </w:pPr>
    </w:p>
    <w:p w:rsidR="00802A4B" w:rsidRPr="00322BD0" w:rsidRDefault="00802A4B" w:rsidP="00802A4B">
      <w:pPr>
        <w:spacing w:after="0" w:line="240" w:lineRule="auto"/>
        <w:ind w:firstLine="0"/>
        <w:jc w:val="right"/>
        <w:rPr>
          <w:rFonts w:ascii="Cambria" w:eastAsia="Calibri" w:hAnsi="Cambria" w:cs="Times New Roman"/>
          <w:b/>
          <w:sz w:val="18"/>
          <w:szCs w:val="18"/>
          <w:lang w:val="en-GB" w:eastAsia="en-US"/>
        </w:rPr>
      </w:pPr>
      <w:r w:rsidRPr="00322BD0">
        <w:rPr>
          <w:rFonts w:ascii="Cambria" w:eastAsia="Calibri" w:hAnsi="Cambria" w:cs="Times New Roman"/>
          <w:b/>
          <w:sz w:val="18"/>
          <w:szCs w:val="18"/>
          <w:lang w:val="en-GB" w:eastAsia="en-US"/>
        </w:rPr>
        <w:t>(thousand cm)</w:t>
      </w:r>
    </w:p>
    <w:tbl>
      <w:tblPr>
        <w:tblW w:w="744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272"/>
        <w:gridCol w:w="1068"/>
        <w:gridCol w:w="1068"/>
        <w:gridCol w:w="1068"/>
        <w:gridCol w:w="1048"/>
        <w:gridCol w:w="1048"/>
        <w:gridCol w:w="941"/>
      </w:tblGrid>
      <w:tr w:rsidR="00802A4B" w:rsidRPr="00322BD0" w:rsidTr="000D72D0">
        <w:trPr>
          <w:trHeight w:val="53"/>
          <w:tblCellSpacing w:w="20" w:type="dxa"/>
          <w:jc w:val="center"/>
        </w:trPr>
        <w:tc>
          <w:tcPr>
            <w:tcW w:w="7363" w:type="dxa"/>
            <w:gridSpan w:val="7"/>
            <w:shd w:val="clear" w:color="auto" w:fill="D6E0F4"/>
            <w:noWrap/>
            <w:vAlign w:val="center"/>
          </w:tcPr>
          <w:p w:rsidR="00802A4B" w:rsidRPr="00322BD0" w:rsidRDefault="000D72D0" w:rsidP="00802A4B">
            <w:pPr>
              <w:spacing w:after="0" w:line="240" w:lineRule="auto"/>
              <w:ind w:firstLine="0"/>
              <w:jc w:val="center"/>
              <w:rPr>
                <w:rFonts w:ascii="Cambria" w:eastAsia="Times New Roman" w:hAnsi="Cambria" w:cs="Times New Roman"/>
                <w:b/>
                <w:bCs/>
                <w:sz w:val="18"/>
                <w:szCs w:val="18"/>
                <w:lang w:val="en-GB" w:eastAsia="en-US"/>
              </w:rPr>
            </w:pPr>
            <w:r>
              <w:rPr>
                <w:rFonts w:ascii="Cambria" w:eastAsia="Times New Roman" w:hAnsi="Cambria" w:cs="Times New Roman"/>
                <w:b/>
                <w:bCs/>
                <w:sz w:val="18"/>
                <w:szCs w:val="18"/>
                <w:lang w:val="en-GB" w:eastAsia="en-US"/>
              </w:rPr>
              <w:t>2016</w:t>
            </w:r>
            <w:r w:rsidR="00802A4B" w:rsidRPr="00322BD0">
              <w:rPr>
                <w:rFonts w:ascii="Cambria" w:eastAsia="Times New Roman" w:hAnsi="Cambria" w:cs="Times New Roman"/>
                <w:b/>
                <w:bCs/>
                <w:sz w:val="18"/>
                <w:szCs w:val="18"/>
                <w:lang w:val="en-GB" w:eastAsia="en-US"/>
              </w:rPr>
              <w:t xml:space="preserve"> gas transmitted/planned </w:t>
            </w:r>
          </w:p>
        </w:tc>
      </w:tr>
      <w:tr w:rsidR="00802A4B" w:rsidRPr="00322BD0" w:rsidTr="000D72D0">
        <w:trPr>
          <w:trHeight w:val="183"/>
          <w:tblCellSpacing w:w="20" w:type="dxa"/>
          <w:jc w:val="center"/>
        </w:trPr>
        <w:tc>
          <w:tcPr>
            <w:tcW w:w="1202" w:type="dxa"/>
            <w:shd w:val="clear" w:color="auto" w:fill="D6E0F4"/>
            <w:noWrap/>
            <w:vAlign w:val="center"/>
            <w:hideMark/>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p>
        </w:tc>
        <w:tc>
          <w:tcPr>
            <w:tcW w:w="1018" w:type="dxa"/>
            <w:shd w:val="clear" w:color="auto" w:fill="D6E0F4"/>
            <w:noWrap/>
            <w:vAlign w:val="center"/>
            <w:hideMark/>
          </w:tcPr>
          <w:p w:rsidR="00802A4B" w:rsidRPr="00322BD0" w:rsidRDefault="00C21D78"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January</w:t>
            </w:r>
          </w:p>
        </w:tc>
        <w:tc>
          <w:tcPr>
            <w:tcW w:w="1018" w:type="dxa"/>
            <w:shd w:val="clear" w:color="auto" w:fill="D6E0F4"/>
            <w:noWrap/>
            <w:vAlign w:val="center"/>
            <w:hideMark/>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Feb</w:t>
            </w:r>
            <w:r w:rsidR="00C21D78" w:rsidRPr="00322BD0">
              <w:rPr>
                <w:rFonts w:ascii="Cambria" w:eastAsia="Times New Roman" w:hAnsi="Cambria" w:cs="Times New Roman"/>
                <w:b/>
                <w:bCs/>
                <w:sz w:val="18"/>
                <w:szCs w:val="18"/>
                <w:lang w:val="en-GB" w:eastAsia="en-US"/>
              </w:rPr>
              <w:t>ruary</w:t>
            </w:r>
          </w:p>
        </w:tc>
        <w:tc>
          <w:tcPr>
            <w:tcW w:w="1018" w:type="dxa"/>
            <w:shd w:val="clear" w:color="auto" w:fill="D6E0F4"/>
            <w:noWrap/>
            <w:vAlign w:val="center"/>
            <w:hideMark/>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Mar</w:t>
            </w:r>
            <w:r w:rsidR="00C21D78" w:rsidRPr="00322BD0">
              <w:rPr>
                <w:rFonts w:ascii="Cambria" w:eastAsia="Times New Roman" w:hAnsi="Cambria" w:cs="Times New Roman"/>
                <w:b/>
                <w:bCs/>
                <w:sz w:val="18"/>
                <w:szCs w:val="18"/>
                <w:lang w:val="en-GB" w:eastAsia="en-US"/>
              </w:rPr>
              <w:t>ch</w:t>
            </w:r>
          </w:p>
        </w:tc>
        <w:tc>
          <w:tcPr>
            <w:tcW w:w="998" w:type="dxa"/>
            <w:shd w:val="clear" w:color="auto" w:fill="D6E0F4"/>
            <w:noWrap/>
            <w:vAlign w:val="center"/>
            <w:hideMark/>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Apr</w:t>
            </w:r>
            <w:r w:rsidR="00C21D78" w:rsidRPr="00322BD0">
              <w:rPr>
                <w:rFonts w:ascii="Cambria" w:eastAsia="Times New Roman" w:hAnsi="Cambria" w:cs="Times New Roman"/>
                <w:b/>
                <w:bCs/>
                <w:sz w:val="18"/>
                <w:szCs w:val="18"/>
                <w:lang w:val="en-GB" w:eastAsia="en-US"/>
              </w:rPr>
              <w:t>il</w:t>
            </w:r>
          </w:p>
        </w:tc>
        <w:tc>
          <w:tcPr>
            <w:tcW w:w="998" w:type="dxa"/>
            <w:shd w:val="clear" w:color="auto" w:fill="D6E0F4"/>
            <w:noWrap/>
            <w:vAlign w:val="center"/>
            <w:hideMark/>
          </w:tcPr>
          <w:p w:rsidR="00802A4B" w:rsidRPr="00322BD0" w:rsidRDefault="00802A4B" w:rsidP="00C21D78">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Ma</w:t>
            </w:r>
            <w:r w:rsidR="00C21D78" w:rsidRPr="00322BD0">
              <w:rPr>
                <w:rFonts w:ascii="Cambria" w:eastAsia="Times New Roman" w:hAnsi="Cambria" w:cs="Times New Roman"/>
                <w:b/>
                <w:bCs/>
                <w:sz w:val="18"/>
                <w:szCs w:val="18"/>
                <w:lang w:val="en-GB" w:eastAsia="en-US"/>
              </w:rPr>
              <w:t>y</w:t>
            </w:r>
          </w:p>
        </w:tc>
        <w:tc>
          <w:tcPr>
            <w:tcW w:w="871" w:type="dxa"/>
            <w:shd w:val="clear" w:color="auto" w:fill="D6E0F4"/>
            <w:noWrap/>
            <w:vAlign w:val="center"/>
            <w:hideMark/>
          </w:tcPr>
          <w:p w:rsidR="00802A4B" w:rsidRPr="00322BD0" w:rsidRDefault="00C21D78" w:rsidP="00C21D78">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June</w:t>
            </w:r>
          </w:p>
        </w:tc>
      </w:tr>
      <w:tr w:rsidR="000D72D0" w:rsidRPr="00322BD0" w:rsidTr="000D72D0">
        <w:trPr>
          <w:trHeight w:val="186"/>
          <w:tblCellSpacing w:w="20" w:type="dxa"/>
          <w:jc w:val="center"/>
        </w:trPr>
        <w:tc>
          <w:tcPr>
            <w:tcW w:w="1202" w:type="dxa"/>
            <w:shd w:val="clear" w:color="auto" w:fill="auto"/>
            <w:noWrap/>
            <w:vAlign w:val="center"/>
            <w:hideMark/>
          </w:tcPr>
          <w:p w:rsidR="000D72D0" w:rsidRPr="00322BD0" w:rsidRDefault="000D72D0" w:rsidP="00A74D4E">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PLANNED </w:t>
            </w:r>
          </w:p>
        </w:tc>
        <w:tc>
          <w:tcPr>
            <w:tcW w:w="1018"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1.477.623</w:t>
            </w:r>
          </w:p>
        </w:tc>
        <w:tc>
          <w:tcPr>
            <w:tcW w:w="1018"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1.295.217</w:t>
            </w:r>
          </w:p>
        </w:tc>
        <w:tc>
          <w:tcPr>
            <w:tcW w:w="1018"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1.125.071</w:t>
            </w:r>
          </w:p>
        </w:tc>
        <w:tc>
          <w:tcPr>
            <w:tcW w:w="998"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875.963</w:t>
            </w:r>
          </w:p>
        </w:tc>
        <w:tc>
          <w:tcPr>
            <w:tcW w:w="998"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713.052</w:t>
            </w:r>
          </w:p>
        </w:tc>
        <w:tc>
          <w:tcPr>
            <w:tcW w:w="871" w:type="dxa"/>
            <w:shd w:val="clear" w:color="auto" w:fill="auto"/>
            <w:noWrap/>
            <w:vAlign w:val="center"/>
            <w:hideMark/>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721.271</w:t>
            </w:r>
          </w:p>
        </w:tc>
      </w:tr>
      <w:tr w:rsidR="000D72D0" w:rsidRPr="00322BD0" w:rsidTr="000D72D0">
        <w:trPr>
          <w:trHeight w:val="190"/>
          <w:tblCellSpacing w:w="20" w:type="dxa"/>
          <w:jc w:val="center"/>
        </w:trPr>
        <w:tc>
          <w:tcPr>
            <w:tcW w:w="1202" w:type="dxa"/>
            <w:shd w:val="clear" w:color="auto" w:fill="auto"/>
            <w:noWrap/>
            <w:vAlign w:val="center"/>
            <w:hideMark/>
          </w:tcPr>
          <w:p w:rsidR="000D72D0" w:rsidRPr="00322BD0" w:rsidRDefault="000D72D0" w:rsidP="00A74D4E">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ACHIEVED </w:t>
            </w:r>
          </w:p>
        </w:tc>
        <w:tc>
          <w:tcPr>
            <w:tcW w:w="1018"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1.624.019</w:t>
            </w:r>
          </w:p>
        </w:tc>
        <w:tc>
          <w:tcPr>
            <w:tcW w:w="1018"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1.073.166</w:t>
            </w:r>
          </w:p>
        </w:tc>
        <w:tc>
          <w:tcPr>
            <w:tcW w:w="1018"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1.028.315</w:t>
            </w:r>
          </w:p>
        </w:tc>
        <w:tc>
          <w:tcPr>
            <w:tcW w:w="998"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756.549</w:t>
            </w:r>
          </w:p>
        </w:tc>
        <w:tc>
          <w:tcPr>
            <w:tcW w:w="998"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724.148</w:t>
            </w:r>
          </w:p>
        </w:tc>
        <w:tc>
          <w:tcPr>
            <w:tcW w:w="871" w:type="dxa"/>
            <w:shd w:val="clear" w:color="auto" w:fill="auto"/>
            <w:noWrap/>
            <w:vAlign w:val="center"/>
          </w:tcPr>
          <w:p w:rsidR="000D72D0" w:rsidRPr="00945A8E" w:rsidRDefault="000D72D0" w:rsidP="000D72D0">
            <w:pPr>
              <w:spacing w:after="0" w:line="240" w:lineRule="auto"/>
              <w:ind w:firstLine="0"/>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666.841</w:t>
            </w:r>
          </w:p>
        </w:tc>
      </w:tr>
    </w:tbl>
    <w:p w:rsidR="00802A4B" w:rsidRPr="00322BD0" w:rsidRDefault="00802A4B" w:rsidP="00802A4B">
      <w:pPr>
        <w:spacing w:after="0" w:line="240" w:lineRule="auto"/>
        <w:ind w:firstLine="0"/>
        <w:jc w:val="both"/>
        <w:rPr>
          <w:rFonts w:ascii="Cambria" w:eastAsia="Calibri" w:hAnsi="Cambria" w:cs="Times New Roman"/>
          <w:sz w:val="24"/>
          <w:lang w:val="en-GB" w:eastAsia="en-US"/>
        </w:rPr>
      </w:pPr>
    </w:p>
    <w:p w:rsidR="00AC52FB" w:rsidRPr="004E6EAA" w:rsidRDefault="004E6EAA" w:rsidP="004E6EAA">
      <w:pPr>
        <w:spacing w:after="0" w:line="240" w:lineRule="auto"/>
        <w:ind w:firstLine="0"/>
        <w:jc w:val="right"/>
        <w:rPr>
          <w:rFonts w:ascii="Cambria" w:eastAsia="Calibri" w:hAnsi="Cambria" w:cs="Times New Roman"/>
          <w:b/>
          <w:sz w:val="18"/>
          <w:szCs w:val="18"/>
          <w:lang w:val="en-GB" w:eastAsia="en-US"/>
        </w:rPr>
      </w:pPr>
      <w:r>
        <w:rPr>
          <w:rFonts w:ascii="Cambria" w:eastAsia="Calibri" w:hAnsi="Cambria" w:cs="Times New Roman"/>
          <w:b/>
          <w:sz w:val="18"/>
          <w:szCs w:val="18"/>
          <w:lang w:val="en-GB" w:eastAsia="en-US"/>
        </w:rPr>
        <w:t>(thousand cm)</w:t>
      </w:r>
    </w:p>
    <w:tbl>
      <w:tblPr>
        <w:tblW w:w="917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309"/>
        <w:gridCol w:w="1057"/>
        <w:gridCol w:w="1057"/>
        <w:gridCol w:w="1196"/>
        <w:gridCol w:w="1057"/>
        <w:gridCol w:w="1156"/>
        <w:gridCol w:w="1142"/>
        <w:gridCol w:w="1213"/>
      </w:tblGrid>
      <w:tr w:rsidR="00802A4B" w:rsidRPr="00322BD0" w:rsidTr="00F262E2">
        <w:trPr>
          <w:trHeight w:val="145"/>
          <w:tblCellSpacing w:w="20" w:type="dxa"/>
          <w:jc w:val="center"/>
        </w:trPr>
        <w:tc>
          <w:tcPr>
            <w:tcW w:w="9097" w:type="dxa"/>
            <w:gridSpan w:val="8"/>
            <w:shd w:val="clear" w:color="auto" w:fill="D6E0F4"/>
            <w:noWrap/>
            <w:vAlign w:val="center"/>
          </w:tcPr>
          <w:p w:rsidR="00802A4B" w:rsidRPr="00322BD0" w:rsidRDefault="004E6EAA" w:rsidP="00A74D4E">
            <w:pPr>
              <w:spacing w:after="0" w:line="240" w:lineRule="auto"/>
              <w:ind w:firstLine="0"/>
              <w:jc w:val="center"/>
              <w:rPr>
                <w:rFonts w:ascii="Cambria" w:eastAsia="Times New Roman" w:hAnsi="Cambria" w:cs="Times New Roman"/>
                <w:b/>
                <w:bCs/>
                <w:sz w:val="18"/>
                <w:szCs w:val="18"/>
                <w:lang w:val="en-GB" w:eastAsia="en-US"/>
              </w:rPr>
            </w:pPr>
            <w:r>
              <w:rPr>
                <w:rFonts w:ascii="Cambria" w:eastAsia="Times New Roman" w:hAnsi="Cambria" w:cs="Times New Roman"/>
                <w:b/>
                <w:bCs/>
                <w:sz w:val="18"/>
                <w:szCs w:val="18"/>
                <w:lang w:val="en-GB" w:eastAsia="en-US"/>
              </w:rPr>
              <w:t>2016</w:t>
            </w:r>
            <w:r w:rsidR="007B62F4" w:rsidRPr="00322BD0">
              <w:rPr>
                <w:rFonts w:ascii="Cambria" w:eastAsia="Times New Roman" w:hAnsi="Cambria" w:cs="Times New Roman"/>
                <w:b/>
                <w:bCs/>
                <w:sz w:val="18"/>
                <w:szCs w:val="18"/>
                <w:lang w:val="en-GB" w:eastAsia="en-US"/>
              </w:rPr>
              <w:t xml:space="preserve"> gas transmitted/planned</w:t>
            </w:r>
          </w:p>
        </w:tc>
      </w:tr>
      <w:tr w:rsidR="00802A4B" w:rsidRPr="00322BD0" w:rsidTr="00F262E2">
        <w:trPr>
          <w:trHeight w:val="369"/>
          <w:tblCellSpacing w:w="20" w:type="dxa"/>
          <w:jc w:val="center"/>
        </w:trPr>
        <w:tc>
          <w:tcPr>
            <w:tcW w:w="1239" w:type="dxa"/>
            <w:shd w:val="clear" w:color="auto" w:fill="D6E0F4"/>
            <w:noWrap/>
            <w:vAlign w:val="center"/>
            <w:hideMark/>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p>
        </w:tc>
        <w:tc>
          <w:tcPr>
            <w:tcW w:w="1007" w:type="dxa"/>
            <w:shd w:val="clear" w:color="auto" w:fill="D6E0F4"/>
            <w:noWrap/>
            <w:vAlign w:val="center"/>
          </w:tcPr>
          <w:p w:rsidR="00802A4B" w:rsidRPr="00322BD0" w:rsidRDefault="007B62F4" w:rsidP="00A74D4E">
            <w:pPr>
              <w:spacing w:after="0" w:line="240" w:lineRule="auto"/>
              <w:ind w:firstLine="0"/>
              <w:jc w:val="center"/>
              <w:rPr>
                <w:rFonts w:ascii="Cambria" w:eastAsia="Calibri" w:hAnsi="Cambria" w:cs="Times New Roman"/>
                <w:b/>
                <w:sz w:val="18"/>
                <w:szCs w:val="18"/>
                <w:lang w:val="en-GB" w:eastAsia="en-US"/>
              </w:rPr>
            </w:pPr>
            <w:r w:rsidRPr="00322BD0">
              <w:rPr>
                <w:rFonts w:ascii="Cambria" w:eastAsia="Calibri" w:hAnsi="Cambria" w:cs="Times New Roman"/>
                <w:b/>
                <w:sz w:val="18"/>
                <w:szCs w:val="18"/>
                <w:lang w:val="en-GB" w:eastAsia="en-US"/>
              </w:rPr>
              <w:t>July</w:t>
            </w:r>
          </w:p>
        </w:tc>
        <w:tc>
          <w:tcPr>
            <w:tcW w:w="1007" w:type="dxa"/>
            <w:shd w:val="clear" w:color="auto" w:fill="D6E0F4"/>
            <w:noWrap/>
            <w:vAlign w:val="center"/>
          </w:tcPr>
          <w:p w:rsidR="00802A4B" w:rsidRPr="00322BD0" w:rsidRDefault="00802A4B" w:rsidP="00A74D4E">
            <w:pPr>
              <w:spacing w:after="0" w:line="240" w:lineRule="auto"/>
              <w:ind w:firstLine="0"/>
              <w:jc w:val="center"/>
              <w:rPr>
                <w:rFonts w:ascii="Cambria" w:eastAsia="Calibri" w:hAnsi="Cambria" w:cs="Times New Roman"/>
                <w:b/>
                <w:sz w:val="18"/>
                <w:szCs w:val="18"/>
                <w:lang w:val="en-GB" w:eastAsia="en-US"/>
              </w:rPr>
            </w:pPr>
            <w:r w:rsidRPr="00322BD0">
              <w:rPr>
                <w:rFonts w:ascii="Cambria" w:eastAsia="Calibri" w:hAnsi="Cambria" w:cs="Times New Roman"/>
                <w:b/>
                <w:sz w:val="18"/>
                <w:szCs w:val="18"/>
                <w:lang w:val="en-GB" w:eastAsia="en-US"/>
              </w:rPr>
              <w:t>Aug</w:t>
            </w:r>
            <w:r w:rsidR="007B62F4" w:rsidRPr="00322BD0">
              <w:rPr>
                <w:rFonts w:ascii="Cambria" w:eastAsia="Calibri" w:hAnsi="Cambria" w:cs="Times New Roman"/>
                <w:b/>
                <w:sz w:val="18"/>
                <w:szCs w:val="18"/>
                <w:lang w:val="en-GB" w:eastAsia="en-US"/>
              </w:rPr>
              <w:t>ust</w:t>
            </w:r>
          </w:p>
        </w:tc>
        <w:tc>
          <w:tcPr>
            <w:tcW w:w="1146" w:type="dxa"/>
            <w:shd w:val="clear" w:color="auto" w:fill="D6E0F4"/>
            <w:noWrap/>
            <w:vAlign w:val="center"/>
          </w:tcPr>
          <w:p w:rsidR="00802A4B" w:rsidRPr="00322BD0" w:rsidRDefault="00802A4B" w:rsidP="00A74D4E">
            <w:pPr>
              <w:spacing w:after="0" w:line="240" w:lineRule="auto"/>
              <w:ind w:firstLine="0"/>
              <w:jc w:val="center"/>
              <w:rPr>
                <w:rFonts w:ascii="Cambria" w:eastAsia="Calibri" w:hAnsi="Cambria" w:cs="Times New Roman"/>
                <w:b/>
                <w:sz w:val="18"/>
                <w:szCs w:val="18"/>
                <w:lang w:val="en-GB" w:eastAsia="en-US"/>
              </w:rPr>
            </w:pPr>
            <w:r w:rsidRPr="00322BD0">
              <w:rPr>
                <w:rFonts w:ascii="Cambria" w:eastAsia="Calibri" w:hAnsi="Cambria" w:cs="Times New Roman"/>
                <w:b/>
                <w:sz w:val="18"/>
                <w:szCs w:val="18"/>
                <w:lang w:val="en-GB" w:eastAsia="en-US"/>
              </w:rPr>
              <w:t>Sep</w:t>
            </w:r>
            <w:r w:rsidR="007B62F4" w:rsidRPr="00322BD0">
              <w:rPr>
                <w:rFonts w:ascii="Cambria" w:eastAsia="Calibri" w:hAnsi="Cambria" w:cs="Times New Roman"/>
                <w:b/>
                <w:sz w:val="18"/>
                <w:szCs w:val="18"/>
                <w:lang w:val="en-GB" w:eastAsia="en-US"/>
              </w:rPr>
              <w:t>tember</w:t>
            </w:r>
          </w:p>
        </w:tc>
        <w:tc>
          <w:tcPr>
            <w:tcW w:w="1007" w:type="dxa"/>
            <w:shd w:val="clear" w:color="auto" w:fill="D6E0F4"/>
            <w:noWrap/>
            <w:vAlign w:val="center"/>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Oct</w:t>
            </w:r>
            <w:r w:rsidR="007B62F4" w:rsidRPr="00322BD0">
              <w:rPr>
                <w:rFonts w:ascii="Cambria" w:eastAsia="Times New Roman" w:hAnsi="Cambria" w:cs="Times New Roman"/>
                <w:b/>
                <w:bCs/>
                <w:sz w:val="18"/>
                <w:szCs w:val="18"/>
                <w:lang w:val="en-GB" w:eastAsia="en-US"/>
              </w:rPr>
              <w:t>ober</w:t>
            </w:r>
          </w:p>
        </w:tc>
        <w:tc>
          <w:tcPr>
            <w:tcW w:w="1106" w:type="dxa"/>
            <w:shd w:val="clear" w:color="auto" w:fill="D6E0F4"/>
            <w:noWrap/>
            <w:vAlign w:val="center"/>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Nov</w:t>
            </w:r>
            <w:r w:rsidR="007B62F4" w:rsidRPr="00322BD0">
              <w:rPr>
                <w:rFonts w:ascii="Cambria" w:eastAsia="Times New Roman" w:hAnsi="Cambria" w:cs="Times New Roman"/>
                <w:b/>
                <w:bCs/>
                <w:sz w:val="18"/>
                <w:szCs w:val="18"/>
                <w:lang w:val="en-GB" w:eastAsia="en-US"/>
              </w:rPr>
              <w:t>ember</w:t>
            </w:r>
          </w:p>
        </w:tc>
        <w:tc>
          <w:tcPr>
            <w:tcW w:w="1092" w:type="dxa"/>
            <w:shd w:val="clear" w:color="auto" w:fill="D6E0F4"/>
            <w:noWrap/>
            <w:vAlign w:val="center"/>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Dec</w:t>
            </w:r>
            <w:r w:rsidR="007B62F4" w:rsidRPr="00322BD0">
              <w:rPr>
                <w:rFonts w:ascii="Cambria" w:eastAsia="Times New Roman" w:hAnsi="Cambria" w:cs="Times New Roman"/>
                <w:b/>
                <w:bCs/>
                <w:sz w:val="18"/>
                <w:szCs w:val="18"/>
                <w:lang w:val="en-GB" w:eastAsia="en-US"/>
              </w:rPr>
              <w:t>ember</w:t>
            </w:r>
          </w:p>
        </w:tc>
        <w:tc>
          <w:tcPr>
            <w:tcW w:w="1213" w:type="dxa"/>
            <w:shd w:val="clear" w:color="auto" w:fill="D6E0F4"/>
            <w:vAlign w:val="center"/>
          </w:tcPr>
          <w:p w:rsidR="00802A4B" w:rsidRPr="00322BD0" w:rsidRDefault="00802A4B" w:rsidP="00A74D4E">
            <w:pPr>
              <w:spacing w:after="0" w:line="240" w:lineRule="auto"/>
              <w:ind w:firstLine="0"/>
              <w:jc w:val="center"/>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TOTAL 2015</w:t>
            </w:r>
          </w:p>
        </w:tc>
      </w:tr>
      <w:tr w:rsidR="004E6EAA" w:rsidRPr="00322BD0" w:rsidTr="00F262E2">
        <w:trPr>
          <w:trHeight w:val="196"/>
          <w:tblCellSpacing w:w="20" w:type="dxa"/>
          <w:jc w:val="center"/>
        </w:trPr>
        <w:tc>
          <w:tcPr>
            <w:tcW w:w="1239" w:type="dxa"/>
            <w:shd w:val="clear" w:color="auto" w:fill="auto"/>
            <w:noWrap/>
            <w:vAlign w:val="center"/>
            <w:hideMark/>
          </w:tcPr>
          <w:p w:rsidR="004E6EAA" w:rsidRPr="00322BD0" w:rsidRDefault="004E6EAA" w:rsidP="003F532F">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PLANNED </w:t>
            </w:r>
          </w:p>
        </w:tc>
        <w:tc>
          <w:tcPr>
            <w:tcW w:w="1007" w:type="dxa"/>
            <w:shd w:val="clear" w:color="auto" w:fill="auto"/>
            <w:noWrap/>
            <w:vAlign w:val="center"/>
          </w:tcPr>
          <w:p w:rsidR="004E6EAA" w:rsidRPr="00945A8E" w:rsidRDefault="004E6EAA"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810.138</w:t>
            </w:r>
          </w:p>
        </w:tc>
        <w:tc>
          <w:tcPr>
            <w:tcW w:w="1007" w:type="dxa"/>
            <w:shd w:val="clear" w:color="auto" w:fill="auto"/>
            <w:noWrap/>
            <w:vAlign w:val="center"/>
          </w:tcPr>
          <w:p w:rsidR="004E6EAA" w:rsidRPr="00945A8E" w:rsidRDefault="004E6EAA"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787.015</w:t>
            </w:r>
          </w:p>
        </w:tc>
        <w:tc>
          <w:tcPr>
            <w:tcW w:w="1146" w:type="dxa"/>
            <w:shd w:val="clear" w:color="auto" w:fill="auto"/>
            <w:noWrap/>
            <w:vAlign w:val="center"/>
          </w:tcPr>
          <w:p w:rsidR="004E6EAA" w:rsidRPr="00945A8E" w:rsidRDefault="004E6EAA"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776.166</w:t>
            </w:r>
          </w:p>
        </w:tc>
        <w:tc>
          <w:tcPr>
            <w:tcW w:w="1007" w:type="dxa"/>
            <w:shd w:val="clear" w:color="auto" w:fill="auto"/>
            <w:noWrap/>
            <w:vAlign w:val="center"/>
          </w:tcPr>
          <w:p w:rsidR="004E6EAA" w:rsidRPr="00945A8E" w:rsidRDefault="004E6EAA"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911.399</w:t>
            </w:r>
          </w:p>
        </w:tc>
        <w:tc>
          <w:tcPr>
            <w:tcW w:w="1106" w:type="dxa"/>
            <w:shd w:val="clear" w:color="auto" w:fill="auto"/>
            <w:noWrap/>
            <w:vAlign w:val="center"/>
          </w:tcPr>
          <w:p w:rsidR="004E6EAA" w:rsidRPr="00945A8E" w:rsidRDefault="004E6EAA"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1.019.619</w:t>
            </w:r>
          </w:p>
        </w:tc>
        <w:tc>
          <w:tcPr>
            <w:tcW w:w="1092" w:type="dxa"/>
            <w:shd w:val="clear" w:color="auto" w:fill="auto"/>
            <w:noWrap/>
            <w:vAlign w:val="center"/>
          </w:tcPr>
          <w:p w:rsidR="004E6EAA" w:rsidRPr="00945A8E" w:rsidRDefault="004E6EAA"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1.282.807</w:t>
            </w:r>
          </w:p>
        </w:tc>
        <w:tc>
          <w:tcPr>
            <w:tcW w:w="1213" w:type="dxa"/>
            <w:vAlign w:val="center"/>
          </w:tcPr>
          <w:p w:rsidR="004E6EAA" w:rsidRPr="00945A8E" w:rsidRDefault="004E6EAA" w:rsidP="00D7439E">
            <w:pPr>
              <w:spacing w:after="0" w:line="240" w:lineRule="auto"/>
              <w:ind w:firstLine="0"/>
              <w:rPr>
                <w:rFonts w:asciiTheme="majorHAnsi" w:eastAsia="Calibri" w:hAnsiTheme="majorHAnsi" w:cs="DokChampa"/>
                <w:b/>
                <w:sz w:val="16"/>
                <w:szCs w:val="16"/>
                <w:lang w:eastAsia="en-US"/>
              </w:rPr>
            </w:pPr>
            <w:r w:rsidRPr="00945A8E">
              <w:rPr>
                <w:rFonts w:asciiTheme="majorHAnsi" w:eastAsia="Calibri" w:hAnsiTheme="majorHAnsi" w:cs="DokChampa"/>
                <w:b/>
                <w:sz w:val="16"/>
                <w:szCs w:val="16"/>
                <w:lang w:eastAsia="en-US"/>
              </w:rPr>
              <w:t>11.795.342</w:t>
            </w:r>
          </w:p>
        </w:tc>
      </w:tr>
      <w:tr w:rsidR="004E6EAA" w:rsidRPr="00322BD0" w:rsidTr="00F262E2">
        <w:trPr>
          <w:trHeight w:val="186"/>
          <w:tblCellSpacing w:w="20" w:type="dxa"/>
          <w:jc w:val="center"/>
        </w:trPr>
        <w:tc>
          <w:tcPr>
            <w:tcW w:w="1239" w:type="dxa"/>
            <w:shd w:val="clear" w:color="auto" w:fill="auto"/>
            <w:noWrap/>
            <w:vAlign w:val="center"/>
            <w:hideMark/>
          </w:tcPr>
          <w:p w:rsidR="004E6EAA" w:rsidRPr="00322BD0" w:rsidRDefault="004E6EAA" w:rsidP="003F532F">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ACHIEVED </w:t>
            </w:r>
          </w:p>
        </w:tc>
        <w:tc>
          <w:tcPr>
            <w:tcW w:w="1007" w:type="dxa"/>
            <w:shd w:val="clear" w:color="auto" w:fill="auto"/>
            <w:noWrap/>
            <w:vAlign w:val="center"/>
          </w:tcPr>
          <w:p w:rsidR="004E6EAA" w:rsidRPr="00945A8E" w:rsidRDefault="004E6EAA"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726.243</w:t>
            </w:r>
          </w:p>
        </w:tc>
        <w:tc>
          <w:tcPr>
            <w:tcW w:w="1007" w:type="dxa"/>
            <w:shd w:val="clear" w:color="auto" w:fill="auto"/>
            <w:noWrap/>
            <w:vAlign w:val="center"/>
          </w:tcPr>
          <w:p w:rsidR="004E6EAA" w:rsidRPr="00945A8E" w:rsidRDefault="004E6EAA"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766.455</w:t>
            </w:r>
          </w:p>
        </w:tc>
        <w:tc>
          <w:tcPr>
            <w:tcW w:w="1146" w:type="dxa"/>
            <w:shd w:val="clear" w:color="auto" w:fill="auto"/>
            <w:noWrap/>
            <w:vAlign w:val="center"/>
          </w:tcPr>
          <w:p w:rsidR="004E6EAA" w:rsidRPr="00945A8E" w:rsidRDefault="00F262E2" w:rsidP="00D7439E">
            <w:pPr>
              <w:spacing w:after="0" w:line="240" w:lineRule="auto"/>
              <w:ind w:firstLine="0"/>
              <w:jc w:val="center"/>
              <w:rPr>
                <w:rFonts w:asciiTheme="majorHAnsi" w:eastAsia="Calibri" w:hAnsiTheme="majorHAnsi" w:cs="DokChampa"/>
                <w:sz w:val="16"/>
                <w:szCs w:val="16"/>
                <w:lang w:eastAsia="en-US"/>
              </w:rPr>
            </w:pPr>
            <w:r>
              <w:rPr>
                <w:rFonts w:asciiTheme="majorHAnsi" w:eastAsia="Calibri" w:hAnsiTheme="majorHAnsi" w:cs="DokChampa"/>
                <w:sz w:val="16"/>
                <w:szCs w:val="16"/>
                <w:lang w:eastAsia="en-US"/>
              </w:rPr>
              <w:t>745.647</w:t>
            </w:r>
          </w:p>
        </w:tc>
        <w:tc>
          <w:tcPr>
            <w:tcW w:w="1007" w:type="dxa"/>
            <w:shd w:val="clear" w:color="auto" w:fill="auto"/>
            <w:noWrap/>
            <w:vAlign w:val="center"/>
          </w:tcPr>
          <w:p w:rsidR="004E6EAA" w:rsidRPr="00945A8E" w:rsidRDefault="00F262E2" w:rsidP="00D7439E">
            <w:pPr>
              <w:spacing w:after="0" w:line="240" w:lineRule="auto"/>
              <w:ind w:firstLine="0"/>
              <w:jc w:val="right"/>
              <w:rPr>
                <w:rFonts w:asciiTheme="majorHAnsi" w:eastAsia="Calibri" w:hAnsiTheme="majorHAnsi" w:cs="DokChampa"/>
                <w:sz w:val="16"/>
                <w:szCs w:val="16"/>
                <w:lang w:eastAsia="en-US"/>
              </w:rPr>
            </w:pPr>
            <w:r>
              <w:rPr>
                <w:rFonts w:asciiTheme="majorHAnsi" w:eastAsia="Calibri" w:hAnsiTheme="majorHAnsi" w:cs="DokChampa"/>
                <w:sz w:val="16"/>
                <w:szCs w:val="16"/>
                <w:lang w:eastAsia="en-US"/>
              </w:rPr>
              <w:t>1.017.551</w:t>
            </w:r>
          </w:p>
        </w:tc>
        <w:tc>
          <w:tcPr>
            <w:tcW w:w="1106" w:type="dxa"/>
            <w:shd w:val="clear" w:color="auto" w:fill="auto"/>
            <w:noWrap/>
            <w:vAlign w:val="center"/>
          </w:tcPr>
          <w:p w:rsidR="004E6EAA" w:rsidRPr="00945A8E" w:rsidRDefault="004E6EAA"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1.286.697</w:t>
            </w:r>
          </w:p>
        </w:tc>
        <w:tc>
          <w:tcPr>
            <w:tcW w:w="1092" w:type="dxa"/>
            <w:shd w:val="clear" w:color="auto" w:fill="auto"/>
            <w:noWrap/>
            <w:vAlign w:val="center"/>
          </w:tcPr>
          <w:p w:rsidR="004E6EAA" w:rsidRPr="00945A8E" w:rsidRDefault="004E6EAA"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1.659.046</w:t>
            </w:r>
          </w:p>
        </w:tc>
        <w:tc>
          <w:tcPr>
            <w:tcW w:w="1213" w:type="dxa"/>
            <w:vAlign w:val="center"/>
          </w:tcPr>
          <w:p w:rsidR="004E6EAA" w:rsidRPr="00945A8E" w:rsidRDefault="004E6EAA" w:rsidP="00D7439E">
            <w:pPr>
              <w:spacing w:after="0" w:line="240" w:lineRule="auto"/>
              <w:ind w:firstLine="0"/>
              <w:rPr>
                <w:rFonts w:asciiTheme="majorHAnsi" w:eastAsia="Calibri" w:hAnsiTheme="majorHAnsi" w:cs="DokChampa"/>
                <w:b/>
                <w:sz w:val="16"/>
                <w:szCs w:val="16"/>
                <w:lang w:eastAsia="en-US"/>
              </w:rPr>
            </w:pPr>
            <w:r w:rsidRPr="00945A8E">
              <w:rPr>
                <w:rFonts w:asciiTheme="majorHAnsi" w:eastAsia="Calibri" w:hAnsiTheme="majorHAnsi" w:cs="DokChampa"/>
                <w:b/>
                <w:sz w:val="16"/>
                <w:szCs w:val="16"/>
                <w:lang w:eastAsia="en-US"/>
              </w:rPr>
              <w:t>12.074.677</w:t>
            </w:r>
          </w:p>
        </w:tc>
      </w:tr>
    </w:tbl>
    <w:p w:rsidR="00802A4B" w:rsidRPr="00322BD0" w:rsidRDefault="00802A4B" w:rsidP="00802A4B">
      <w:pPr>
        <w:spacing w:after="0" w:line="240" w:lineRule="auto"/>
        <w:jc w:val="center"/>
        <w:rPr>
          <w:rFonts w:ascii="Cambria" w:hAnsi="Cambria"/>
          <w:b/>
          <w:i/>
          <w:sz w:val="16"/>
          <w:szCs w:val="16"/>
          <w:lang w:val="en-GB"/>
        </w:rPr>
      </w:pPr>
    </w:p>
    <w:p w:rsidR="00802A4B" w:rsidRPr="00322BD0" w:rsidRDefault="00802A4B" w:rsidP="00802A4B">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Tabl</w:t>
      </w:r>
      <w:r w:rsidR="002B407D" w:rsidRPr="00322BD0">
        <w:rPr>
          <w:rFonts w:ascii="Cambria" w:hAnsi="Cambria"/>
          <w:b/>
          <w:i/>
          <w:sz w:val="16"/>
          <w:szCs w:val="16"/>
          <w:lang w:val="en-GB"/>
        </w:rPr>
        <w:t>e</w:t>
      </w:r>
      <w:r w:rsidR="004E6EAA">
        <w:rPr>
          <w:rFonts w:ascii="Cambria" w:hAnsi="Cambria"/>
          <w:b/>
          <w:i/>
          <w:sz w:val="16"/>
          <w:szCs w:val="16"/>
          <w:lang w:val="en-GB"/>
        </w:rPr>
        <w:t xml:space="preserve"> 6</w:t>
      </w:r>
      <w:r w:rsidRPr="00322BD0">
        <w:rPr>
          <w:rFonts w:ascii="Cambria" w:hAnsi="Cambria"/>
          <w:b/>
          <w:i/>
          <w:sz w:val="16"/>
          <w:szCs w:val="16"/>
          <w:lang w:val="en-GB"/>
        </w:rPr>
        <w:t xml:space="preserve">- </w:t>
      </w:r>
      <w:r w:rsidR="002B407D" w:rsidRPr="00322BD0">
        <w:rPr>
          <w:rFonts w:ascii="Cambria" w:hAnsi="Cambria"/>
          <w:b/>
          <w:i/>
          <w:sz w:val="16"/>
          <w:szCs w:val="16"/>
          <w:lang w:val="en-GB"/>
        </w:rPr>
        <w:t xml:space="preserve">Gas transmitted to direct consumers and distribution in the NTS in </w:t>
      </w:r>
      <w:r w:rsidR="004E6EAA">
        <w:rPr>
          <w:rFonts w:ascii="Cambria" w:eastAsia="Times New Roman" w:hAnsi="Cambria" w:cs="Times New Roman"/>
          <w:b/>
          <w:bCs/>
          <w:i/>
          <w:sz w:val="16"/>
          <w:szCs w:val="16"/>
          <w:lang w:val="en-GB"/>
        </w:rPr>
        <w:t>2016</w:t>
      </w:r>
      <w:r w:rsidR="002B407D" w:rsidRPr="00322BD0">
        <w:rPr>
          <w:rFonts w:ascii="Cambria" w:eastAsia="Times New Roman" w:hAnsi="Cambria" w:cs="Times New Roman"/>
          <w:b/>
          <w:bCs/>
          <w:i/>
          <w:sz w:val="16"/>
          <w:szCs w:val="16"/>
          <w:lang w:val="en-GB"/>
        </w:rPr>
        <w:t xml:space="preserve"> -</w:t>
      </w:r>
    </w:p>
    <w:p w:rsidR="00802A4B" w:rsidRPr="00322BD0" w:rsidRDefault="002B407D" w:rsidP="00802A4B">
      <w:pPr>
        <w:spacing w:after="0" w:line="240" w:lineRule="auto"/>
        <w:jc w:val="center"/>
        <w:rPr>
          <w:rFonts w:ascii="Cambria" w:eastAsia="Times New Roman" w:hAnsi="Cambria" w:cs="Times New Roman"/>
          <w:b/>
          <w:bCs/>
          <w:i/>
          <w:sz w:val="16"/>
          <w:szCs w:val="16"/>
          <w:lang w:val="en-GB"/>
        </w:rPr>
      </w:pPr>
      <w:r w:rsidRPr="00322BD0">
        <w:rPr>
          <w:rFonts w:ascii="Cambria" w:eastAsia="Times New Roman" w:hAnsi="Cambria" w:cs="Times New Roman"/>
          <w:b/>
          <w:bCs/>
          <w:i/>
          <w:sz w:val="16"/>
          <w:szCs w:val="16"/>
          <w:lang w:val="en-GB"/>
        </w:rPr>
        <w:t>achieved</w:t>
      </w:r>
      <w:r w:rsidR="00802A4B" w:rsidRPr="00322BD0">
        <w:rPr>
          <w:rFonts w:ascii="Cambria" w:eastAsia="Times New Roman" w:hAnsi="Cambria" w:cs="Times New Roman"/>
          <w:b/>
          <w:bCs/>
          <w:i/>
          <w:sz w:val="16"/>
          <w:szCs w:val="16"/>
          <w:lang w:val="en-GB"/>
        </w:rPr>
        <w:t xml:space="preserve"> (include</w:t>
      </w:r>
      <w:r w:rsidRPr="00322BD0">
        <w:rPr>
          <w:rFonts w:ascii="Cambria" w:eastAsia="Times New Roman" w:hAnsi="Cambria" w:cs="Times New Roman"/>
          <w:b/>
          <w:bCs/>
          <w:i/>
          <w:sz w:val="16"/>
          <w:szCs w:val="16"/>
          <w:lang w:val="en-GB"/>
        </w:rPr>
        <w:t>s the amount for the injection</w:t>
      </w:r>
      <w:r w:rsidR="00802A4B" w:rsidRPr="00322BD0">
        <w:rPr>
          <w:rFonts w:ascii="Cambria" w:eastAsia="Times New Roman" w:hAnsi="Cambria" w:cs="Times New Roman"/>
          <w:b/>
          <w:bCs/>
          <w:i/>
          <w:sz w:val="16"/>
          <w:szCs w:val="16"/>
          <w:lang w:val="en-GB"/>
        </w:rPr>
        <w:t xml:space="preserve"> ) vs </w:t>
      </w:r>
      <w:r w:rsidRPr="00322BD0">
        <w:rPr>
          <w:rFonts w:ascii="Cambria" w:eastAsia="Times New Roman" w:hAnsi="Cambria" w:cs="Times New Roman"/>
          <w:b/>
          <w:bCs/>
          <w:i/>
          <w:sz w:val="16"/>
          <w:szCs w:val="16"/>
          <w:lang w:val="en-GB"/>
        </w:rPr>
        <w:t>planned</w:t>
      </w:r>
      <w:r w:rsidR="00802A4B" w:rsidRPr="00322BD0">
        <w:rPr>
          <w:rFonts w:ascii="Cambria" w:eastAsia="Times New Roman" w:hAnsi="Cambria" w:cs="Times New Roman"/>
          <w:b/>
          <w:bCs/>
          <w:i/>
          <w:sz w:val="16"/>
          <w:szCs w:val="16"/>
          <w:lang w:val="en-GB"/>
        </w:rPr>
        <w:t xml:space="preserve"> (</w:t>
      </w:r>
      <w:r w:rsidRPr="00322BD0">
        <w:rPr>
          <w:rFonts w:ascii="Cambria" w:eastAsia="Times New Roman" w:hAnsi="Cambria" w:cs="Times New Roman"/>
          <w:b/>
          <w:bCs/>
          <w:i/>
          <w:sz w:val="16"/>
          <w:szCs w:val="16"/>
          <w:lang w:val="en-GB"/>
        </w:rPr>
        <w:t>thousand cm</w:t>
      </w:r>
      <w:r w:rsidR="00802A4B" w:rsidRPr="00322BD0">
        <w:rPr>
          <w:rFonts w:ascii="Cambria" w:eastAsia="Times New Roman" w:hAnsi="Cambria" w:cs="Times New Roman"/>
          <w:b/>
          <w:bCs/>
          <w:i/>
          <w:sz w:val="16"/>
          <w:szCs w:val="16"/>
          <w:lang w:val="en-GB"/>
        </w:rPr>
        <w:t>)</w:t>
      </w:r>
    </w:p>
    <w:p w:rsidR="009A0D89" w:rsidRPr="00322BD0" w:rsidRDefault="009A0D89" w:rsidP="00802A4B">
      <w:pPr>
        <w:spacing w:after="0" w:line="240" w:lineRule="auto"/>
        <w:jc w:val="center"/>
        <w:rPr>
          <w:rFonts w:ascii="Cambria" w:eastAsia="Times New Roman" w:hAnsi="Cambria" w:cs="Times New Roman"/>
          <w:b/>
          <w:bCs/>
          <w:i/>
          <w:sz w:val="16"/>
          <w:szCs w:val="16"/>
          <w:lang w:val="en-GB"/>
        </w:rPr>
      </w:pPr>
    </w:p>
    <w:p w:rsidR="004E6EAA" w:rsidRDefault="00875A9F" w:rsidP="009A0D89">
      <w:pPr>
        <w:spacing w:after="0" w:line="240" w:lineRule="auto"/>
        <w:jc w:val="center"/>
        <w:rPr>
          <w:noProof/>
          <w:lang w:val="ro-RO" w:eastAsia="ro-RO"/>
        </w:rPr>
      </w:pPr>
      <w:r w:rsidRPr="00945A8E">
        <w:rPr>
          <w:rFonts w:asciiTheme="majorHAnsi" w:hAnsiTheme="majorHAnsi"/>
          <w:noProof/>
          <w:lang w:val="ro-RO" w:eastAsia="ro-RO"/>
        </w:rPr>
        <w:drawing>
          <wp:inline distT="0" distB="0" distL="0" distR="0" wp14:anchorId="7AA14886" wp14:editId="1868249C">
            <wp:extent cx="5732145" cy="1564005"/>
            <wp:effectExtent l="0" t="0" r="1905" b="0"/>
            <wp:docPr id="659" name="Chart 6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E6EAA" w:rsidRDefault="009A0D89" w:rsidP="004E6EAA">
      <w:pPr>
        <w:spacing w:after="0" w:line="240" w:lineRule="auto"/>
        <w:rPr>
          <w:rFonts w:ascii="Cambria" w:hAnsi="Cambria"/>
          <w:b/>
          <w:i/>
          <w:sz w:val="16"/>
          <w:szCs w:val="16"/>
          <w:lang w:val="en-GB"/>
        </w:rPr>
      </w:pPr>
      <w:r w:rsidRPr="00322BD0">
        <w:rPr>
          <w:rFonts w:ascii="Cambria" w:hAnsi="Cambria"/>
          <w:b/>
          <w:i/>
          <w:sz w:val="16"/>
          <w:szCs w:val="16"/>
          <w:lang w:val="en-GB"/>
        </w:rPr>
        <w:t xml:space="preserve"> </w:t>
      </w:r>
    </w:p>
    <w:p w:rsidR="009A0D89" w:rsidRPr="00322BD0" w:rsidRDefault="00AC52FB" w:rsidP="009A0D89">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Chart</w:t>
      </w:r>
      <w:r w:rsidR="004E6EAA">
        <w:rPr>
          <w:rFonts w:ascii="Cambria" w:hAnsi="Cambria"/>
          <w:b/>
          <w:i/>
          <w:sz w:val="16"/>
          <w:szCs w:val="16"/>
          <w:lang w:val="en-GB"/>
        </w:rPr>
        <w:t xml:space="preserve"> 10</w:t>
      </w:r>
      <w:r w:rsidR="009A0D89" w:rsidRPr="00322BD0">
        <w:rPr>
          <w:rFonts w:ascii="Cambria" w:hAnsi="Cambria"/>
          <w:b/>
          <w:i/>
          <w:sz w:val="16"/>
          <w:szCs w:val="16"/>
          <w:lang w:val="en-GB"/>
        </w:rPr>
        <w:t xml:space="preserve">- </w:t>
      </w:r>
      <w:r w:rsidR="00DE44F0" w:rsidRPr="00322BD0">
        <w:rPr>
          <w:rFonts w:ascii="Cambria" w:hAnsi="Cambria"/>
          <w:b/>
          <w:i/>
          <w:sz w:val="16"/>
          <w:szCs w:val="16"/>
          <w:lang w:val="en-GB"/>
        </w:rPr>
        <w:t>Gas transmitted to direct consumers and distribution in the NTS</w:t>
      </w:r>
    </w:p>
    <w:p w:rsidR="009A0D89" w:rsidRPr="00322BD0" w:rsidRDefault="00DE44F0" w:rsidP="009A0D89">
      <w:pPr>
        <w:spacing w:after="0" w:line="240" w:lineRule="auto"/>
        <w:jc w:val="center"/>
        <w:rPr>
          <w:rFonts w:ascii="Cambria" w:hAnsi="Cambria"/>
          <w:b/>
          <w:i/>
          <w:sz w:val="16"/>
          <w:szCs w:val="16"/>
          <w:lang w:val="en-GB"/>
        </w:rPr>
      </w:pPr>
      <w:r w:rsidRPr="00322BD0">
        <w:rPr>
          <w:rFonts w:ascii="Cambria" w:eastAsia="Times New Roman" w:hAnsi="Cambria" w:cs="Times New Roman"/>
          <w:b/>
          <w:bCs/>
          <w:i/>
          <w:sz w:val="16"/>
          <w:szCs w:val="16"/>
          <w:lang w:val="en-GB"/>
        </w:rPr>
        <w:t>achieved</w:t>
      </w:r>
      <w:r w:rsidR="009A0D89" w:rsidRPr="00322BD0">
        <w:rPr>
          <w:rFonts w:ascii="Cambria" w:eastAsia="Times New Roman" w:hAnsi="Cambria" w:cs="Times New Roman"/>
          <w:b/>
          <w:bCs/>
          <w:i/>
          <w:sz w:val="16"/>
          <w:szCs w:val="16"/>
          <w:lang w:val="en-GB"/>
        </w:rPr>
        <w:t xml:space="preserve"> vs p</w:t>
      </w:r>
      <w:r w:rsidRPr="00322BD0">
        <w:rPr>
          <w:rFonts w:ascii="Cambria" w:eastAsia="Times New Roman" w:hAnsi="Cambria" w:cs="Times New Roman"/>
          <w:b/>
          <w:bCs/>
          <w:i/>
          <w:sz w:val="16"/>
          <w:szCs w:val="16"/>
          <w:lang w:val="en-GB"/>
        </w:rPr>
        <w:t>lanned in</w:t>
      </w:r>
      <w:r w:rsidR="004E6EAA">
        <w:rPr>
          <w:rFonts w:ascii="Cambria" w:eastAsia="Times New Roman" w:hAnsi="Cambria" w:cs="Times New Roman"/>
          <w:b/>
          <w:bCs/>
          <w:i/>
          <w:sz w:val="16"/>
          <w:szCs w:val="16"/>
          <w:lang w:val="en-GB"/>
        </w:rPr>
        <w:t xml:space="preserve"> 2016 </w:t>
      </w:r>
      <w:r w:rsidR="009A0D89" w:rsidRPr="00322BD0">
        <w:rPr>
          <w:rFonts w:ascii="Cambria" w:eastAsia="Times New Roman" w:hAnsi="Cambria" w:cs="Times New Roman"/>
          <w:b/>
          <w:bCs/>
          <w:i/>
          <w:sz w:val="16"/>
          <w:szCs w:val="16"/>
          <w:lang w:val="en-GB"/>
        </w:rPr>
        <w:t>(mil.</w:t>
      </w:r>
      <w:r w:rsidRPr="00322BD0">
        <w:rPr>
          <w:rFonts w:ascii="Cambria" w:eastAsia="Times New Roman" w:hAnsi="Cambria" w:cs="Times New Roman"/>
          <w:b/>
          <w:bCs/>
          <w:i/>
          <w:sz w:val="16"/>
          <w:szCs w:val="16"/>
          <w:lang w:val="en-GB"/>
        </w:rPr>
        <w:t xml:space="preserve"> </w:t>
      </w:r>
      <w:r w:rsidR="009A0D89" w:rsidRPr="00322BD0">
        <w:rPr>
          <w:rFonts w:ascii="Cambria" w:eastAsia="Times New Roman" w:hAnsi="Cambria" w:cs="Times New Roman"/>
          <w:b/>
          <w:bCs/>
          <w:i/>
          <w:sz w:val="16"/>
          <w:szCs w:val="16"/>
          <w:lang w:val="en-GB"/>
        </w:rPr>
        <w:t>c</w:t>
      </w:r>
      <w:r w:rsidRPr="00322BD0">
        <w:rPr>
          <w:rFonts w:ascii="Cambria" w:eastAsia="Times New Roman" w:hAnsi="Cambria" w:cs="Times New Roman"/>
          <w:b/>
          <w:bCs/>
          <w:i/>
          <w:sz w:val="16"/>
          <w:szCs w:val="16"/>
          <w:lang w:val="en-GB"/>
        </w:rPr>
        <w:t>m</w:t>
      </w:r>
      <w:r w:rsidR="009A0D89" w:rsidRPr="00322BD0">
        <w:rPr>
          <w:rFonts w:ascii="Cambria" w:eastAsia="Times New Roman" w:hAnsi="Cambria" w:cs="Times New Roman"/>
          <w:b/>
          <w:bCs/>
          <w:i/>
          <w:sz w:val="16"/>
          <w:szCs w:val="16"/>
          <w:lang w:val="en-GB"/>
        </w:rPr>
        <w:t>)</w:t>
      </w:r>
    </w:p>
    <w:p w:rsidR="009A0D89" w:rsidRPr="00322BD0" w:rsidRDefault="009A0D89" w:rsidP="00802A4B">
      <w:pPr>
        <w:spacing w:after="0" w:line="240" w:lineRule="auto"/>
        <w:jc w:val="center"/>
        <w:rPr>
          <w:rFonts w:ascii="Cambria" w:eastAsia="Times New Roman" w:hAnsi="Cambria" w:cs="Times New Roman"/>
          <w:b/>
          <w:bCs/>
          <w:i/>
          <w:sz w:val="16"/>
          <w:szCs w:val="16"/>
          <w:lang w:val="en-GB"/>
        </w:rPr>
      </w:pPr>
    </w:p>
    <w:p w:rsidR="00802A4B" w:rsidRPr="00322BD0" w:rsidRDefault="00802A4B" w:rsidP="00050795">
      <w:pPr>
        <w:spacing w:after="0" w:line="240" w:lineRule="auto"/>
        <w:ind w:firstLine="0"/>
        <w:jc w:val="center"/>
        <w:rPr>
          <w:lang w:val="en-GB" w:eastAsia="en-US"/>
        </w:rPr>
      </w:pPr>
    </w:p>
    <w:p w:rsidR="00870296" w:rsidRDefault="00870296" w:rsidP="00870296">
      <w:pPr>
        <w:spacing w:after="0" w:line="240" w:lineRule="auto"/>
        <w:ind w:firstLine="0"/>
        <w:jc w:val="both"/>
        <w:rPr>
          <w:rFonts w:ascii="Cambria" w:eastAsia="Times New Roman" w:hAnsi="Cambria" w:cs="Calibri"/>
          <w:sz w:val="24"/>
          <w:szCs w:val="24"/>
          <w:lang w:val="en-GB" w:eastAsia="ro-RO"/>
        </w:rPr>
      </w:pPr>
      <w:r w:rsidRPr="00322BD0">
        <w:rPr>
          <w:rFonts w:ascii="Cambria" w:eastAsia="Times New Roman" w:hAnsi="Cambria" w:cs="Calibri"/>
          <w:sz w:val="24"/>
          <w:szCs w:val="24"/>
          <w:lang w:val="en-GB" w:eastAsia="ro-RO"/>
        </w:rPr>
        <w:t>As shown abo</w:t>
      </w:r>
      <w:r w:rsidR="00220EB3">
        <w:rPr>
          <w:rFonts w:ascii="Cambria" w:eastAsia="Times New Roman" w:hAnsi="Cambria" w:cs="Calibri"/>
          <w:sz w:val="24"/>
          <w:szCs w:val="24"/>
          <w:lang w:val="en-GB" w:eastAsia="ro-RO"/>
        </w:rPr>
        <w:t>ve in 2016</w:t>
      </w:r>
      <w:r w:rsidRPr="00322BD0">
        <w:rPr>
          <w:rFonts w:ascii="Cambria" w:eastAsia="Times New Roman" w:hAnsi="Cambria" w:cs="Calibri"/>
          <w:sz w:val="24"/>
          <w:szCs w:val="24"/>
          <w:lang w:val="en-GB" w:eastAsia="ro-RO"/>
        </w:rPr>
        <w:t xml:space="preserve"> the amount </w:t>
      </w:r>
      <w:r w:rsidR="00220EB3">
        <w:rPr>
          <w:rFonts w:ascii="Cambria" w:eastAsia="Times New Roman" w:hAnsi="Cambria" w:cs="Calibri"/>
          <w:sz w:val="24"/>
          <w:szCs w:val="24"/>
          <w:lang w:val="en-GB" w:eastAsia="ro-RO"/>
        </w:rPr>
        <w:t>of gas transmitted w</w:t>
      </w:r>
      <w:r w:rsidR="00F262E2">
        <w:rPr>
          <w:rFonts w:ascii="Cambria" w:eastAsia="Times New Roman" w:hAnsi="Cambria" w:cs="Calibri"/>
          <w:sz w:val="24"/>
          <w:szCs w:val="24"/>
          <w:lang w:val="en-GB" w:eastAsia="ro-RO"/>
        </w:rPr>
        <w:t>as of 12.07 bcm, which is higher</w:t>
      </w:r>
      <w:r w:rsidR="00220EB3">
        <w:rPr>
          <w:rFonts w:ascii="Cambria" w:eastAsia="Times New Roman" w:hAnsi="Cambria" w:cs="Calibri"/>
          <w:sz w:val="24"/>
          <w:szCs w:val="24"/>
          <w:lang w:val="en-GB" w:eastAsia="ro-RO"/>
        </w:rPr>
        <w:t xml:space="preserve"> by 0.28</w:t>
      </w:r>
      <w:r w:rsidRPr="00322BD0">
        <w:rPr>
          <w:rFonts w:ascii="Cambria" w:eastAsia="Times New Roman" w:hAnsi="Cambria" w:cs="Calibri"/>
          <w:sz w:val="24"/>
          <w:szCs w:val="24"/>
          <w:lang w:val="en-GB" w:eastAsia="ro-RO"/>
        </w:rPr>
        <w:t xml:space="preserve"> bcm than the planned amount.</w:t>
      </w:r>
    </w:p>
    <w:p w:rsidR="008346BD" w:rsidRDefault="008346BD" w:rsidP="00870296">
      <w:pPr>
        <w:spacing w:after="0" w:line="240" w:lineRule="auto"/>
        <w:ind w:firstLine="0"/>
        <w:jc w:val="both"/>
        <w:rPr>
          <w:rFonts w:ascii="Cambria" w:eastAsia="Times New Roman" w:hAnsi="Cambria" w:cs="Calibri"/>
          <w:sz w:val="24"/>
          <w:szCs w:val="24"/>
          <w:lang w:val="en-GB" w:eastAsia="ro-RO"/>
        </w:rPr>
      </w:pPr>
    </w:p>
    <w:p w:rsidR="008346BD" w:rsidRPr="00322BD0" w:rsidRDefault="008346BD" w:rsidP="00870296">
      <w:pPr>
        <w:spacing w:after="0" w:line="240" w:lineRule="auto"/>
        <w:ind w:firstLine="0"/>
        <w:jc w:val="both"/>
        <w:rPr>
          <w:rFonts w:ascii="Cambria" w:eastAsia="Times New Roman" w:hAnsi="Cambria" w:cs="Calibri"/>
          <w:sz w:val="24"/>
          <w:szCs w:val="24"/>
          <w:lang w:val="en-GB" w:eastAsia="ro-RO"/>
        </w:rPr>
      </w:pPr>
    </w:p>
    <w:p w:rsidR="005A1970" w:rsidRPr="00322BD0" w:rsidRDefault="005A1970" w:rsidP="005A1970">
      <w:pPr>
        <w:spacing w:after="0" w:line="240" w:lineRule="auto"/>
        <w:ind w:firstLine="0"/>
        <w:jc w:val="right"/>
        <w:rPr>
          <w:rFonts w:ascii="Cambria" w:eastAsia="Times New Roman" w:hAnsi="Cambria" w:cs="Calibri"/>
          <w:b/>
          <w:sz w:val="20"/>
          <w:szCs w:val="20"/>
          <w:lang w:val="en-GB" w:eastAsia="ro-RO"/>
        </w:rPr>
      </w:pPr>
      <w:r w:rsidRPr="00322BD0">
        <w:rPr>
          <w:rFonts w:ascii="Cambria" w:eastAsia="Times New Roman" w:hAnsi="Cambria" w:cs="Calibri"/>
          <w:b/>
          <w:sz w:val="20"/>
          <w:szCs w:val="20"/>
          <w:lang w:val="en-GB" w:eastAsia="ro-RO"/>
        </w:rPr>
        <w:t>(thousand cm)</w:t>
      </w:r>
    </w:p>
    <w:tbl>
      <w:tblPr>
        <w:tblW w:w="5998"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149"/>
        <w:gridCol w:w="533"/>
        <w:gridCol w:w="568"/>
        <w:gridCol w:w="598"/>
        <w:gridCol w:w="831"/>
        <w:gridCol w:w="831"/>
        <w:gridCol w:w="831"/>
        <w:gridCol w:w="831"/>
        <w:gridCol w:w="831"/>
        <w:gridCol w:w="831"/>
        <w:gridCol w:w="831"/>
        <w:gridCol w:w="587"/>
        <w:gridCol w:w="573"/>
        <w:gridCol w:w="707"/>
        <w:gridCol w:w="318"/>
      </w:tblGrid>
      <w:tr w:rsidR="008D7B71" w:rsidRPr="00322BD0" w:rsidTr="00220EB3">
        <w:trPr>
          <w:gridAfter w:val="1"/>
          <w:wAfter w:w="228" w:type="pct"/>
          <w:trHeight w:val="361"/>
          <w:tblCellSpacing w:w="20" w:type="dxa"/>
          <w:jc w:val="center"/>
        </w:trPr>
        <w:tc>
          <w:tcPr>
            <w:tcW w:w="4718" w:type="pct"/>
            <w:gridSpan w:val="14"/>
            <w:shd w:val="clear" w:color="auto" w:fill="D6E0F4"/>
            <w:noWrap/>
            <w:vAlign w:val="center"/>
          </w:tcPr>
          <w:p w:rsidR="005A1970" w:rsidRPr="00322BD0" w:rsidRDefault="00220EB3" w:rsidP="005A1970">
            <w:pPr>
              <w:spacing w:after="0" w:line="240" w:lineRule="auto"/>
              <w:ind w:firstLine="0"/>
              <w:jc w:val="center"/>
              <w:rPr>
                <w:rFonts w:ascii="Cambria" w:eastAsia="Times New Roman" w:hAnsi="Cambria" w:cs="Times New Roman"/>
                <w:b/>
                <w:bCs/>
                <w:sz w:val="18"/>
                <w:szCs w:val="18"/>
                <w:lang w:val="en-GB" w:eastAsia="en-US"/>
              </w:rPr>
            </w:pPr>
            <w:r>
              <w:rPr>
                <w:rFonts w:ascii="Cambria" w:eastAsia="Times New Roman" w:hAnsi="Cambria" w:cs="Times New Roman"/>
                <w:b/>
                <w:bCs/>
                <w:sz w:val="18"/>
                <w:szCs w:val="18"/>
                <w:lang w:val="en-GB" w:eastAsia="en-US"/>
              </w:rPr>
              <w:t>2016</w:t>
            </w:r>
            <w:r w:rsidR="005A1970" w:rsidRPr="00322BD0">
              <w:rPr>
                <w:rFonts w:ascii="Cambria" w:eastAsia="Times New Roman" w:hAnsi="Cambria" w:cs="Times New Roman"/>
                <w:b/>
                <w:bCs/>
                <w:sz w:val="18"/>
                <w:szCs w:val="18"/>
                <w:lang w:val="en-GB" w:eastAsia="en-US"/>
              </w:rPr>
              <w:t xml:space="preserve"> achieved / planned gas for storage </w:t>
            </w:r>
          </w:p>
        </w:tc>
      </w:tr>
      <w:tr w:rsidR="00220EB3" w:rsidRPr="00945A8E" w:rsidTr="00220EB3">
        <w:trPr>
          <w:trHeight w:val="398"/>
          <w:tblCellSpacing w:w="20" w:type="dxa"/>
          <w:jc w:val="center"/>
        </w:trPr>
        <w:tc>
          <w:tcPr>
            <w:tcW w:w="485" w:type="pct"/>
            <w:shd w:val="clear" w:color="auto" w:fill="D6E0F4"/>
            <w:noWrap/>
            <w:vAlign w:val="center"/>
            <w:hideMark/>
          </w:tcPr>
          <w:p w:rsidR="00220EB3" w:rsidRPr="00945A8E" w:rsidRDefault="00220EB3" w:rsidP="00D7439E">
            <w:pPr>
              <w:spacing w:after="0" w:line="240" w:lineRule="auto"/>
              <w:ind w:firstLine="0"/>
              <w:jc w:val="both"/>
              <w:rPr>
                <w:rFonts w:asciiTheme="majorHAnsi" w:eastAsia="Times New Roman" w:hAnsiTheme="majorHAnsi" w:cs="Times New Roman"/>
                <w:b/>
                <w:bCs/>
                <w:sz w:val="18"/>
                <w:szCs w:val="18"/>
                <w:lang w:eastAsia="en-US"/>
              </w:rPr>
            </w:pPr>
          </w:p>
        </w:tc>
        <w:tc>
          <w:tcPr>
            <w:tcW w:w="221" w:type="pct"/>
            <w:shd w:val="clear" w:color="auto" w:fill="D6E0F4"/>
            <w:noWrap/>
            <w:vAlign w:val="center"/>
            <w:hideMark/>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Pr>
                <w:rFonts w:asciiTheme="majorHAnsi" w:eastAsia="Times New Roman" w:hAnsiTheme="majorHAnsi" w:cs="Times New Roman"/>
                <w:b/>
                <w:bCs/>
                <w:sz w:val="18"/>
                <w:szCs w:val="18"/>
                <w:lang w:eastAsia="en-US"/>
              </w:rPr>
              <w:t>J</w:t>
            </w:r>
            <w:r w:rsidRPr="00945A8E">
              <w:rPr>
                <w:rFonts w:asciiTheme="majorHAnsi" w:eastAsia="Times New Roman" w:hAnsiTheme="majorHAnsi" w:cs="Times New Roman"/>
                <w:b/>
                <w:bCs/>
                <w:sz w:val="18"/>
                <w:szCs w:val="18"/>
                <w:lang w:eastAsia="en-US"/>
              </w:rPr>
              <w:t>an</w:t>
            </w:r>
          </w:p>
        </w:tc>
        <w:tc>
          <w:tcPr>
            <w:tcW w:w="236" w:type="pct"/>
            <w:shd w:val="clear" w:color="auto" w:fill="D6E0F4"/>
            <w:noWrap/>
            <w:vAlign w:val="center"/>
            <w:hideMark/>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Feb</w:t>
            </w:r>
          </w:p>
        </w:tc>
        <w:tc>
          <w:tcPr>
            <w:tcW w:w="249" w:type="pct"/>
            <w:shd w:val="clear" w:color="auto" w:fill="D6E0F4"/>
            <w:noWrap/>
            <w:vAlign w:val="center"/>
            <w:hideMark/>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Mar</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Apr</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Pr>
                <w:rFonts w:asciiTheme="majorHAnsi" w:eastAsia="Times New Roman" w:hAnsiTheme="majorHAnsi" w:cs="Times New Roman"/>
                <w:b/>
                <w:bCs/>
                <w:sz w:val="18"/>
                <w:szCs w:val="18"/>
                <w:lang w:eastAsia="en-US"/>
              </w:rPr>
              <w:t>May</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Pr>
                <w:rFonts w:asciiTheme="majorHAnsi" w:eastAsia="Times New Roman" w:hAnsiTheme="majorHAnsi" w:cs="Times New Roman"/>
                <w:b/>
                <w:bCs/>
                <w:sz w:val="18"/>
                <w:szCs w:val="18"/>
                <w:lang w:eastAsia="en-US"/>
              </w:rPr>
              <w:t>J</w:t>
            </w:r>
            <w:r w:rsidRPr="00945A8E">
              <w:rPr>
                <w:rFonts w:asciiTheme="majorHAnsi" w:eastAsia="Times New Roman" w:hAnsiTheme="majorHAnsi" w:cs="Times New Roman"/>
                <w:b/>
                <w:bCs/>
                <w:sz w:val="18"/>
                <w:szCs w:val="18"/>
                <w:lang w:eastAsia="en-US"/>
              </w:rPr>
              <w:t>un</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Pr>
                <w:rFonts w:asciiTheme="majorHAnsi" w:eastAsia="Times New Roman" w:hAnsiTheme="majorHAnsi" w:cs="Times New Roman"/>
                <w:b/>
                <w:bCs/>
                <w:sz w:val="18"/>
                <w:szCs w:val="18"/>
                <w:lang w:eastAsia="en-US"/>
              </w:rPr>
              <w:t>J</w:t>
            </w:r>
            <w:r w:rsidRPr="00945A8E">
              <w:rPr>
                <w:rFonts w:asciiTheme="majorHAnsi" w:eastAsia="Times New Roman" w:hAnsiTheme="majorHAnsi" w:cs="Times New Roman"/>
                <w:b/>
                <w:bCs/>
                <w:sz w:val="18"/>
                <w:szCs w:val="18"/>
                <w:lang w:eastAsia="en-US"/>
              </w:rPr>
              <w:t>ul</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Aug</w:t>
            </w:r>
          </w:p>
        </w:tc>
        <w:tc>
          <w:tcPr>
            <w:tcW w:w="353"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Sep</w:t>
            </w:r>
          </w:p>
        </w:tc>
        <w:tc>
          <w:tcPr>
            <w:tcW w:w="353" w:type="pct"/>
            <w:shd w:val="clear" w:color="auto" w:fill="D6E0F4"/>
            <w:noWrap/>
            <w:vAlign w:val="center"/>
            <w:hideMark/>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Oct</w:t>
            </w:r>
          </w:p>
        </w:tc>
        <w:tc>
          <w:tcPr>
            <w:tcW w:w="227"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Pr>
                <w:rFonts w:asciiTheme="majorHAnsi" w:eastAsia="Times New Roman" w:hAnsiTheme="majorHAnsi" w:cs="Times New Roman"/>
                <w:b/>
                <w:bCs/>
                <w:sz w:val="18"/>
                <w:szCs w:val="18"/>
                <w:lang w:eastAsia="en-US"/>
              </w:rPr>
              <w:t>Nov</w:t>
            </w:r>
          </w:p>
        </w:tc>
        <w:tc>
          <w:tcPr>
            <w:tcW w:w="238" w:type="pct"/>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Dec</w:t>
            </w:r>
          </w:p>
        </w:tc>
        <w:tc>
          <w:tcPr>
            <w:tcW w:w="604" w:type="pct"/>
            <w:gridSpan w:val="2"/>
            <w:shd w:val="clear" w:color="auto" w:fill="D6E0F4"/>
            <w:vAlign w:val="center"/>
          </w:tcPr>
          <w:p w:rsidR="00220EB3" w:rsidRPr="00945A8E" w:rsidRDefault="00220EB3" w:rsidP="00D7439E">
            <w:pPr>
              <w:spacing w:after="0" w:line="240" w:lineRule="auto"/>
              <w:ind w:firstLine="0"/>
              <w:jc w:val="center"/>
              <w:rPr>
                <w:rFonts w:asciiTheme="majorHAnsi" w:eastAsia="Times New Roman" w:hAnsiTheme="majorHAnsi" w:cs="Times New Roman"/>
                <w:b/>
                <w:bCs/>
                <w:sz w:val="18"/>
                <w:szCs w:val="18"/>
                <w:lang w:eastAsia="en-US"/>
              </w:rPr>
            </w:pPr>
            <w:r w:rsidRPr="00945A8E">
              <w:rPr>
                <w:rFonts w:asciiTheme="majorHAnsi" w:eastAsia="Times New Roman" w:hAnsiTheme="majorHAnsi" w:cs="Times New Roman"/>
                <w:b/>
                <w:bCs/>
                <w:sz w:val="18"/>
                <w:szCs w:val="18"/>
                <w:lang w:eastAsia="en-US"/>
              </w:rPr>
              <w:t>TOTAL 2016</w:t>
            </w:r>
          </w:p>
        </w:tc>
      </w:tr>
      <w:tr w:rsidR="00220EB3" w:rsidRPr="00945A8E" w:rsidTr="00220EB3">
        <w:trPr>
          <w:trHeight w:val="200"/>
          <w:tblCellSpacing w:w="20" w:type="dxa"/>
          <w:jc w:val="center"/>
        </w:trPr>
        <w:tc>
          <w:tcPr>
            <w:tcW w:w="485" w:type="pct"/>
            <w:shd w:val="clear" w:color="auto" w:fill="auto"/>
            <w:noWrap/>
            <w:vAlign w:val="center"/>
            <w:hideMark/>
          </w:tcPr>
          <w:p w:rsidR="00220EB3" w:rsidRPr="00322BD0" w:rsidRDefault="00220EB3" w:rsidP="00D7439E">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PLANNED </w:t>
            </w:r>
          </w:p>
        </w:tc>
        <w:tc>
          <w:tcPr>
            <w:tcW w:w="221"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236"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249"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122.966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271.563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271.563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271.563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271.563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271.564 </w:t>
            </w:r>
          </w:p>
        </w:tc>
        <w:tc>
          <w:tcPr>
            <w:tcW w:w="353" w:type="pct"/>
            <w:shd w:val="clear" w:color="auto" w:fill="auto"/>
            <w:noWrap/>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123.053</w:t>
            </w:r>
          </w:p>
        </w:tc>
        <w:tc>
          <w:tcPr>
            <w:tcW w:w="227" w:type="pct"/>
            <w:vAlign w:val="center"/>
          </w:tcPr>
          <w:p w:rsidR="00220EB3" w:rsidRPr="00945A8E" w:rsidRDefault="00220EB3"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0</w:t>
            </w:r>
          </w:p>
        </w:tc>
        <w:tc>
          <w:tcPr>
            <w:tcW w:w="238" w:type="pct"/>
            <w:vAlign w:val="center"/>
          </w:tcPr>
          <w:p w:rsidR="00220EB3" w:rsidRPr="00945A8E" w:rsidRDefault="00220EB3"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0</w:t>
            </w:r>
          </w:p>
        </w:tc>
        <w:tc>
          <w:tcPr>
            <w:tcW w:w="604" w:type="pct"/>
            <w:gridSpan w:val="2"/>
            <w:shd w:val="clear" w:color="auto" w:fill="auto"/>
            <w:vAlign w:val="center"/>
          </w:tcPr>
          <w:p w:rsidR="00220EB3" w:rsidRPr="00945A8E" w:rsidRDefault="00220EB3" w:rsidP="00D7439E">
            <w:pPr>
              <w:spacing w:after="0" w:line="240" w:lineRule="auto"/>
              <w:ind w:firstLine="0"/>
              <w:jc w:val="right"/>
              <w:rPr>
                <w:rFonts w:asciiTheme="majorHAnsi" w:eastAsia="Calibri" w:hAnsiTheme="majorHAnsi" w:cs="DokChampa"/>
                <w:b/>
                <w:sz w:val="16"/>
                <w:szCs w:val="16"/>
                <w:lang w:eastAsia="en-US"/>
              </w:rPr>
            </w:pPr>
            <w:r w:rsidRPr="00945A8E">
              <w:rPr>
                <w:rFonts w:asciiTheme="majorHAnsi" w:eastAsia="Calibri" w:hAnsiTheme="majorHAnsi" w:cs="DokChampa"/>
                <w:b/>
                <w:sz w:val="16"/>
                <w:szCs w:val="16"/>
                <w:lang w:eastAsia="en-US"/>
              </w:rPr>
              <w:t>1.603.835</w:t>
            </w:r>
          </w:p>
        </w:tc>
      </w:tr>
      <w:tr w:rsidR="00220EB3" w:rsidRPr="00945A8E" w:rsidTr="00220EB3">
        <w:trPr>
          <w:trHeight w:val="218"/>
          <w:tblCellSpacing w:w="20" w:type="dxa"/>
          <w:jc w:val="center"/>
        </w:trPr>
        <w:tc>
          <w:tcPr>
            <w:tcW w:w="485" w:type="pct"/>
            <w:shd w:val="clear" w:color="auto" w:fill="auto"/>
            <w:noWrap/>
            <w:vAlign w:val="center"/>
            <w:hideMark/>
          </w:tcPr>
          <w:p w:rsidR="00220EB3" w:rsidRPr="00322BD0" w:rsidRDefault="00220EB3" w:rsidP="00D7439E">
            <w:pPr>
              <w:spacing w:after="0" w:line="240" w:lineRule="auto"/>
              <w:ind w:firstLine="0"/>
              <w:rPr>
                <w:rFonts w:ascii="Cambria" w:eastAsia="Times New Roman" w:hAnsi="Cambria" w:cs="Times New Roman"/>
                <w:b/>
                <w:bCs/>
                <w:sz w:val="18"/>
                <w:szCs w:val="18"/>
                <w:lang w:val="en-GB" w:eastAsia="en-US"/>
              </w:rPr>
            </w:pPr>
            <w:r w:rsidRPr="00322BD0">
              <w:rPr>
                <w:rFonts w:ascii="Cambria" w:eastAsia="Times New Roman" w:hAnsi="Cambria" w:cs="Times New Roman"/>
                <w:b/>
                <w:bCs/>
                <w:sz w:val="18"/>
                <w:szCs w:val="18"/>
                <w:lang w:val="en-GB" w:eastAsia="en-US"/>
              </w:rPr>
              <w:t xml:space="preserve">ACHIEVED </w:t>
            </w:r>
          </w:p>
        </w:tc>
        <w:tc>
          <w:tcPr>
            <w:tcW w:w="221"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236"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249" w:type="pct"/>
            <w:shd w:val="clear" w:color="auto" w:fill="auto"/>
            <w:noWrap/>
            <w:vAlign w:val="center"/>
          </w:tcPr>
          <w:p w:rsidR="00220EB3" w:rsidRPr="00945A8E" w:rsidRDefault="00220EB3" w:rsidP="00D7439E">
            <w:pPr>
              <w:spacing w:after="0" w:line="240" w:lineRule="auto"/>
              <w:ind w:firstLine="0"/>
              <w:jc w:val="center"/>
              <w:rPr>
                <w:rFonts w:asciiTheme="majorHAnsi" w:eastAsia="Calibri" w:hAnsiTheme="majorHAnsi" w:cs="Times New Roman"/>
                <w:sz w:val="16"/>
                <w:szCs w:val="16"/>
                <w:lang w:eastAsia="en-US"/>
              </w:rPr>
            </w:pPr>
            <w:r w:rsidRPr="00945A8E">
              <w:rPr>
                <w:rFonts w:asciiTheme="majorHAnsi" w:eastAsia="Calibri" w:hAnsiTheme="majorHAnsi" w:cs="Times New Roman"/>
                <w:sz w:val="16"/>
                <w:szCs w:val="16"/>
                <w:lang w:eastAsia="en-US"/>
              </w:rPr>
              <w:t>-</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209.359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223.654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249.440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243.046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307.748 </w:t>
            </w:r>
          </w:p>
        </w:tc>
        <w:tc>
          <w:tcPr>
            <w:tcW w:w="353" w:type="pct"/>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222.599</w:t>
            </w:r>
          </w:p>
        </w:tc>
        <w:tc>
          <w:tcPr>
            <w:tcW w:w="353" w:type="pct"/>
            <w:shd w:val="clear" w:color="auto" w:fill="auto"/>
            <w:noWrap/>
            <w:vAlign w:val="center"/>
          </w:tcPr>
          <w:p w:rsidR="00220EB3" w:rsidRPr="00945A8E" w:rsidRDefault="00220EB3" w:rsidP="00D7439E">
            <w:pPr>
              <w:spacing w:after="0" w:line="240" w:lineRule="auto"/>
              <w:ind w:firstLine="0"/>
              <w:jc w:val="right"/>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 xml:space="preserve">98.528 </w:t>
            </w:r>
          </w:p>
        </w:tc>
        <w:tc>
          <w:tcPr>
            <w:tcW w:w="227" w:type="pct"/>
            <w:vAlign w:val="center"/>
          </w:tcPr>
          <w:p w:rsidR="00220EB3" w:rsidRPr="00945A8E" w:rsidRDefault="00220EB3"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186</w:t>
            </w:r>
          </w:p>
        </w:tc>
        <w:tc>
          <w:tcPr>
            <w:tcW w:w="238" w:type="pct"/>
            <w:vAlign w:val="center"/>
          </w:tcPr>
          <w:p w:rsidR="00220EB3" w:rsidRPr="00945A8E" w:rsidRDefault="00220EB3" w:rsidP="00D7439E">
            <w:pPr>
              <w:spacing w:after="0" w:line="240" w:lineRule="auto"/>
              <w:ind w:firstLine="0"/>
              <w:jc w:val="center"/>
              <w:rPr>
                <w:rFonts w:asciiTheme="majorHAnsi" w:eastAsia="Calibri" w:hAnsiTheme="majorHAnsi" w:cs="DokChampa"/>
                <w:sz w:val="16"/>
                <w:szCs w:val="16"/>
                <w:lang w:eastAsia="en-US"/>
              </w:rPr>
            </w:pPr>
            <w:r w:rsidRPr="00945A8E">
              <w:rPr>
                <w:rFonts w:asciiTheme="majorHAnsi" w:eastAsia="Calibri" w:hAnsiTheme="majorHAnsi" w:cs="DokChampa"/>
                <w:sz w:val="16"/>
                <w:szCs w:val="16"/>
                <w:lang w:eastAsia="en-US"/>
              </w:rPr>
              <w:t>0</w:t>
            </w:r>
          </w:p>
        </w:tc>
        <w:tc>
          <w:tcPr>
            <w:tcW w:w="604" w:type="pct"/>
            <w:gridSpan w:val="2"/>
            <w:shd w:val="clear" w:color="auto" w:fill="auto"/>
            <w:vAlign w:val="center"/>
          </w:tcPr>
          <w:p w:rsidR="00220EB3" w:rsidRPr="00945A8E" w:rsidRDefault="00220EB3" w:rsidP="00D7439E">
            <w:pPr>
              <w:spacing w:after="0" w:line="240" w:lineRule="auto"/>
              <w:ind w:firstLine="0"/>
              <w:jc w:val="right"/>
              <w:rPr>
                <w:rFonts w:asciiTheme="majorHAnsi" w:eastAsia="Calibri" w:hAnsiTheme="majorHAnsi" w:cs="DokChampa"/>
                <w:b/>
                <w:sz w:val="16"/>
                <w:szCs w:val="16"/>
                <w:lang w:eastAsia="en-US"/>
              </w:rPr>
            </w:pPr>
            <w:r w:rsidRPr="00945A8E">
              <w:rPr>
                <w:rFonts w:asciiTheme="majorHAnsi" w:eastAsia="Calibri" w:hAnsiTheme="majorHAnsi" w:cs="DokChampa"/>
                <w:b/>
                <w:sz w:val="16"/>
                <w:szCs w:val="16"/>
                <w:lang w:eastAsia="en-US"/>
              </w:rPr>
              <w:t>1.554.560</w:t>
            </w:r>
          </w:p>
        </w:tc>
      </w:tr>
    </w:tbl>
    <w:p w:rsidR="005A1970" w:rsidRPr="00322BD0" w:rsidRDefault="005A1970" w:rsidP="005A1970">
      <w:pPr>
        <w:spacing w:after="0" w:line="240" w:lineRule="auto"/>
        <w:jc w:val="center"/>
        <w:rPr>
          <w:rFonts w:ascii="Cambria" w:hAnsi="Cambria"/>
          <w:b/>
          <w:i/>
          <w:sz w:val="16"/>
          <w:szCs w:val="16"/>
          <w:lang w:val="en-GB"/>
        </w:rPr>
      </w:pPr>
    </w:p>
    <w:p w:rsidR="005A1970" w:rsidRPr="00322BD0" w:rsidRDefault="005A1970" w:rsidP="005A1970">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Tabl</w:t>
      </w:r>
      <w:r w:rsidR="0062652D" w:rsidRPr="00322BD0">
        <w:rPr>
          <w:rFonts w:ascii="Cambria" w:hAnsi="Cambria"/>
          <w:b/>
          <w:i/>
          <w:sz w:val="16"/>
          <w:szCs w:val="16"/>
          <w:lang w:val="en-GB"/>
        </w:rPr>
        <w:t>e</w:t>
      </w:r>
      <w:r w:rsidR="00220EB3">
        <w:rPr>
          <w:rFonts w:ascii="Cambria" w:hAnsi="Cambria"/>
          <w:b/>
          <w:i/>
          <w:sz w:val="16"/>
          <w:szCs w:val="16"/>
          <w:lang w:val="en-GB"/>
        </w:rPr>
        <w:t xml:space="preserve"> 7</w:t>
      </w:r>
      <w:r w:rsidRPr="00322BD0">
        <w:rPr>
          <w:rFonts w:ascii="Cambria" w:hAnsi="Cambria"/>
          <w:b/>
          <w:i/>
          <w:sz w:val="16"/>
          <w:szCs w:val="16"/>
          <w:lang w:val="en-GB"/>
        </w:rPr>
        <w:t xml:space="preserve">- </w:t>
      </w:r>
      <w:r w:rsidR="00220EB3">
        <w:rPr>
          <w:rFonts w:ascii="Cambria" w:eastAsia="Times New Roman" w:hAnsi="Cambria" w:cs="Times New Roman"/>
          <w:b/>
          <w:bCs/>
          <w:i/>
          <w:sz w:val="16"/>
          <w:szCs w:val="16"/>
          <w:lang w:val="en-GB" w:eastAsia="en-US"/>
        </w:rPr>
        <w:t xml:space="preserve">2016 </w:t>
      </w:r>
      <w:r w:rsidR="0062652D" w:rsidRPr="00322BD0">
        <w:rPr>
          <w:rFonts w:ascii="Cambria" w:eastAsia="Times New Roman" w:hAnsi="Cambria" w:cs="Times New Roman"/>
          <w:b/>
          <w:bCs/>
          <w:i/>
          <w:sz w:val="16"/>
          <w:szCs w:val="16"/>
          <w:lang w:val="en-GB" w:eastAsia="en-US"/>
        </w:rPr>
        <w:t xml:space="preserve"> achieved / planned gas for storage</w:t>
      </w:r>
      <w:r w:rsidR="0062652D" w:rsidRPr="00322BD0">
        <w:rPr>
          <w:rFonts w:ascii="Cambria" w:eastAsia="Times New Roman" w:hAnsi="Cambria" w:cs="Times New Roman"/>
          <w:b/>
          <w:bCs/>
          <w:sz w:val="18"/>
          <w:szCs w:val="18"/>
          <w:lang w:val="en-GB" w:eastAsia="en-US"/>
        </w:rPr>
        <w:t xml:space="preserve"> </w:t>
      </w:r>
      <w:r w:rsidRPr="00322BD0">
        <w:rPr>
          <w:rFonts w:ascii="Cambria" w:eastAsia="Times New Roman" w:hAnsi="Cambria" w:cs="Times New Roman"/>
          <w:b/>
          <w:bCs/>
          <w:i/>
          <w:sz w:val="16"/>
          <w:szCs w:val="16"/>
          <w:lang w:val="en-GB"/>
        </w:rPr>
        <w:t>(</w:t>
      </w:r>
      <w:r w:rsidR="0062652D" w:rsidRPr="00322BD0">
        <w:rPr>
          <w:rFonts w:ascii="Cambria" w:eastAsia="Times New Roman" w:hAnsi="Cambria" w:cs="Times New Roman"/>
          <w:b/>
          <w:bCs/>
          <w:i/>
          <w:sz w:val="16"/>
          <w:szCs w:val="16"/>
          <w:lang w:val="en-GB"/>
        </w:rPr>
        <w:t>thousand cm</w:t>
      </w:r>
      <w:r w:rsidRPr="00322BD0">
        <w:rPr>
          <w:rFonts w:ascii="Cambria" w:eastAsia="Times New Roman" w:hAnsi="Cambria" w:cs="Times New Roman"/>
          <w:b/>
          <w:bCs/>
          <w:i/>
          <w:sz w:val="16"/>
          <w:szCs w:val="16"/>
          <w:lang w:val="en-GB"/>
        </w:rPr>
        <w:t>)</w:t>
      </w:r>
    </w:p>
    <w:p w:rsidR="005A1970" w:rsidRPr="00322BD0" w:rsidRDefault="005A1970" w:rsidP="005A1970">
      <w:pPr>
        <w:spacing w:after="0" w:line="240" w:lineRule="auto"/>
        <w:jc w:val="center"/>
        <w:rPr>
          <w:rFonts w:ascii="Cambria" w:eastAsia="Times New Roman" w:hAnsi="Cambria" w:cs="Times New Roman"/>
          <w:b/>
          <w:bCs/>
          <w:i/>
          <w:sz w:val="16"/>
          <w:szCs w:val="16"/>
          <w:lang w:val="en-GB"/>
        </w:rPr>
      </w:pPr>
    </w:p>
    <w:p w:rsidR="005A1970" w:rsidRPr="00322BD0" w:rsidRDefault="005A1970" w:rsidP="005A1970">
      <w:pPr>
        <w:spacing w:after="0" w:line="240" w:lineRule="auto"/>
        <w:jc w:val="center"/>
        <w:rPr>
          <w:rFonts w:ascii="Cambria" w:eastAsia="Times New Roman" w:hAnsi="Cambria" w:cs="Times New Roman"/>
          <w:b/>
          <w:bCs/>
          <w:i/>
          <w:sz w:val="16"/>
          <w:szCs w:val="16"/>
          <w:lang w:val="en-GB"/>
        </w:rPr>
      </w:pPr>
    </w:p>
    <w:p w:rsidR="005A1970" w:rsidRPr="00322BD0" w:rsidRDefault="005A1970" w:rsidP="005A1970">
      <w:pPr>
        <w:spacing w:after="0" w:line="240" w:lineRule="auto"/>
        <w:jc w:val="center"/>
        <w:rPr>
          <w:rFonts w:ascii="Cambria" w:eastAsia="Times New Roman" w:hAnsi="Cambria" w:cs="Times New Roman"/>
          <w:b/>
          <w:bCs/>
          <w:i/>
          <w:sz w:val="16"/>
          <w:szCs w:val="16"/>
          <w:lang w:val="en-GB"/>
        </w:rPr>
      </w:pPr>
    </w:p>
    <w:p w:rsidR="009179C9" w:rsidRDefault="009179C9" w:rsidP="005A1970">
      <w:pPr>
        <w:spacing w:after="0" w:line="240" w:lineRule="auto"/>
        <w:jc w:val="center"/>
        <w:rPr>
          <w:rFonts w:ascii="Cambria" w:hAnsi="Cambria"/>
          <w:b/>
          <w:i/>
          <w:sz w:val="16"/>
          <w:szCs w:val="16"/>
          <w:lang w:val="en-GB"/>
        </w:rPr>
      </w:pPr>
    </w:p>
    <w:p w:rsidR="009179C9" w:rsidRDefault="003B4478" w:rsidP="005A1970">
      <w:pPr>
        <w:spacing w:after="0" w:line="240" w:lineRule="auto"/>
        <w:jc w:val="center"/>
        <w:rPr>
          <w:rFonts w:ascii="Cambria" w:hAnsi="Cambria"/>
          <w:b/>
          <w:i/>
          <w:sz w:val="16"/>
          <w:szCs w:val="16"/>
          <w:lang w:val="en-GB"/>
        </w:rPr>
      </w:pPr>
      <w:r w:rsidRPr="00945A8E">
        <w:rPr>
          <w:rFonts w:asciiTheme="majorHAnsi" w:hAnsiTheme="majorHAnsi"/>
          <w:noProof/>
          <w:lang w:val="ro-RO" w:eastAsia="ro-RO"/>
        </w:rPr>
        <w:lastRenderedPageBreak/>
        <w:drawing>
          <wp:inline distT="0" distB="0" distL="0" distR="0" wp14:anchorId="34768EC6" wp14:editId="435005F7">
            <wp:extent cx="5732145" cy="1955800"/>
            <wp:effectExtent l="0" t="0" r="1905" b="6350"/>
            <wp:docPr id="697" name="Chart 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179C9" w:rsidRDefault="009179C9" w:rsidP="005A1970">
      <w:pPr>
        <w:spacing w:after="0" w:line="240" w:lineRule="auto"/>
        <w:jc w:val="center"/>
        <w:rPr>
          <w:rFonts w:ascii="Cambria" w:hAnsi="Cambria"/>
          <w:b/>
          <w:i/>
          <w:sz w:val="16"/>
          <w:szCs w:val="16"/>
          <w:lang w:val="en-GB"/>
        </w:rPr>
      </w:pPr>
    </w:p>
    <w:p w:rsidR="005A1970" w:rsidRPr="00322BD0" w:rsidRDefault="00F4783C" w:rsidP="005A1970">
      <w:pPr>
        <w:spacing w:after="0" w:line="240" w:lineRule="auto"/>
        <w:jc w:val="center"/>
        <w:rPr>
          <w:rFonts w:ascii="Cambria" w:eastAsia="Times New Roman" w:hAnsi="Cambria" w:cs="Times New Roman"/>
          <w:b/>
          <w:bCs/>
          <w:i/>
          <w:sz w:val="16"/>
          <w:szCs w:val="16"/>
          <w:lang w:val="en-GB"/>
        </w:rPr>
      </w:pPr>
      <w:r w:rsidRPr="00322BD0">
        <w:rPr>
          <w:rFonts w:ascii="Cambria" w:hAnsi="Cambria"/>
          <w:b/>
          <w:i/>
          <w:sz w:val="16"/>
          <w:szCs w:val="16"/>
          <w:lang w:val="en-GB"/>
        </w:rPr>
        <w:t>Chart</w:t>
      </w:r>
      <w:r w:rsidR="009179C9">
        <w:rPr>
          <w:rFonts w:ascii="Cambria" w:hAnsi="Cambria"/>
          <w:b/>
          <w:i/>
          <w:sz w:val="16"/>
          <w:szCs w:val="16"/>
          <w:lang w:val="en-GB"/>
        </w:rPr>
        <w:t xml:space="preserve"> 11</w:t>
      </w:r>
      <w:r w:rsidR="005A1970" w:rsidRPr="00322BD0">
        <w:rPr>
          <w:rFonts w:ascii="Cambria" w:hAnsi="Cambria"/>
          <w:b/>
          <w:i/>
          <w:sz w:val="16"/>
          <w:szCs w:val="16"/>
          <w:lang w:val="en-GB"/>
        </w:rPr>
        <w:t xml:space="preserve">- </w:t>
      </w:r>
      <w:r w:rsidR="009179C9">
        <w:rPr>
          <w:rFonts w:ascii="Cambria" w:eastAsia="Times New Roman" w:hAnsi="Cambria" w:cs="Times New Roman"/>
          <w:b/>
          <w:bCs/>
          <w:i/>
          <w:sz w:val="16"/>
          <w:szCs w:val="16"/>
          <w:lang w:val="en-GB" w:eastAsia="en-US"/>
        </w:rPr>
        <w:t xml:space="preserve">2016 </w:t>
      </w:r>
      <w:r w:rsidRPr="00322BD0">
        <w:rPr>
          <w:rFonts w:ascii="Cambria" w:eastAsia="Times New Roman" w:hAnsi="Cambria" w:cs="Times New Roman"/>
          <w:b/>
          <w:bCs/>
          <w:i/>
          <w:sz w:val="16"/>
          <w:szCs w:val="16"/>
          <w:lang w:val="en-GB" w:eastAsia="en-US"/>
        </w:rPr>
        <w:t>achieved / planned gas for storage</w:t>
      </w:r>
      <w:r w:rsidRPr="00322BD0">
        <w:rPr>
          <w:rFonts w:ascii="Cambria" w:eastAsia="Times New Roman" w:hAnsi="Cambria" w:cs="Times New Roman"/>
          <w:b/>
          <w:bCs/>
          <w:sz w:val="18"/>
          <w:szCs w:val="18"/>
          <w:lang w:val="en-GB" w:eastAsia="en-US"/>
        </w:rPr>
        <w:t xml:space="preserve"> </w:t>
      </w:r>
      <w:r w:rsidRPr="00322BD0">
        <w:rPr>
          <w:rFonts w:ascii="Cambria" w:eastAsia="Times New Roman" w:hAnsi="Cambria" w:cs="Times New Roman"/>
          <w:b/>
          <w:bCs/>
          <w:i/>
          <w:sz w:val="16"/>
          <w:szCs w:val="16"/>
          <w:lang w:val="en-GB"/>
        </w:rPr>
        <w:t>(thousand cm)</w:t>
      </w:r>
    </w:p>
    <w:p w:rsidR="00644C85" w:rsidRPr="00322BD0" w:rsidRDefault="00644C85" w:rsidP="005A1970">
      <w:pPr>
        <w:spacing w:after="0" w:line="240" w:lineRule="auto"/>
        <w:jc w:val="center"/>
        <w:rPr>
          <w:rFonts w:ascii="Cambria" w:eastAsia="Times New Roman" w:hAnsi="Cambria" w:cs="Times New Roman"/>
          <w:b/>
          <w:bCs/>
          <w:i/>
          <w:sz w:val="16"/>
          <w:szCs w:val="16"/>
          <w:lang w:val="en-GB"/>
        </w:rPr>
      </w:pPr>
    </w:p>
    <w:p w:rsidR="00644C85" w:rsidRPr="00322BD0" w:rsidRDefault="00644C85" w:rsidP="00644C85">
      <w:pPr>
        <w:spacing w:after="0" w:line="240" w:lineRule="auto"/>
        <w:ind w:firstLine="0"/>
        <w:jc w:val="both"/>
        <w:rPr>
          <w:rFonts w:ascii="Cambria" w:eastAsia="Times New Roman" w:hAnsi="Cambria" w:cs="Calibri"/>
          <w:sz w:val="24"/>
          <w:szCs w:val="24"/>
          <w:lang w:val="en-GB" w:eastAsia="ro-RO"/>
        </w:rPr>
      </w:pPr>
      <w:r w:rsidRPr="00322BD0">
        <w:rPr>
          <w:rFonts w:ascii="Cambria" w:eastAsia="Times New Roman" w:hAnsi="Cambria" w:cs="Calibri"/>
          <w:sz w:val="24"/>
          <w:szCs w:val="24"/>
          <w:lang w:val="en-GB" w:eastAsia="ro-RO"/>
        </w:rPr>
        <w:t>Th</w:t>
      </w:r>
      <w:r w:rsidR="009179C9">
        <w:rPr>
          <w:rFonts w:ascii="Cambria" w:eastAsia="Times New Roman" w:hAnsi="Cambria" w:cs="Calibri"/>
          <w:sz w:val="24"/>
          <w:szCs w:val="24"/>
          <w:lang w:val="en-GB" w:eastAsia="ro-RO"/>
        </w:rPr>
        <w:t>e quantity of gas stored in 2016</w:t>
      </w:r>
      <w:r w:rsidRPr="00322BD0">
        <w:rPr>
          <w:rFonts w:ascii="Cambria" w:eastAsia="Times New Roman" w:hAnsi="Cambria" w:cs="Calibri"/>
          <w:sz w:val="24"/>
          <w:szCs w:val="24"/>
          <w:lang w:val="en-GB" w:eastAsia="ro-RO"/>
        </w:rPr>
        <w:t xml:space="preserve"> amounted to approximately 97% of the planned level.</w:t>
      </w:r>
    </w:p>
    <w:p w:rsidR="00691FCB" w:rsidRPr="00322BD0" w:rsidRDefault="00691FCB" w:rsidP="00644C85">
      <w:pPr>
        <w:spacing w:after="0" w:line="240" w:lineRule="auto"/>
        <w:ind w:firstLine="0"/>
        <w:jc w:val="both"/>
        <w:rPr>
          <w:rFonts w:ascii="Cambria" w:eastAsia="Times New Roman" w:hAnsi="Cambria" w:cs="Calibri"/>
          <w:sz w:val="24"/>
          <w:szCs w:val="24"/>
          <w:lang w:val="en-GB" w:eastAsia="ro-RO"/>
        </w:rPr>
      </w:pPr>
    </w:p>
    <w:p w:rsidR="00691FCB" w:rsidRPr="00322BD0" w:rsidRDefault="00691FCB" w:rsidP="00691FCB">
      <w:pPr>
        <w:spacing w:after="0" w:line="240" w:lineRule="auto"/>
        <w:ind w:firstLine="0"/>
        <w:jc w:val="both"/>
        <w:rPr>
          <w:rFonts w:ascii="Cambria" w:hAnsi="Cambria"/>
          <w:sz w:val="24"/>
          <w:szCs w:val="24"/>
          <w:lang w:val="en-GB"/>
        </w:rPr>
      </w:pPr>
      <w:r w:rsidRPr="00322BD0">
        <w:rPr>
          <w:rFonts w:ascii="Cambria" w:eastAsia="Times New Roman" w:hAnsi="Cambria" w:cs="Times New Roman"/>
          <w:sz w:val="24"/>
          <w:szCs w:val="24"/>
          <w:lang w:val="en-GB"/>
        </w:rPr>
        <w:t xml:space="preserve">The comparative evolution of the operating </w:t>
      </w:r>
      <w:r w:rsidR="003D1D94" w:rsidRPr="00322BD0">
        <w:rPr>
          <w:rFonts w:ascii="Cambria" w:eastAsia="Times New Roman" w:hAnsi="Cambria" w:cs="Times New Roman"/>
          <w:sz w:val="24"/>
          <w:szCs w:val="24"/>
          <w:lang w:val="en-GB"/>
        </w:rPr>
        <w:t>revenue before</w:t>
      </w:r>
      <w:r w:rsidRPr="00322BD0">
        <w:rPr>
          <w:rFonts w:ascii="Cambria" w:eastAsia="Times New Roman" w:hAnsi="Cambria" w:cs="Times New Roman"/>
          <w:sz w:val="24"/>
          <w:szCs w:val="24"/>
          <w:lang w:val="en-GB"/>
        </w:rPr>
        <w:t xml:space="preserve"> the construction activity according to </w:t>
      </w:r>
      <w:r w:rsidRPr="00322BD0">
        <w:rPr>
          <w:rFonts w:ascii="Cambria" w:hAnsi="Cambria"/>
          <w:sz w:val="24"/>
          <w:szCs w:val="24"/>
          <w:lang w:val="en-GB"/>
        </w:rPr>
        <w:t>IFRIC12, obtained by the Company in</w:t>
      </w:r>
      <w:r w:rsidR="009179C9">
        <w:rPr>
          <w:rFonts w:ascii="Cambria" w:hAnsi="Cambria"/>
          <w:sz w:val="24"/>
          <w:szCs w:val="24"/>
          <w:lang w:val="en-GB"/>
        </w:rPr>
        <w:t xml:space="preserve"> 2016 vs</w:t>
      </w:r>
      <w:r w:rsidRPr="00322BD0">
        <w:rPr>
          <w:rFonts w:ascii="Cambria" w:hAnsi="Cambria"/>
          <w:sz w:val="24"/>
          <w:szCs w:val="24"/>
          <w:lang w:val="en-GB"/>
        </w:rPr>
        <w:t xml:space="preserve"> 2015 is as follows:</w:t>
      </w:r>
    </w:p>
    <w:tbl>
      <w:tblPr>
        <w:tblpPr w:leftFromText="180" w:rightFromText="180" w:vertAnchor="text" w:horzAnchor="margin" w:tblpXSpec="center" w:tblpY="184"/>
        <w:tblW w:w="81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80"/>
        <w:gridCol w:w="1430"/>
        <w:gridCol w:w="1119"/>
        <w:gridCol w:w="161"/>
        <w:gridCol w:w="984"/>
        <w:gridCol w:w="1322"/>
        <w:gridCol w:w="1293"/>
        <w:gridCol w:w="1101"/>
      </w:tblGrid>
      <w:tr w:rsidR="00736E83" w:rsidRPr="00322BD0" w:rsidTr="00736E83">
        <w:trPr>
          <w:trHeight w:val="328"/>
          <w:tblCellSpacing w:w="20" w:type="dxa"/>
        </w:trPr>
        <w:tc>
          <w:tcPr>
            <w:tcW w:w="720" w:type="dxa"/>
            <w:vMerge w:val="restart"/>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No.</w:t>
            </w:r>
          </w:p>
        </w:tc>
        <w:tc>
          <w:tcPr>
            <w:tcW w:w="1390" w:type="dxa"/>
            <w:vMerge w:val="restart"/>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Specifications</w:t>
            </w:r>
          </w:p>
        </w:tc>
        <w:tc>
          <w:tcPr>
            <w:tcW w:w="4839" w:type="dxa"/>
            <w:gridSpan w:val="5"/>
            <w:shd w:val="clear" w:color="auto" w:fill="D6E0F4"/>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Achieved 31 December</w:t>
            </w:r>
          </w:p>
        </w:tc>
        <w:tc>
          <w:tcPr>
            <w:tcW w:w="1041" w:type="dxa"/>
            <w:vMerge w:val="restart"/>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Dynamics (%)</w:t>
            </w:r>
          </w:p>
        </w:tc>
      </w:tr>
      <w:tr w:rsidR="00736E83" w:rsidRPr="00322BD0" w:rsidTr="00736E83">
        <w:trPr>
          <w:trHeight w:val="213"/>
          <w:tblCellSpacing w:w="20" w:type="dxa"/>
        </w:trPr>
        <w:tc>
          <w:tcPr>
            <w:tcW w:w="720" w:type="dxa"/>
            <w:vMerge/>
            <w:shd w:val="clear" w:color="auto" w:fill="D6E0F4"/>
            <w:vAlign w:val="center"/>
            <w:hideMark/>
          </w:tcPr>
          <w:p w:rsidR="00736E83" w:rsidRPr="00322BD0" w:rsidRDefault="00736E83" w:rsidP="00736E83">
            <w:pPr>
              <w:spacing w:after="0" w:line="240" w:lineRule="auto"/>
              <w:ind w:firstLine="0"/>
              <w:rPr>
                <w:rFonts w:asciiTheme="majorHAnsi" w:eastAsia="Times New Roman" w:hAnsiTheme="majorHAnsi" w:cs="Arial"/>
                <w:b/>
                <w:bCs/>
                <w:sz w:val="18"/>
                <w:szCs w:val="18"/>
                <w:lang w:val="en-GB" w:eastAsia="ro-RO"/>
              </w:rPr>
            </w:pPr>
          </w:p>
        </w:tc>
        <w:tc>
          <w:tcPr>
            <w:tcW w:w="1390" w:type="dxa"/>
            <w:vMerge/>
            <w:shd w:val="clear" w:color="auto" w:fill="D6E0F4"/>
            <w:vAlign w:val="center"/>
            <w:hideMark/>
          </w:tcPr>
          <w:p w:rsidR="00736E83" w:rsidRPr="00322BD0" w:rsidRDefault="00736E83" w:rsidP="00736E83">
            <w:pPr>
              <w:spacing w:after="0" w:line="240" w:lineRule="auto"/>
              <w:ind w:firstLine="0"/>
              <w:rPr>
                <w:rFonts w:asciiTheme="majorHAnsi" w:eastAsia="Times New Roman" w:hAnsiTheme="majorHAnsi" w:cs="Arial"/>
                <w:b/>
                <w:bCs/>
                <w:sz w:val="18"/>
                <w:szCs w:val="18"/>
                <w:lang w:val="en-GB" w:eastAsia="ro-RO"/>
              </w:rPr>
            </w:pPr>
          </w:p>
        </w:tc>
        <w:tc>
          <w:tcPr>
            <w:tcW w:w="1079" w:type="dxa"/>
            <w:shd w:val="clear" w:color="auto" w:fill="D6E0F4"/>
          </w:tcPr>
          <w:p w:rsidR="00736E83" w:rsidRPr="009179C9" w:rsidRDefault="00736E83" w:rsidP="00736E83">
            <w:pPr>
              <w:spacing w:after="0" w:line="240" w:lineRule="auto"/>
              <w:ind w:firstLine="0"/>
              <w:jc w:val="center"/>
              <w:rPr>
                <w:rFonts w:asciiTheme="majorHAnsi" w:eastAsia="Times New Roman" w:hAnsiTheme="majorHAnsi" w:cs="Arial"/>
                <w:b/>
                <w:bCs/>
                <w:color w:val="FF0000"/>
                <w:sz w:val="18"/>
                <w:szCs w:val="18"/>
                <w:lang w:val="en-GB" w:eastAsia="ro-RO"/>
              </w:rPr>
            </w:pPr>
            <w:r w:rsidRPr="003A4884">
              <w:rPr>
                <w:rFonts w:asciiTheme="majorHAnsi" w:eastAsia="Times New Roman" w:hAnsiTheme="majorHAnsi" w:cs="Arial"/>
                <w:b/>
                <w:bCs/>
                <w:sz w:val="18"/>
                <w:szCs w:val="18"/>
                <w:lang w:val="en-GB" w:eastAsia="ro-RO"/>
              </w:rPr>
              <w:t>2016</w:t>
            </w:r>
          </w:p>
        </w:tc>
        <w:tc>
          <w:tcPr>
            <w:tcW w:w="1105" w:type="dxa"/>
            <w:gridSpan w:val="2"/>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2015</w:t>
            </w:r>
            <w:r>
              <w:rPr>
                <w:rFonts w:asciiTheme="majorHAnsi" w:eastAsia="Times New Roman" w:hAnsiTheme="majorHAnsi" w:cs="Arial"/>
                <w:b/>
                <w:bCs/>
                <w:sz w:val="18"/>
                <w:szCs w:val="18"/>
                <w:lang w:val="en-GB" w:eastAsia="ro-RO"/>
              </w:rPr>
              <w:t xml:space="preserve"> </w:t>
            </w:r>
          </w:p>
        </w:tc>
        <w:tc>
          <w:tcPr>
            <w:tcW w:w="1282"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2014</w:t>
            </w:r>
          </w:p>
        </w:tc>
        <w:tc>
          <w:tcPr>
            <w:tcW w:w="1253"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2013</w:t>
            </w:r>
          </w:p>
        </w:tc>
        <w:tc>
          <w:tcPr>
            <w:tcW w:w="1041" w:type="dxa"/>
            <w:vMerge/>
            <w:shd w:val="clear" w:color="auto" w:fill="D6E0F4"/>
            <w:vAlign w:val="center"/>
            <w:hideMark/>
          </w:tcPr>
          <w:p w:rsidR="00736E83" w:rsidRPr="00322BD0" w:rsidRDefault="00736E83" w:rsidP="00736E83">
            <w:pPr>
              <w:spacing w:after="0" w:line="240" w:lineRule="auto"/>
              <w:ind w:firstLine="0"/>
              <w:rPr>
                <w:rFonts w:asciiTheme="majorHAnsi" w:eastAsia="Times New Roman" w:hAnsiTheme="majorHAnsi" w:cs="Arial"/>
                <w:b/>
                <w:bCs/>
                <w:sz w:val="18"/>
                <w:szCs w:val="18"/>
                <w:lang w:val="en-GB" w:eastAsia="ro-RO"/>
              </w:rPr>
            </w:pPr>
          </w:p>
        </w:tc>
      </w:tr>
      <w:tr w:rsidR="00736E83" w:rsidRPr="00322BD0" w:rsidTr="00736E83">
        <w:trPr>
          <w:trHeight w:val="216"/>
          <w:tblCellSpacing w:w="20" w:type="dxa"/>
        </w:trPr>
        <w:tc>
          <w:tcPr>
            <w:tcW w:w="720"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0</w:t>
            </w:r>
          </w:p>
        </w:tc>
        <w:tc>
          <w:tcPr>
            <w:tcW w:w="1390" w:type="dxa"/>
            <w:shd w:val="clear" w:color="auto" w:fill="D6E0F4"/>
            <w:vAlign w:val="center"/>
            <w:hideMark/>
          </w:tcPr>
          <w:p w:rsidR="00736E83" w:rsidRPr="00322BD0" w:rsidRDefault="00736E83" w:rsidP="00736E83">
            <w:pPr>
              <w:spacing w:after="0" w:line="240" w:lineRule="auto"/>
              <w:ind w:right="-115" w:hanging="86"/>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w:t>
            </w:r>
          </w:p>
        </w:tc>
        <w:tc>
          <w:tcPr>
            <w:tcW w:w="1079" w:type="dxa"/>
            <w:shd w:val="clear" w:color="auto" w:fill="D6E0F4"/>
            <w:vAlign w:val="center"/>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w:t>
            </w:r>
          </w:p>
        </w:tc>
        <w:tc>
          <w:tcPr>
            <w:tcW w:w="1105" w:type="dxa"/>
            <w:gridSpan w:val="2"/>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w:t>
            </w:r>
          </w:p>
        </w:tc>
        <w:tc>
          <w:tcPr>
            <w:tcW w:w="1282"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w:t>
            </w:r>
          </w:p>
        </w:tc>
        <w:tc>
          <w:tcPr>
            <w:tcW w:w="1253"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5</w:t>
            </w:r>
          </w:p>
        </w:tc>
        <w:tc>
          <w:tcPr>
            <w:tcW w:w="1041"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DE498D">
              <w:rPr>
                <w:rFonts w:ascii="Cambria" w:eastAsia="Times New Roman" w:hAnsi="Cambria" w:cs="Arial"/>
                <w:sz w:val="18"/>
                <w:szCs w:val="18"/>
                <w:lang w:val="ro-RO" w:eastAsia="ro-RO"/>
              </w:rPr>
              <w:t>6=2/3*100</w:t>
            </w:r>
          </w:p>
        </w:tc>
      </w:tr>
      <w:tr w:rsidR="00736E83" w:rsidRPr="00322BD0" w:rsidTr="00736E83">
        <w:trPr>
          <w:trHeight w:val="207"/>
          <w:tblCellSpacing w:w="20" w:type="dxa"/>
        </w:trPr>
        <w:tc>
          <w:tcPr>
            <w:tcW w:w="720"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1.</w:t>
            </w:r>
          </w:p>
        </w:tc>
        <w:tc>
          <w:tcPr>
            <w:tcW w:w="7350" w:type="dxa"/>
            <w:gridSpan w:val="7"/>
            <w:shd w:val="clear" w:color="auto" w:fill="D6E0F4"/>
          </w:tcPr>
          <w:p w:rsidR="00736E83" w:rsidRPr="00616484" w:rsidRDefault="00736E83" w:rsidP="00736E83">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Revenue from the transmission activity</w:t>
            </w:r>
          </w:p>
        </w:tc>
      </w:tr>
      <w:tr w:rsidR="00736E83" w:rsidRPr="00322BD0" w:rsidTr="00736E83">
        <w:trPr>
          <w:trHeight w:val="210"/>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thousand RON</w:t>
            </w:r>
          </w:p>
        </w:tc>
        <w:tc>
          <w:tcPr>
            <w:tcW w:w="1240" w:type="dxa"/>
            <w:gridSpan w:val="2"/>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1.360.355</w:t>
            </w:r>
          </w:p>
        </w:tc>
        <w:tc>
          <w:tcPr>
            <w:tcW w:w="944"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1.259.788</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1.340.853</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1.210.480</w:t>
            </w:r>
          </w:p>
        </w:tc>
        <w:tc>
          <w:tcPr>
            <w:tcW w:w="1041" w:type="dxa"/>
            <w:shd w:val="clear" w:color="auto" w:fill="auto"/>
            <w:vAlign w:val="center"/>
            <w:hideMark/>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107,98</w:t>
            </w:r>
          </w:p>
        </w:tc>
      </w:tr>
      <w:tr w:rsidR="00736E83" w:rsidRPr="00322BD0" w:rsidTr="00736E83">
        <w:trPr>
          <w:trHeight w:val="215"/>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MWh</w:t>
            </w:r>
          </w:p>
        </w:tc>
        <w:tc>
          <w:tcPr>
            <w:tcW w:w="1240" w:type="dxa"/>
            <w:gridSpan w:val="2"/>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129.786.374</w:t>
            </w:r>
          </w:p>
        </w:tc>
        <w:tc>
          <w:tcPr>
            <w:tcW w:w="944"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131.259.673</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126.703.188</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119.741.363</w:t>
            </w:r>
          </w:p>
        </w:tc>
        <w:tc>
          <w:tcPr>
            <w:tcW w:w="1041" w:type="dxa"/>
            <w:shd w:val="clear" w:color="auto" w:fill="auto"/>
            <w:vAlign w:val="center"/>
            <w:hideMark/>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98,88</w:t>
            </w:r>
          </w:p>
        </w:tc>
      </w:tr>
      <w:tr w:rsidR="00736E83" w:rsidRPr="00322BD0" w:rsidTr="00736E83">
        <w:trPr>
          <w:trHeight w:val="218"/>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RON/MWh</w:t>
            </w:r>
          </w:p>
        </w:tc>
        <w:tc>
          <w:tcPr>
            <w:tcW w:w="1240" w:type="dxa"/>
            <w:gridSpan w:val="2"/>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10,48</w:t>
            </w:r>
          </w:p>
        </w:tc>
        <w:tc>
          <w:tcPr>
            <w:tcW w:w="944"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9,60</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10,58</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10,11</w:t>
            </w:r>
          </w:p>
        </w:tc>
        <w:tc>
          <w:tcPr>
            <w:tcW w:w="1041" w:type="dxa"/>
            <w:shd w:val="clear" w:color="auto" w:fill="auto"/>
            <w:vAlign w:val="center"/>
            <w:hideMark/>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109,21</w:t>
            </w:r>
          </w:p>
        </w:tc>
      </w:tr>
      <w:tr w:rsidR="00736E83" w:rsidRPr="00322BD0" w:rsidTr="00736E83">
        <w:trPr>
          <w:trHeight w:val="81"/>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thousand RON</w:t>
            </w:r>
          </w:p>
        </w:tc>
        <w:tc>
          <w:tcPr>
            <w:tcW w:w="1240" w:type="dxa"/>
            <w:gridSpan w:val="2"/>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12.074.677</w:t>
            </w:r>
          </w:p>
        </w:tc>
        <w:tc>
          <w:tcPr>
            <w:tcW w:w="944"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12.294.693</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11.883.713</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11.258.941</w:t>
            </w:r>
          </w:p>
        </w:tc>
        <w:tc>
          <w:tcPr>
            <w:tcW w:w="1041" w:type="dxa"/>
            <w:shd w:val="clear" w:color="auto" w:fill="auto"/>
            <w:vAlign w:val="center"/>
            <w:hideMark/>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98,21</w:t>
            </w:r>
          </w:p>
        </w:tc>
      </w:tr>
      <w:tr w:rsidR="00736E83" w:rsidRPr="00322BD0" w:rsidTr="00736E83">
        <w:trPr>
          <w:trHeight w:val="212"/>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RON/1000 cm</w:t>
            </w:r>
          </w:p>
        </w:tc>
        <w:tc>
          <w:tcPr>
            <w:tcW w:w="1240" w:type="dxa"/>
            <w:gridSpan w:val="2"/>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112,66</w:t>
            </w:r>
          </w:p>
        </w:tc>
        <w:tc>
          <w:tcPr>
            <w:tcW w:w="944"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102,47</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112,83</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107,51</w:t>
            </w:r>
          </w:p>
        </w:tc>
        <w:tc>
          <w:tcPr>
            <w:tcW w:w="1041" w:type="dxa"/>
            <w:shd w:val="clear" w:color="auto" w:fill="auto"/>
            <w:vAlign w:val="center"/>
            <w:hideMark/>
          </w:tcPr>
          <w:p w:rsidR="00736E83" w:rsidRPr="00DE498D" w:rsidRDefault="00736E83" w:rsidP="00736E83">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109,95</w:t>
            </w:r>
          </w:p>
        </w:tc>
      </w:tr>
      <w:tr w:rsidR="00736E83" w:rsidRPr="00322BD0" w:rsidTr="00736E83">
        <w:trPr>
          <w:trHeight w:val="232"/>
          <w:tblCellSpacing w:w="20" w:type="dxa"/>
        </w:trPr>
        <w:tc>
          <w:tcPr>
            <w:tcW w:w="720" w:type="dxa"/>
            <w:shd w:val="clear" w:color="auto" w:fill="D6E0F4"/>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w:t>
            </w:r>
          </w:p>
        </w:tc>
        <w:tc>
          <w:tcPr>
            <w:tcW w:w="7350" w:type="dxa"/>
            <w:gridSpan w:val="7"/>
            <w:shd w:val="clear" w:color="auto" w:fill="D6E0F4"/>
          </w:tcPr>
          <w:p w:rsidR="00736E83" w:rsidRPr="00616484" w:rsidRDefault="00736E83" w:rsidP="00736E83">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Revenue from the international transmission activity</w:t>
            </w:r>
          </w:p>
        </w:tc>
      </w:tr>
      <w:tr w:rsidR="00736E83" w:rsidRPr="00322BD0" w:rsidTr="00736E83">
        <w:trPr>
          <w:trHeight w:val="192"/>
          <w:tblCellSpacing w:w="20" w:type="dxa"/>
        </w:trPr>
        <w:tc>
          <w:tcPr>
            <w:tcW w:w="720" w:type="dxa"/>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thousand RON</w:t>
            </w:r>
          </w:p>
        </w:tc>
        <w:tc>
          <w:tcPr>
            <w:tcW w:w="1079" w:type="dxa"/>
          </w:tcPr>
          <w:p w:rsidR="00736E83" w:rsidRPr="00322BD0" w:rsidRDefault="00736E83" w:rsidP="00736E83">
            <w:pPr>
              <w:spacing w:after="0" w:line="240" w:lineRule="auto"/>
              <w:ind w:firstLine="0"/>
              <w:jc w:val="right"/>
              <w:rPr>
                <w:rFonts w:asciiTheme="majorHAnsi" w:eastAsia="Times New Roman" w:hAnsiTheme="majorHAnsi" w:cs="Arial"/>
                <w:sz w:val="18"/>
                <w:szCs w:val="18"/>
                <w:lang w:val="en-GB" w:eastAsia="ro-RO"/>
              </w:rPr>
            </w:pPr>
            <w:r w:rsidRPr="003A4884">
              <w:rPr>
                <w:rFonts w:asciiTheme="majorHAnsi" w:eastAsia="Times New Roman" w:hAnsiTheme="majorHAnsi" w:cs="Arial"/>
                <w:sz w:val="18"/>
                <w:szCs w:val="18"/>
                <w:lang w:val="en-GB" w:eastAsia="ro-RO"/>
              </w:rPr>
              <w:t>328.571</w:t>
            </w:r>
          </w:p>
        </w:tc>
        <w:tc>
          <w:tcPr>
            <w:tcW w:w="1105" w:type="dxa"/>
            <w:gridSpan w:val="2"/>
            <w:shd w:val="clear" w:color="auto" w:fill="auto"/>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318.752</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273.760</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268.537</w:t>
            </w:r>
          </w:p>
        </w:tc>
        <w:tc>
          <w:tcPr>
            <w:tcW w:w="1041"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DE498D">
              <w:rPr>
                <w:rFonts w:ascii="Cambria" w:eastAsia="Times New Roman" w:hAnsi="Cambria" w:cs="Arial"/>
                <w:sz w:val="18"/>
                <w:szCs w:val="18"/>
                <w:lang w:val="ro-RO" w:eastAsia="ro-RO"/>
              </w:rPr>
              <w:t>103,08</w:t>
            </w:r>
          </w:p>
        </w:tc>
      </w:tr>
      <w:tr w:rsidR="00736E83" w:rsidRPr="00322BD0" w:rsidTr="00736E83">
        <w:trPr>
          <w:trHeight w:val="214"/>
          <w:tblCellSpacing w:w="20" w:type="dxa"/>
        </w:trPr>
        <w:tc>
          <w:tcPr>
            <w:tcW w:w="720" w:type="dxa"/>
            <w:shd w:val="clear" w:color="auto" w:fill="D6E0F4"/>
            <w:vAlign w:val="center"/>
          </w:tcPr>
          <w:p w:rsidR="00736E83" w:rsidRPr="00322BD0" w:rsidRDefault="00631773" w:rsidP="00736E83">
            <w:pPr>
              <w:spacing w:after="0" w:line="240" w:lineRule="auto"/>
              <w:ind w:firstLine="0"/>
              <w:jc w:val="center"/>
              <w:rPr>
                <w:rFonts w:asciiTheme="majorHAnsi" w:eastAsia="Times New Roman" w:hAnsiTheme="majorHAnsi" w:cs="Arial"/>
                <w:b/>
                <w:bCs/>
                <w:sz w:val="18"/>
                <w:szCs w:val="18"/>
                <w:lang w:val="en-GB" w:eastAsia="ro-RO"/>
              </w:rPr>
            </w:pPr>
            <w:r>
              <w:rPr>
                <w:rFonts w:asciiTheme="majorHAnsi" w:eastAsia="Times New Roman" w:hAnsiTheme="majorHAnsi" w:cs="Arial"/>
                <w:b/>
                <w:bCs/>
                <w:sz w:val="18"/>
                <w:szCs w:val="18"/>
                <w:lang w:val="en-GB" w:eastAsia="ro-RO"/>
              </w:rPr>
              <w:t>3</w:t>
            </w:r>
            <w:r w:rsidR="00736E83">
              <w:rPr>
                <w:rFonts w:asciiTheme="majorHAnsi" w:eastAsia="Times New Roman" w:hAnsiTheme="majorHAnsi" w:cs="Arial"/>
                <w:b/>
                <w:bCs/>
                <w:sz w:val="18"/>
                <w:szCs w:val="18"/>
                <w:lang w:val="en-GB" w:eastAsia="ro-RO"/>
              </w:rPr>
              <w:t>.</w:t>
            </w:r>
          </w:p>
        </w:tc>
        <w:tc>
          <w:tcPr>
            <w:tcW w:w="7350" w:type="dxa"/>
            <w:gridSpan w:val="7"/>
            <w:shd w:val="clear" w:color="auto" w:fill="D6E0F4"/>
          </w:tcPr>
          <w:p w:rsidR="00736E83" w:rsidRPr="00322BD0" w:rsidRDefault="00736E83" w:rsidP="00736E83">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Other operating revenue</w:t>
            </w:r>
          </w:p>
        </w:tc>
      </w:tr>
      <w:tr w:rsidR="00736E83" w:rsidRPr="00322BD0" w:rsidTr="00736E83">
        <w:trPr>
          <w:trHeight w:val="176"/>
          <w:tblCellSpacing w:w="20" w:type="dxa"/>
        </w:trPr>
        <w:tc>
          <w:tcPr>
            <w:tcW w:w="720" w:type="dxa"/>
            <w:shd w:val="clear" w:color="auto" w:fill="auto"/>
            <w:noWrap/>
            <w:vAlign w:val="center"/>
            <w:hideMark/>
          </w:tcPr>
          <w:p w:rsidR="00736E83" w:rsidRPr="00322BD0" w:rsidRDefault="00736E83" w:rsidP="00736E8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390" w:type="dxa"/>
            <w:shd w:val="clear" w:color="auto" w:fill="auto"/>
            <w:vAlign w:val="center"/>
            <w:hideMark/>
          </w:tcPr>
          <w:p w:rsidR="00736E83" w:rsidRPr="00322BD0" w:rsidRDefault="00736E83" w:rsidP="00736E83">
            <w:pPr>
              <w:spacing w:after="0" w:line="240" w:lineRule="auto"/>
              <w:ind w:right="-115" w:hanging="86"/>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 thousand RON</w:t>
            </w:r>
          </w:p>
        </w:tc>
        <w:tc>
          <w:tcPr>
            <w:tcW w:w="1079" w:type="dxa"/>
          </w:tcPr>
          <w:p w:rsidR="00736E83" w:rsidRPr="00322BD0" w:rsidRDefault="00736E83" w:rsidP="00736E83">
            <w:pPr>
              <w:spacing w:after="0" w:line="240" w:lineRule="auto"/>
              <w:ind w:firstLine="0"/>
              <w:jc w:val="right"/>
              <w:rPr>
                <w:rFonts w:asciiTheme="majorHAnsi" w:eastAsia="Times New Roman" w:hAnsiTheme="majorHAnsi" w:cs="Arial"/>
                <w:sz w:val="18"/>
                <w:szCs w:val="18"/>
                <w:lang w:val="en-GB" w:eastAsia="ro-RO"/>
              </w:rPr>
            </w:pPr>
            <w:r w:rsidRPr="00DE498D">
              <w:rPr>
                <w:rFonts w:ascii="Cambria" w:eastAsia="Times New Roman" w:hAnsi="Cambria" w:cs="Arial"/>
                <w:sz w:val="18"/>
                <w:szCs w:val="18"/>
                <w:lang w:val="ro-RO" w:eastAsia="ro-RO"/>
              </w:rPr>
              <w:t>126.459</w:t>
            </w:r>
          </w:p>
        </w:tc>
        <w:tc>
          <w:tcPr>
            <w:tcW w:w="1105" w:type="dxa"/>
            <w:gridSpan w:val="2"/>
            <w:shd w:val="clear" w:color="auto" w:fill="auto"/>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84.858</w:t>
            </w:r>
          </w:p>
        </w:tc>
        <w:tc>
          <w:tcPr>
            <w:tcW w:w="1282"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40.706</w:t>
            </w:r>
          </w:p>
        </w:tc>
        <w:tc>
          <w:tcPr>
            <w:tcW w:w="1253"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37.623</w:t>
            </w:r>
          </w:p>
        </w:tc>
        <w:tc>
          <w:tcPr>
            <w:tcW w:w="1041" w:type="dxa"/>
            <w:shd w:val="clear" w:color="auto" w:fill="auto"/>
            <w:vAlign w:val="center"/>
            <w:hideMark/>
          </w:tcPr>
          <w:p w:rsidR="00736E83" w:rsidRPr="0044720C" w:rsidRDefault="00736E83" w:rsidP="00736E83">
            <w:pPr>
              <w:spacing w:after="0" w:line="240" w:lineRule="auto"/>
              <w:ind w:firstLine="0"/>
              <w:jc w:val="right"/>
              <w:rPr>
                <w:rFonts w:asciiTheme="majorHAnsi" w:eastAsia="Times New Roman" w:hAnsiTheme="majorHAnsi" w:cs="Arial"/>
                <w:sz w:val="18"/>
                <w:szCs w:val="18"/>
                <w:lang w:val="ro-RO" w:eastAsia="ro-RO"/>
              </w:rPr>
            </w:pPr>
            <w:r w:rsidRPr="00DE498D">
              <w:rPr>
                <w:rFonts w:ascii="Cambria" w:eastAsia="Times New Roman" w:hAnsi="Cambria" w:cs="Arial"/>
                <w:sz w:val="18"/>
                <w:szCs w:val="18"/>
                <w:lang w:val="ro-RO" w:eastAsia="ro-RO"/>
              </w:rPr>
              <w:t>149,02</w:t>
            </w:r>
          </w:p>
        </w:tc>
      </w:tr>
      <w:tr w:rsidR="00736E83" w:rsidRPr="00322BD0" w:rsidTr="00736E83">
        <w:trPr>
          <w:trHeight w:val="190"/>
          <w:tblCellSpacing w:w="20" w:type="dxa"/>
        </w:trPr>
        <w:tc>
          <w:tcPr>
            <w:tcW w:w="720" w:type="dxa"/>
            <w:vMerge w:val="restart"/>
            <w:shd w:val="clear" w:color="auto" w:fill="auto"/>
            <w:vAlign w:val="center"/>
            <w:hideMark/>
          </w:tcPr>
          <w:p w:rsidR="00736E83" w:rsidRPr="00322BD0" w:rsidRDefault="00736E83" w:rsidP="00736E83">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 </w:t>
            </w:r>
          </w:p>
        </w:tc>
        <w:tc>
          <w:tcPr>
            <w:tcW w:w="7350" w:type="dxa"/>
            <w:gridSpan w:val="7"/>
          </w:tcPr>
          <w:p w:rsidR="00736E83" w:rsidRPr="00322BD0" w:rsidRDefault="00736E83" w:rsidP="00736E83">
            <w:pPr>
              <w:spacing w:after="0" w:line="240" w:lineRule="auto"/>
              <w:ind w:firstLine="0"/>
              <w:rPr>
                <w:rFonts w:asciiTheme="majorHAnsi" w:eastAsia="Times New Roman" w:hAnsiTheme="majorHAnsi" w:cs="Arial"/>
                <w:b/>
                <w:bCs/>
                <w:color w:val="0070C0"/>
                <w:sz w:val="18"/>
                <w:szCs w:val="18"/>
                <w:lang w:val="en-GB" w:eastAsia="ro-RO"/>
              </w:rPr>
            </w:pPr>
            <w:r w:rsidRPr="00322BD0">
              <w:rPr>
                <w:rFonts w:asciiTheme="majorHAnsi" w:eastAsia="Times New Roman" w:hAnsiTheme="majorHAnsi" w:cs="Arial"/>
                <w:b/>
                <w:bCs/>
                <w:sz w:val="18"/>
                <w:szCs w:val="18"/>
                <w:lang w:val="en-GB" w:eastAsia="ro-RO"/>
              </w:rPr>
              <w:t xml:space="preserve">TOTAL OPERATING REVENUE </w:t>
            </w:r>
            <w:r w:rsidR="00E82AC7">
              <w:rPr>
                <w:rFonts w:asciiTheme="majorHAnsi" w:eastAsia="Times New Roman" w:hAnsiTheme="majorHAnsi" w:cs="Arial"/>
                <w:b/>
                <w:bCs/>
                <w:sz w:val="18"/>
                <w:szCs w:val="18"/>
                <w:lang w:val="en-GB" w:eastAsia="ro-RO"/>
              </w:rPr>
              <w:t xml:space="preserve">before </w:t>
            </w:r>
            <w:r w:rsidR="00631773">
              <w:rPr>
                <w:rFonts w:asciiTheme="majorHAnsi" w:eastAsia="Times New Roman" w:hAnsiTheme="majorHAnsi" w:cs="Arial"/>
                <w:b/>
                <w:bCs/>
                <w:sz w:val="18"/>
                <w:szCs w:val="18"/>
                <w:lang w:val="en-GB" w:eastAsia="ro-RO"/>
              </w:rPr>
              <w:t xml:space="preserve"> balancing and</w:t>
            </w:r>
            <w:r w:rsidRPr="00322BD0">
              <w:rPr>
                <w:rFonts w:asciiTheme="majorHAnsi" w:eastAsia="Times New Roman" w:hAnsiTheme="majorHAnsi" w:cs="Arial"/>
                <w:b/>
                <w:bCs/>
                <w:sz w:val="18"/>
                <w:szCs w:val="18"/>
                <w:lang w:val="en-GB" w:eastAsia="ro-RO"/>
              </w:rPr>
              <w:t xml:space="preserve"> </w:t>
            </w:r>
            <w:r w:rsidR="00E82AC7">
              <w:rPr>
                <w:rFonts w:asciiTheme="majorHAnsi" w:eastAsia="Times New Roman" w:hAnsiTheme="majorHAnsi" w:cs="Arial"/>
                <w:b/>
                <w:bCs/>
                <w:sz w:val="18"/>
                <w:szCs w:val="18"/>
                <w:lang w:val="en-GB" w:eastAsia="ro-RO"/>
              </w:rPr>
              <w:t xml:space="preserve">the </w:t>
            </w:r>
            <w:r w:rsidRPr="00322BD0">
              <w:rPr>
                <w:rFonts w:asciiTheme="majorHAnsi" w:eastAsia="Times New Roman" w:hAnsiTheme="majorHAnsi" w:cs="Arial"/>
                <w:b/>
                <w:bCs/>
                <w:sz w:val="18"/>
                <w:szCs w:val="18"/>
                <w:lang w:val="en-GB" w:eastAsia="ro-RO"/>
              </w:rPr>
              <w:t>construction activity acc. to IFRIC12</w:t>
            </w:r>
          </w:p>
        </w:tc>
      </w:tr>
      <w:tr w:rsidR="00631773" w:rsidRPr="00322BD0" w:rsidTr="00736E83">
        <w:trPr>
          <w:trHeight w:val="214"/>
          <w:tblCellSpacing w:w="20" w:type="dxa"/>
        </w:trPr>
        <w:tc>
          <w:tcPr>
            <w:tcW w:w="720" w:type="dxa"/>
            <w:vMerge/>
            <w:vAlign w:val="center"/>
            <w:hideMark/>
          </w:tcPr>
          <w:p w:rsidR="00631773" w:rsidRPr="00322BD0" w:rsidRDefault="00631773" w:rsidP="00736E83">
            <w:pPr>
              <w:spacing w:after="0" w:line="240" w:lineRule="auto"/>
              <w:ind w:firstLine="0"/>
              <w:rPr>
                <w:rFonts w:asciiTheme="majorHAnsi" w:eastAsia="Times New Roman" w:hAnsiTheme="majorHAnsi" w:cs="Arial"/>
                <w:b/>
                <w:bCs/>
                <w:sz w:val="18"/>
                <w:szCs w:val="18"/>
                <w:lang w:val="en-GB" w:eastAsia="ro-RO"/>
              </w:rPr>
            </w:pPr>
          </w:p>
        </w:tc>
        <w:tc>
          <w:tcPr>
            <w:tcW w:w="1390" w:type="dxa"/>
            <w:shd w:val="clear" w:color="auto" w:fill="auto"/>
            <w:vAlign w:val="center"/>
            <w:hideMark/>
          </w:tcPr>
          <w:p w:rsidR="00631773" w:rsidRPr="00322BD0" w:rsidRDefault="00631773" w:rsidP="00736E83">
            <w:pPr>
              <w:spacing w:after="0" w:line="240" w:lineRule="auto"/>
              <w:ind w:right="-115" w:hanging="86"/>
              <w:rPr>
                <w:rFonts w:asciiTheme="majorHAnsi" w:eastAsia="Times New Roman" w:hAnsiTheme="majorHAnsi" w:cs="Arial"/>
                <w:b/>
                <w:bCs/>
                <w:sz w:val="18"/>
                <w:szCs w:val="18"/>
                <w:lang w:val="en-GB" w:eastAsia="ro-RO"/>
              </w:rPr>
            </w:pPr>
            <w:r w:rsidRPr="00322BD0">
              <w:rPr>
                <w:rFonts w:asciiTheme="majorHAnsi" w:eastAsia="Times New Roman" w:hAnsiTheme="majorHAnsi" w:cs="Arial"/>
                <w:b/>
                <w:sz w:val="18"/>
                <w:szCs w:val="18"/>
                <w:lang w:val="en-GB" w:eastAsia="ro-RO"/>
              </w:rPr>
              <w:t>thousand RON</w:t>
            </w:r>
          </w:p>
        </w:tc>
        <w:tc>
          <w:tcPr>
            <w:tcW w:w="1079" w:type="dxa"/>
          </w:tcPr>
          <w:p w:rsidR="00631773" w:rsidRPr="00DE498D" w:rsidRDefault="00631773" w:rsidP="00631773">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1.8</w:t>
            </w:r>
            <w:r>
              <w:rPr>
                <w:rFonts w:ascii="Cambria" w:eastAsia="Times New Roman" w:hAnsi="Cambria" w:cs="Arial"/>
                <w:b/>
                <w:bCs/>
                <w:sz w:val="18"/>
                <w:szCs w:val="18"/>
                <w:lang w:val="ro-RO" w:eastAsia="ro-RO"/>
              </w:rPr>
              <w:t>15</w:t>
            </w:r>
            <w:r w:rsidRPr="00DE498D">
              <w:rPr>
                <w:rFonts w:ascii="Cambria" w:eastAsia="Times New Roman" w:hAnsi="Cambria" w:cs="Arial"/>
                <w:b/>
                <w:bCs/>
                <w:sz w:val="18"/>
                <w:szCs w:val="18"/>
                <w:lang w:val="ro-RO" w:eastAsia="ro-RO"/>
              </w:rPr>
              <w:t>.</w:t>
            </w:r>
            <w:r>
              <w:rPr>
                <w:rFonts w:ascii="Cambria" w:eastAsia="Times New Roman" w:hAnsi="Cambria" w:cs="Arial"/>
                <w:b/>
                <w:bCs/>
                <w:sz w:val="18"/>
                <w:szCs w:val="18"/>
                <w:lang w:val="ro-RO" w:eastAsia="ro-RO"/>
              </w:rPr>
              <w:t>385</w:t>
            </w:r>
          </w:p>
        </w:tc>
        <w:tc>
          <w:tcPr>
            <w:tcW w:w="1105" w:type="dxa"/>
            <w:gridSpan w:val="2"/>
            <w:shd w:val="clear" w:color="auto" w:fill="auto"/>
            <w:hideMark/>
          </w:tcPr>
          <w:p w:rsidR="00631773" w:rsidRPr="00DE498D" w:rsidRDefault="00631773" w:rsidP="00631773">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1.663.398</w:t>
            </w:r>
          </w:p>
        </w:tc>
        <w:tc>
          <w:tcPr>
            <w:tcW w:w="1282" w:type="dxa"/>
            <w:shd w:val="clear" w:color="auto" w:fill="auto"/>
            <w:vAlign w:val="center"/>
            <w:hideMark/>
          </w:tcPr>
          <w:p w:rsidR="00631773" w:rsidRPr="00DE498D" w:rsidRDefault="00631773" w:rsidP="00631773">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1.655.319</w:t>
            </w:r>
          </w:p>
        </w:tc>
        <w:tc>
          <w:tcPr>
            <w:tcW w:w="1253" w:type="dxa"/>
            <w:shd w:val="clear" w:color="auto" w:fill="auto"/>
            <w:vAlign w:val="center"/>
            <w:hideMark/>
          </w:tcPr>
          <w:p w:rsidR="00631773" w:rsidRPr="00DE498D" w:rsidRDefault="00631773" w:rsidP="00631773">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1.516.640</w:t>
            </w:r>
          </w:p>
        </w:tc>
        <w:tc>
          <w:tcPr>
            <w:tcW w:w="1041" w:type="dxa"/>
            <w:shd w:val="clear" w:color="auto" w:fill="auto"/>
            <w:vAlign w:val="center"/>
            <w:hideMark/>
          </w:tcPr>
          <w:p w:rsidR="00631773" w:rsidRPr="00DE498D" w:rsidRDefault="00631773" w:rsidP="00631773">
            <w:pPr>
              <w:spacing w:after="0" w:line="240" w:lineRule="auto"/>
              <w:ind w:firstLine="0"/>
              <w:jc w:val="right"/>
              <w:rPr>
                <w:rFonts w:ascii="Cambria" w:eastAsia="Times New Roman" w:hAnsi="Cambria" w:cs="Arial"/>
                <w:b/>
                <w:sz w:val="18"/>
                <w:szCs w:val="18"/>
                <w:lang w:val="ro-RO" w:eastAsia="ro-RO"/>
              </w:rPr>
            </w:pPr>
            <w:r w:rsidRPr="00DE498D">
              <w:rPr>
                <w:rFonts w:ascii="Cambria" w:eastAsia="Times New Roman" w:hAnsi="Cambria" w:cs="Arial"/>
                <w:b/>
                <w:sz w:val="18"/>
                <w:szCs w:val="18"/>
                <w:lang w:val="ro-RO" w:eastAsia="ro-RO"/>
              </w:rPr>
              <w:t>1</w:t>
            </w:r>
            <w:r>
              <w:rPr>
                <w:rFonts w:ascii="Cambria" w:eastAsia="Times New Roman" w:hAnsi="Cambria" w:cs="Arial"/>
                <w:b/>
                <w:sz w:val="18"/>
                <w:szCs w:val="18"/>
                <w:lang w:val="ro-RO" w:eastAsia="ro-RO"/>
              </w:rPr>
              <w:t>09</w:t>
            </w:r>
            <w:r w:rsidRPr="00DE498D">
              <w:rPr>
                <w:rFonts w:ascii="Cambria" w:eastAsia="Times New Roman" w:hAnsi="Cambria" w:cs="Arial"/>
                <w:b/>
                <w:sz w:val="18"/>
                <w:szCs w:val="18"/>
                <w:lang w:val="ro-RO" w:eastAsia="ro-RO"/>
              </w:rPr>
              <w:t>,</w:t>
            </w:r>
            <w:r>
              <w:rPr>
                <w:rFonts w:ascii="Cambria" w:eastAsia="Times New Roman" w:hAnsi="Cambria" w:cs="Arial"/>
                <w:b/>
                <w:sz w:val="18"/>
                <w:szCs w:val="18"/>
                <w:lang w:val="ro-RO" w:eastAsia="ro-RO"/>
              </w:rPr>
              <w:t>14</w:t>
            </w:r>
          </w:p>
        </w:tc>
      </w:tr>
    </w:tbl>
    <w:p w:rsidR="005A754D" w:rsidRPr="00322BD0" w:rsidRDefault="005A754D" w:rsidP="00691FCB">
      <w:pPr>
        <w:spacing w:after="0" w:line="240" w:lineRule="auto"/>
        <w:ind w:firstLine="0"/>
        <w:jc w:val="both"/>
        <w:rPr>
          <w:rFonts w:ascii="Cambria" w:hAnsi="Cambria"/>
          <w:sz w:val="24"/>
          <w:szCs w:val="24"/>
          <w:lang w:val="en-GB"/>
        </w:rPr>
      </w:pPr>
    </w:p>
    <w:p w:rsidR="005A754D" w:rsidRPr="00322BD0" w:rsidRDefault="005A754D" w:rsidP="005A754D">
      <w:pPr>
        <w:spacing w:after="0" w:line="240" w:lineRule="auto"/>
        <w:ind w:firstLine="0"/>
        <w:jc w:val="center"/>
        <w:rPr>
          <w:rFonts w:ascii="Cambria" w:hAnsi="Cambria"/>
          <w:b/>
          <w:i/>
          <w:sz w:val="16"/>
          <w:szCs w:val="16"/>
          <w:lang w:val="en-GB"/>
        </w:rPr>
      </w:pPr>
      <w:r w:rsidRPr="00322BD0">
        <w:rPr>
          <w:rFonts w:ascii="Cambria" w:hAnsi="Cambria"/>
          <w:b/>
          <w:i/>
          <w:sz w:val="16"/>
          <w:szCs w:val="16"/>
          <w:lang w:val="en-GB"/>
        </w:rPr>
        <w:t>Tabl</w:t>
      </w:r>
      <w:r w:rsidR="00FA1A74" w:rsidRPr="00322BD0">
        <w:rPr>
          <w:rFonts w:ascii="Cambria" w:hAnsi="Cambria"/>
          <w:b/>
          <w:i/>
          <w:sz w:val="16"/>
          <w:szCs w:val="16"/>
          <w:lang w:val="en-GB"/>
        </w:rPr>
        <w:t>e</w:t>
      </w:r>
      <w:r w:rsidR="00C409F0">
        <w:rPr>
          <w:rFonts w:ascii="Cambria" w:hAnsi="Cambria"/>
          <w:b/>
          <w:i/>
          <w:sz w:val="16"/>
          <w:szCs w:val="16"/>
          <w:lang w:val="en-GB"/>
        </w:rPr>
        <w:t xml:space="preserve"> 8</w:t>
      </w:r>
      <w:r w:rsidRPr="00322BD0">
        <w:rPr>
          <w:rFonts w:ascii="Cambria" w:hAnsi="Cambria"/>
          <w:b/>
          <w:i/>
          <w:sz w:val="16"/>
          <w:szCs w:val="16"/>
          <w:lang w:val="en-GB"/>
        </w:rPr>
        <w:t xml:space="preserve"> – </w:t>
      </w:r>
      <w:r w:rsidR="00C409F0">
        <w:rPr>
          <w:rFonts w:ascii="Cambria" w:hAnsi="Cambria"/>
          <w:b/>
          <w:i/>
          <w:sz w:val="16"/>
          <w:szCs w:val="16"/>
          <w:lang w:val="en-GB"/>
        </w:rPr>
        <w:t xml:space="preserve">2013 </w:t>
      </w:r>
      <w:r w:rsidR="00FA1A74" w:rsidRPr="00322BD0">
        <w:rPr>
          <w:rFonts w:ascii="Cambria" w:hAnsi="Cambria"/>
          <w:b/>
          <w:i/>
          <w:sz w:val="16"/>
          <w:szCs w:val="16"/>
          <w:lang w:val="en-GB"/>
        </w:rPr>
        <w:t xml:space="preserve">/ </w:t>
      </w:r>
      <w:r w:rsidR="00C409F0">
        <w:rPr>
          <w:rFonts w:ascii="Cambria" w:hAnsi="Cambria"/>
          <w:b/>
          <w:i/>
          <w:sz w:val="16"/>
          <w:szCs w:val="16"/>
          <w:lang w:val="en-GB"/>
        </w:rPr>
        <w:t>2016</w:t>
      </w:r>
      <w:r w:rsidR="00FA1A74" w:rsidRPr="00322BD0">
        <w:rPr>
          <w:rFonts w:ascii="Cambria" w:hAnsi="Cambria"/>
          <w:b/>
          <w:i/>
          <w:sz w:val="16"/>
          <w:szCs w:val="16"/>
          <w:lang w:val="en-GB"/>
        </w:rPr>
        <w:t xml:space="preserve"> evolution of operating revenue</w:t>
      </w:r>
    </w:p>
    <w:p w:rsidR="005A754D" w:rsidRPr="00322BD0" w:rsidRDefault="005A754D" w:rsidP="005A754D">
      <w:pPr>
        <w:spacing w:after="0" w:line="240" w:lineRule="auto"/>
        <w:ind w:firstLine="0"/>
        <w:jc w:val="center"/>
        <w:rPr>
          <w:rFonts w:ascii="Cambria" w:hAnsi="Cambria"/>
          <w:b/>
          <w:i/>
          <w:sz w:val="16"/>
          <w:szCs w:val="16"/>
          <w:lang w:val="en-GB"/>
        </w:rPr>
      </w:pPr>
    </w:p>
    <w:p w:rsidR="005A754D" w:rsidRDefault="005A754D" w:rsidP="009B43BE">
      <w:pPr>
        <w:spacing w:after="0" w:line="240" w:lineRule="auto"/>
        <w:ind w:firstLine="0"/>
        <w:rPr>
          <w:rFonts w:ascii="Cambria" w:hAnsi="Cambria"/>
          <w:b/>
          <w:i/>
          <w:sz w:val="16"/>
          <w:szCs w:val="16"/>
          <w:lang w:val="en-GB"/>
        </w:rPr>
      </w:pPr>
    </w:p>
    <w:p w:rsidR="00F12628" w:rsidRPr="00322BD0" w:rsidRDefault="00F12628" w:rsidP="009B43BE">
      <w:pPr>
        <w:spacing w:after="0" w:line="240" w:lineRule="auto"/>
        <w:ind w:firstLine="0"/>
        <w:rPr>
          <w:rFonts w:ascii="Cambria" w:hAnsi="Cambria"/>
          <w:b/>
          <w:i/>
          <w:sz w:val="16"/>
          <w:szCs w:val="16"/>
          <w:lang w:val="en-GB"/>
        </w:rPr>
      </w:pPr>
    </w:p>
    <w:p w:rsidR="005A754D" w:rsidRPr="00322BD0" w:rsidRDefault="00F12628" w:rsidP="005A754D">
      <w:pPr>
        <w:spacing w:after="0" w:line="240" w:lineRule="auto"/>
        <w:ind w:firstLine="0"/>
        <w:jc w:val="center"/>
        <w:rPr>
          <w:rFonts w:ascii="Cambria" w:hAnsi="Cambria"/>
          <w:b/>
          <w:i/>
          <w:sz w:val="16"/>
          <w:szCs w:val="16"/>
          <w:lang w:val="en-GB"/>
        </w:rPr>
      </w:pPr>
      <w:r>
        <w:rPr>
          <w:noProof/>
          <w:lang w:val="ro-RO" w:eastAsia="ro-RO"/>
        </w:rPr>
        <w:lastRenderedPageBreak/>
        <w:drawing>
          <wp:inline distT="0" distB="0" distL="0" distR="0" wp14:anchorId="52709F79" wp14:editId="45A2D041">
            <wp:extent cx="5734050" cy="211455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A754D" w:rsidRPr="00322BD0" w:rsidRDefault="001404BB" w:rsidP="005A754D">
      <w:pPr>
        <w:spacing w:after="0" w:line="240" w:lineRule="auto"/>
        <w:ind w:left="1440" w:firstLine="720"/>
        <w:jc w:val="both"/>
        <w:rPr>
          <w:rFonts w:ascii="Cambria" w:hAnsi="Cambria"/>
          <w:b/>
          <w:i/>
          <w:sz w:val="16"/>
          <w:szCs w:val="16"/>
          <w:lang w:val="en-GB"/>
        </w:rPr>
      </w:pPr>
      <w:r w:rsidRPr="00322BD0">
        <w:rPr>
          <w:rFonts w:ascii="Cambria" w:hAnsi="Cambria"/>
          <w:b/>
          <w:i/>
          <w:sz w:val="16"/>
          <w:szCs w:val="16"/>
          <w:lang w:val="en-GB"/>
        </w:rPr>
        <w:t>Chart</w:t>
      </w:r>
      <w:r w:rsidR="00C409F0">
        <w:rPr>
          <w:rFonts w:ascii="Cambria" w:hAnsi="Cambria"/>
          <w:b/>
          <w:i/>
          <w:sz w:val="16"/>
          <w:szCs w:val="16"/>
          <w:lang w:val="en-GB"/>
        </w:rPr>
        <w:t xml:space="preserve"> 12 </w:t>
      </w:r>
      <w:r w:rsidR="005A754D" w:rsidRPr="00322BD0">
        <w:rPr>
          <w:rFonts w:ascii="Cambria" w:hAnsi="Cambria"/>
          <w:b/>
          <w:i/>
          <w:sz w:val="16"/>
          <w:szCs w:val="16"/>
          <w:lang w:val="en-GB"/>
        </w:rPr>
        <w:t xml:space="preserve"> –</w:t>
      </w:r>
      <w:r w:rsidRPr="00322BD0">
        <w:rPr>
          <w:rFonts w:ascii="Cambria" w:hAnsi="Cambria"/>
          <w:b/>
          <w:i/>
          <w:sz w:val="16"/>
          <w:szCs w:val="16"/>
          <w:lang w:val="en-GB"/>
        </w:rPr>
        <w:t>Structure of operating revenue between</w:t>
      </w:r>
      <w:r w:rsidR="00C409F0">
        <w:rPr>
          <w:rFonts w:ascii="Cambria" w:hAnsi="Cambria"/>
          <w:b/>
          <w:i/>
          <w:sz w:val="16"/>
          <w:szCs w:val="16"/>
          <w:lang w:val="en-GB"/>
        </w:rPr>
        <w:t xml:space="preserve"> 2013 -2016</w:t>
      </w:r>
    </w:p>
    <w:p w:rsidR="005A754D" w:rsidRPr="00322BD0" w:rsidRDefault="005A754D" w:rsidP="005A754D">
      <w:pPr>
        <w:spacing w:after="0" w:line="240" w:lineRule="auto"/>
        <w:ind w:left="1440" w:firstLine="720"/>
        <w:jc w:val="both"/>
        <w:rPr>
          <w:rFonts w:ascii="Cambria" w:hAnsi="Cambria"/>
          <w:b/>
          <w:i/>
          <w:sz w:val="16"/>
          <w:szCs w:val="16"/>
          <w:lang w:val="en-GB"/>
        </w:rPr>
      </w:pPr>
    </w:p>
    <w:p w:rsidR="005A754D" w:rsidRPr="00322BD0" w:rsidRDefault="005A754D" w:rsidP="005A754D">
      <w:pPr>
        <w:spacing w:after="0" w:line="240" w:lineRule="auto"/>
        <w:ind w:left="1440" w:firstLine="720"/>
        <w:jc w:val="both"/>
        <w:rPr>
          <w:rFonts w:ascii="Cambria" w:hAnsi="Cambria"/>
          <w:b/>
          <w:i/>
          <w:sz w:val="16"/>
          <w:szCs w:val="16"/>
          <w:lang w:val="en-GB"/>
        </w:rPr>
      </w:pPr>
    </w:p>
    <w:p w:rsidR="005A754D" w:rsidRPr="00322BD0" w:rsidRDefault="00C409F0" w:rsidP="005A754D">
      <w:pPr>
        <w:spacing w:after="0" w:line="240" w:lineRule="auto"/>
        <w:jc w:val="both"/>
        <w:rPr>
          <w:rFonts w:ascii="Cambria" w:hAnsi="Cambria"/>
          <w:b/>
          <w:i/>
          <w:sz w:val="16"/>
          <w:szCs w:val="16"/>
          <w:lang w:val="en-GB"/>
        </w:rPr>
      </w:pPr>
      <w:r w:rsidRPr="00322BD0">
        <w:rPr>
          <w:rFonts w:ascii="Cambria" w:hAnsi="Cambria"/>
          <w:b/>
          <w:i/>
          <w:noProof/>
          <w:sz w:val="16"/>
          <w:szCs w:val="16"/>
          <w:lang w:val="ro-RO" w:eastAsia="ro-RO"/>
        </w:rPr>
        <mc:AlternateContent>
          <mc:Choice Requires="wps">
            <w:drawing>
              <wp:anchor distT="0" distB="0" distL="114300" distR="114300" simplePos="0" relativeHeight="251955200" behindDoc="0" locked="0" layoutInCell="1" allowOverlap="1" wp14:anchorId="347DEBCE" wp14:editId="5DCBFEDF">
                <wp:simplePos x="0" y="0"/>
                <wp:positionH relativeFrom="column">
                  <wp:posOffset>688340</wp:posOffset>
                </wp:positionH>
                <wp:positionV relativeFrom="paragraph">
                  <wp:posOffset>1546860</wp:posOffset>
                </wp:positionV>
                <wp:extent cx="2630170" cy="321310"/>
                <wp:effectExtent l="0" t="0" r="0" b="2540"/>
                <wp:wrapNone/>
                <wp:docPr id="4" name="Text Box 4"/>
                <wp:cNvGraphicFramePr/>
                <a:graphic xmlns:a="http://schemas.openxmlformats.org/drawingml/2006/main">
                  <a:graphicData uri="http://schemas.microsoft.com/office/word/2010/wordprocessingShape">
                    <wps:wsp>
                      <wps:cNvSpPr txBox="1"/>
                      <wps:spPr>
                        <a:xfrm>
                          <a:off x="0" y="0"/>
                          <a:ext cx="2630170" cy="3213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3BCA" w:rsidRPr="00C409F0" w:rsidRDefault="00CE3BCA" w:rsidP="00C409F0">
                            <w:pPr>
                              <w:spacing w:after="0" w:line="240" w:lineRule="auto"/>
                              <w:ind w:firstLine="0"/>
                              <w:jc w:val="center"/>
                              <w:rPr>
                                <w:sz w:val="18"/>
                                <w:szCs w:val="14"/>
                                <w:lang w:val="en-GB"/>
                              </w:rPr>
                            </w:pPr>
                            <w:r w:rsidRPr="00C409F0">
                              <w:rPr>
                                <w:sz w:val="18"/>
                                <w:szCs w:val="14"/>
                                <w:lang w:val="en-GB"/>
                              </w:rPr>
                              <w:t>Revenue from the transm. activity – thousand RON</w:t>
                            </w:r>
                          </w:p>
                          <w:p w:rsidR="00CE3BCA" w:rsidRPr="00A17CA9" w:rsidRDefault="00CE3BCA" w:rsidP="00C409F0">
                            <w:pPr>
                              <w:spacing w:after="0" w:line="240" w:lineRule="auto"/>
                              <w:ind w:firstLine="0"/>
                              <w:jc w:val="center"/>
                              <w:rPr>
                                <w:sz w:val="14"/>
                                <w:szCs w:val="1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7DEBCE" id="_x0000_t202" coordsize="21600,21600" o:spt="202" path="m,l,21600r21600,l21600,xe">
                <v:stroke joinstyle="miter"/>
                <v:path gradientshapeok="t" o:connecttype="rect"/>
              </v:shapetype>
              <v:shape id="Text Box 4" o:spid="_x0000_s1038" type="#_x0000_t202" style="position:absolute;left:0;text-align:left;margin-left:54.2pt;margin-top:121.8pt;width:207.1pt;height:25.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" fillcolor="white [3201]" stroked="f" strokeweight=".5pt">
                <v:textbox>
                  <w:txbxContent>
                    <w:p w:rsidR="00CE3BCA" w:rsidRPr="00C409F0" w:rsidRDefault="00CE3BCA" w:rsidP="00C409F0">
                      <w:pPr>
                        <w:spacing w:after="0" w:line="240" w:lineRule="auto"/>
                        <w:ind w:firstLine="0"/>
                        <w:jc w:val="center"/>
                        <w:rPr>
                          <w:sz w:val="18"/>
                          <w:szCs w:val="14"/>
                          <w:lang w:val="en-GB"/>
                        </w:rPr>
                      </w:pPr>
                      <w:r w:rsidRPr="00C409F0">
                        <w:rPr>
                          <w:sz w:val="18"/>
                          <w:szCs w:val="14"/>
                          <w:lang w:val="en-GB"/>
                        </w:rPr>
                        <w:t>Revenue from the transm. activity – thousand RON</w:t>
                      </w:r>
                    </w:p>
                    <w:p w:rsidR="00CE3BCA" w:rsidRPr="00A17CA9" w:rsidRDefault="00CE3BCA" w:rsidP="00C409F0">
                      <w:pPr>
                        <w:spacing w:after="0" w:line="240" w:lineRule="auto"/>
                        <w:ind w:firstLine="0"/>
                        <w:jc w:val="center"/>
                        <w:rPr>
                          <w:sz w:val="14"/>
                          <w:szCs w:val="14"/>
                          <w:lang w:val="en-GB"/>
                        </w:rPr>
                      </w:pPr>
                    </w:p>
                  </w:txbxContent>
                </v:textbox>
              </v:shape>
            </w:pict>
          </mc:Fallback>
        </mc:AlternateContent>
      </w:r>
      <w:r w:rsidR="00A17CA9" w:rsidRPr="00322BD0">
        <w:rPr>
          <w:rFonts w:ascii="Cambria" w:hAnsi="Cambria"/>
          <w:b/>
          <w:i/>
          <w:noProof/>
          <w:sz w:val="16"/>
          <w:szCs w:val="16"/>
          <w:lang w:val="ro-RO" w:eastAsia="ro-RO"/>
        </w:rPr>
        <mc:AlternateContent>
          <mc:Choice Requires="wps">
            <w:drawing>
              <wp:anchor distT="0" distB="0" distL="114300" distR="114300" simplePos="0" relativeHeight="251956224" behindDoc="0" locked="0" layoutInCell="1" allowOverlap="1" wp14:anchorId="434C0534" wp14:editId="56707D26">
                <wp:simplePos x="0" y="0"/>
                <wp:positionH relativeFrom="column">
                  <wp:posOffset>3314383</wp:posOffset>
                </wp:positionH>
                <wp:positionV relativeFrom="paragraph">
                  <wp:posOffset>1516062</wp:posOffset>
                </wp:positionV>
                <wp:extent cx="2658745" cy="242888"/>
                <wp:effectExtent l="0" t="0" r="8255" b="5080"/>
                <wp:wrapNone/>
                <wp:docPr id="5" name="Text Box 5"/>
                <wp:cNvGraphicFramePr/>
                <a:graphic xmlns:a="http://schemas.openxmlformats.org/drawingml/2006/main">
                  <a:graphicData uri="http://schemas.microsoft.com/office/word/2010/wordprocessingShape">
                    <wps:wsp>
                      <wps:cNvSpPr txBox="1"/>
                      <wps:spPr>
                        <a:xfrm>
                          <a:off x="0" y="0"/>
                          <a:ext cx="2658745" cy="2428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3BCA" w:rsidRPr="00A17CA9" w:rsidRDefault="00CE3BCA" w:rsidP="00A17CA9">
                            <w:pPr>
                              <w:spacing w:after="0" w:line="240" w:lineRule="auto"/>
                              <w:ind w:firstLine="0"/>
                              <w:rPr>
                                <w:sz w:val="14"/>
                                <w:szCs w:val="14"/>
                                <w:lang w:val="en-GB"/>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C0534" id="Text Box 5" o:spid="_x0000_s1039" type="#_x0000_t202" style="position:absolute;left:0;text-align:left;margin-left:261pt;margin-top:119.35pt;width:209.35pt;height:19.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" fillcolor="white [3201]" stroked="f" strokeweight=".5pt">
                <v:textbox>
                  <w:txbxContent>
                    <w:p w:rsidR="00CE3BCA" w:rsidRPr="00A17CA9" w:rsidRDefault="00CE3BCA" w:rsidP="00A17CA9">
                      <w:pPr>
                        <w:spacing w:after="0" w:line="240" w:lineRule="auto"/>
                        <w:ind w:firstLine="0"/>
                        <w:rPr>
                          <w:sz w:val="14"/>
                          <w:szCs w:val="14"/>
                          <w:lang w:val="en-GB"/>
                          <w14:textOutline w14:w="9525" w14:cap="rnd" w14:cmpd="sng" w14:algn="ctr">
                            <w14:noFill/>
                            <w14:prstDash w14:val="solid"/>
                            <w14:bevel/>
                          </w14:textOutline>
                        </w:rPr>
                      </w:pPr>
                    </w:p>
                  </w:txbxContent>
                </v:textbox>
              </v:shape>
            </w:pict>
          </mc:Fallback>
        </mc:AlternateContent>
      </w:r>
      <w:r w:rsidR="00F12628">
        <w:rPr>
          <w:noProof/>
          <w:lang w:val="ro-RO" w:eastAsia="ro-RO"/>
        </w:rPr>
        <w:drawing>
          <wp:inline distT="0" distB="0" distL="0" distR="0" wp14:anchorId="2ADEC09F" wp14:editId="3E906DFA">
            <wp:extent cx="5732145" cy="1409700"/>
            <wp:effectExtent l="0" t="0" r="1905"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A754D" w:rsidRPr="00322BD0" w:rsidRDefault="00A17CA9" w:rsidP="005A754D">
      <w:pPr>
        <w:spacing w:after="0" w:line="240" w:lineRule="auto"/>
        <w:ind w:firstLine="0"/>
        <w:jc w:val="center"/>
        <w:rPr>
          <w:rFonts w:ascii="Cambria" w:hAnsi="Cambria"/>
          <w:b/>
          <w:i/>
          <w:sz w:val="16"/>
          <w:szCs w:val="16"/>
          <w:lang w:val="en-GB"/>
        </w:rPr>
      </w:pPr>
      <w:r w:rsidRPr="00322BD0">
        <w:rPr>
          <w:rFonts w:ascii="Cambria" w:hAnsi="Cambria"/>
          <w:b/>
          <w:i/>
          <w:sz w:val="16"/>
          <w:szCs w:val="16"/>
          <w:lang w:val="en-GB"/>
        </w:rPr>
        <w:t xml:space="preserve">Chart </w:t>
      </w:r>
      <w:r w:rsidR="00C409F0">
        <w:rPr>
          <w:rFonts w:ascii="Cambria" w:hAnsi="Cambria"/>
          <w:b/>
          <w:i/>
          <w:sz w:val="16"/>
          <w:szCs w:val="16"/>
          <w:lang w:val="en-GB"/>
        </w:rPr>
        <w:t>13</w:t>
      </w:r>
      <w:r w:rsidR="005A754D" w:rsidRPr="00322BD0">
        <w:rPr>
          <w:rFonts w:ascii="Cambria" w:hAnsi="Cambria"/>
          <w:b/>
          <w:i/>
          <w:sz w:val="16"/>
          <w:szCs w:val="16"/>
          <w:lang w:val="en-GB"/>
        </w:rPr>
        <w:t xml:space="preserve"> – </w:t>
      </w:r>
      <w:r w:rsidRPr="00322BD0">
        <w:rPr>
          <w:rFonts w:ascii="Cambria" w:hAnsi="Cambria"/>
          <w:b/>
          <w:i/>
          <w:sz w:val="16"/>
          <w:szCs w:val="16"/>
          <w:lang w:val="en-GB"/>
        </w:rPr>
        <w:t>Share of activities in the total operating revenue</w:t>
      </w:r>
      <w:r w:rsidR="00C409F0">
        <w:rPr>
          <w:rFonts w:ascii="Cambria" w:hAnsi="Cambria"/>
          <w:b/>
          <w:i/>
          <w:sz w:val="16"/>
          <w:szCs w:val="16"/>
          <w:lang w:val="en-GB"/>
        </w:rPr>
        <w:t xml:space="preserve"> 2013 -2016</w:t>
      </w:r>
    </w:p>
    <w:p w:rsidR="005A754D" w:rsidRPr="00322BD0" w:rsidRDefault="005A754D" w:rsidP="005A754D">
      <w:pPr>
        <w:spacing w:after="0" w:line="240" w:lineRule="auto"/>
        <w:ind w:firstLine="0"/>
        <w:jc w:val="center"/>
        <w:rPr>
          <w:rFonts w:ascii="Cambria" w:hAnsi="Cambria"/>
          <w:b/>
          <w:i/>
          <w:sz w:val="16"/>
          <w:szCs w:val="16"/>
          <w:lang w:val="en-GB"/>
        </w:rPr>
      </w:pPr>
    </w:p>
    <w:p w:rsidR="005A754D" w:rsidRPr="00322BD0" w:rsidRDefault="005A754D" w:rsidP="005A754D">
      <w:pPr>
        <w:spacing w:after="0" w:line="240" w:lineRule="auto"/>
        <w:ind w:firstLine="0"/>
        <w:jc w:val="center"/>
        <w:rPr>
          <w:rFonts w:ascii="Cambria" w:hAnsi="Cambria"/>
          <w:b/>
          <w:i/>
          <w:sz w:val="16"/>
          <w:szCs w:val="16"/>
          <w:lang w:val="en-GB"/>
        </w:rPr>
      </w:pPr>
    </w:p>
    <w:p w:rsidR="005A754D" w:rsidRPr="00322BD0" w:rsidRDefault="005A754D" w:rsidP="005A754D">
      <w:pPr>
        <w:spacing w:after="0" w:line="240" w:lineRule="auto"/>
        <w:ind w:firstLine="0"/>
        <w:jc w:val="center"/>
        <w:rPr>
          <w:rFonts w:ascii="Cambria" w:hAnsi="Cambria"/>
          <w:b/>
          <w:i/>
          <w:sz w:val="16"/>
          <w:szCs w:val="16"/>
          <w:lang w:val="en-GB"/>
        </w:rPr>
      </w:pPr>
    </w:p>
    <w:p w:rsidR="005A754D" w:rsidRPr="00C409F0" w:rsidRDefault="00C409F0" w:rsidP="00C409F0">
      <w:pPr>
        <w:spacing w:after="0" w:line="240" w:lineRule="auto"/>
        <w:ind w:firstLine="0"/>
        <w:jc w:val="right"/>
        <w:rPr>
          <w:rFonts w:ascii="Cambria" w:eastAsia="Times New Roman" w:hAnsi="Cambria" w:cs="Calibri"/>
          <w:b/>
          <w:sz w:val="20"/>
          <w:szCs w:val="20"/>
          <w:lang w:val="en-GB" w:eastAsia="ro-RO"/>
        </w:rPr>
      </w:pPr>
      <w:r>
        <w:rPr>
          <w:rFonts w:ascii="Cambria" w:eastAsia="Times New Roman" w:hAnsi="Cambria" w:cs="Calibri"/>
          <w:b/>
          <w:sz w:val="20"/>
          <w:szCs w:val="20"/>
          <w:lang w:val="en-GB" w:eastAsia="ro-RO"/>
        </w:rPr>
        <w:t>(thousand cm)</w:t>
      </w:r>
    </w:p>
    <w:tbl>
      <w:tblPr>
        <w:tblW w:w="11211" w:type="dxa"/>
        <w:tblCellSpacing w:w="20" w:type="dxa"/>
        <w:tblInd w:w="-100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80"/>
        <w:gridCol w:w="2250"/>
        <w:gridCol w:w="1639"/>
        <w:gridCol w:w="1585"/>
        <w:gridCol w:w="1856"/>
        <w:gridCol w:w="1058"/>
        <w:gridCol w:w="2223"/>
      </w:tblGrid>
      <w:tr w:rsidR="00F803F6" w:rsidRPr="00322BD0" w:rsidTr="00F803F6">
        <w:trPr>
          <w:trHeight w:val="174"/>
          <w:tblCellSpacing w:w="20" w:type="dxa"/>
        </w:trPr>
        <w:tc>
          <w:tcPr>
            <w:tcW w:w="690" w:type="dxa"/>
            <w:vMerge w:val="restart"/>
            <w:shd w:val="clear" w:color="auto" w:fill="D6E0F4"/>
            <w:vAlign w:val="center"/>
            <w:hideMark/>
          </w:tcPr>
          <w:p w:rsidR="009125BA" w:rsidRPr="00322BD0" w:rsidRDefault="009125BA" w:rsidP="00FC4726">
            <w:pPr>
              <w:spacing w:after="0" w:line="240" w:lineRule="auto"/>
              <w:ind w:firstLine="7"/>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No.</w:t>
            </w:r>
          </w:p>
        </w:tc>
        <w:tc>
          <w:tcPr>
            <w:tcW w:w="2180" w:type="dxa"/>
            <w:vMerge w:val="restart"/>
            <w:shd w:val="clear" w:color="auto" w:fill="D6E0F4"/>
            <w:noWrap/>
            <w:vAlign w:val="center"/>
            <w:hideMark/>
          </w:tcPr>
          <w:p w:rsidR="009125BA" w:rsidRPr="00322BD0" w:rsidRDefault="009125BA"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Indicator</w:t>
            </w:r>
          </w:p>
        </w:tc>
        <w:tc>
          <w:tcPr>
            <w:tcW w:w="6008" w:type="dxa"/>
            <w:gridSpan w:val="4"/>
            <w:shd w:val="clear" w:color="auto" w:fill="D6E0F4"/>
            <w:vAlign w:val="center"/>
            <w:hideMark/>
          </w:tcPr>
          <w:p w:rsidR="009125BA" w:rsidRPr="00322BD0" w:rsidRDefault="009125BA"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Achieved at 31 December</w:t>
            </w:r>
            <w:r>
              <w:rPr>
                <w:rFonts w:asciiTheme="majorHAnsi" w:eastAsia="Times New Roman" w:hAnsiTheme="majorHAnsi" w:cs="Arial"/>
                <w:b/>
                <w:bCs/>
                <w:sz w:val="18"/>
                <w:szCs w:val="18"/>
                <w:lang w:val="en-GB" w:eastAsia="ro-RO"/>
              </w:rPr>
              <w:t xml:space="preserve"> </w:t>
            </w:r>
          </w:p>
        </w:tc>
        <w:tc>
          <w:tcPr>
            <w:tcW w:w="2133" w:type="dxa"/>
            <w:vMerge w:val="restart"/>
            <w:shd w:val="clear" w:color="auto" w:fill="D6E0F4"/>
            <w:vAlign w:val="center"/>
            <w:hideMark/>
          </w:tcPr>
          <w:p w:rsidR="009125BA" w:rsidRPr="00322BD0" w:rsidRDefault="009125BA" w:rsidP="00FC4726">
            <w:pPr>
              <w:spacing w:after="0" w:line="240" w:lineRule="auto"/>
              <w:ind w:right="1015"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Dynamics (%)</w:t>
            </w:r>
          </w:p>
        </w:tc>
      </w:tr>
      <w:tr w:rsidR="00F803F6" w:rsidRPr="00322BD0" w:rsidTr="00F803F6">
        <w:trPr>
          <w:trHeight w:val="185"/>
          <w:tblCellSpacing w:w="20" w:type="dxa"/>
        </w:trPr>
        <w:tc>
          <w:tcPr>
            <w:tcW w:w="690" w:type="dxa"/>
            <w:vMerge/>
            <w:shd w:val="clear" w:color="auto" w:fill="D6E0F4"/>
            <w:vAlign w:val="center"/>
            <w:hideMark/>
          </w:tcPr>
          <w:p w:rsidR="009125BA" w:rsidRPr="00322BD0" w:rsidRDefault="009125BA" w:rsidP="00A74D4E">
            <w:pPr>
              <w:spacing w:after="0" w:line="240" w:lineRule="auto"/>
              <w:ind w:firstLine="0"/>
              <w:rPr>
                <w:rFonts w:asciiTheme="majorHAnsi" w:eastAsia="Times New Roman" w:hAnsiTheme="majorHAnsi" w:cs="Arial"/>
                <w:b/>
                <w:bCs/>
                <w:sz w:val="18"/>
                <w:szCs w:val="18"/>
                <w:lang w:val="en-GB" w:eastAsia="ro-RO"/>
              </w:rPr>
            </w:pPr>
          </w:p>
        </w:tc>
        <w:tc>
          <w:tcPr>
            <w:tcW w:w="2180" w:type="dxa"/>
            <w:vMerge/>
            <w:shd w:val="clear" w:color="auto" w:fill="D6E0F4"/>
            <w:vAlign w:val="center"/>
            <w:hideMark/>
          </w:tcPr>
          <w:p w:rsidR="009125BA" w:rsidRPr="00322BD0" w:rsidRDefault="009125BA" w:rsidP="00A74D4E">
            <w:pPr>
              <w:spacing w:after="0" w:line="240" w:lineRule="auto"/>
              <w:ind w:firstLine="0"/>
              <w:rPr>
                <w:rFonts w:asciiTheme="majorHAnsi" w:eastAsia="Times New Roman" w:hAnsiTheme="majorHAnsi" w:cs="Arial"/>
                <w:b/>
                <w:bCs/>
                <w:sz w:val="18"/>
                <w:szCs w:val="18"/>
                <w:lang w:val="en-GB" w:eastAsia="ro-RO"/>
              </w:rPr>
            </w:pPr>
          </w:p>
        </w:tc>
        <w:tc>
          <w:tcPr>
            <w:tcW w:w="1569" w:type="dxa"/>
            <w:shd w:val="clear" w:color="auto" w:fill="D6E0F4"/>
            <w:hideMark/>
          </w:tcPr>
          <w:p w:rsidR="009125BA" w:rsidRPr="0044720C" w:rsidRDefault="009125BA" w:rsidP="00D7439E">
            <w:pPr>
              <w:spacing w:after="0" w:line="240" w:lineRule="auto"/>
              <w:ind w:firstLine="0"/>
              <w:jc w:val="center"/>
              <w:rPr>
                <w:rFonts w:asciiTheme="majorHAnsi" w:eastAsia="Times New Roman" w:hAnsiTheme="majorHAnsi" w:cs="Arial"/>
                <w:b/>
                <w:bCs/>
                <w:sz w:val="18"/>
                <w:szCs w:val="18"/>
                <w:lang w:val="ro-RO" w:eastAsia="ro-RO"/>
              </w:rPr>
            </w:pPr>
            <w:r w:rsidRPr="004947D3">
              <w:rPr>
                <w:rFonts w:asciiTheme="majorHAnsi" w:eastAsia="Times New Roman" w:hAnsiTheme="majorHAnsi" w:cs="Arial"/>
                <w:b/>
                <w:bCs/>
                <w:sz w:val="18"/>
                <w:szCs w:val="18"/>
                <w:lang w:val="ro-RO" w:eastAsia="ro-RO"/>
              </w:rPr>
              <w:t>2016</w:t>
            </w:r>
          </w:p>
        </w:tc>
        <w:tc>
          <w:tcPr>
            <w:tcW w:w="1515" w:type="dxa"/>
            <w:shd w:val="clear" w:color="auto" w:fill="D6E0F4"/>
            <w:hideMark/>
          </w:tcPr>
          <w:p w:rsidR="009125BA" w:rsidRPr="0044720C" w:rsidRDefault="009125BA" w:rsidP="00D7439E">
            <w:pPr>
              <w:spacing w:after="0" w:line="240" w:lineRule="auto"/>
              <w:ind w:firstLine="0"/>
              <w:jc w:val="center"/>
              <w:rPr>
                <w:rFonts w:asciiTheme="majorHAnsi" w:eastAsia="Times New Roman" w:hAnsiTheme="majorHAnsi" w:cs="Arial"/>
                <w:b/>
                <w:bCs/>
                <w:sz w:val="18"/>
                <w:szCs w:val="18"/>
                <w:lang w:val="ro-RO" w:eastAsia="ro-RO"/>
              </w:rPr>
            </w:pPr>
            <w:r w:rsidRPr="0044720C">
              <w:rPr>
                <w:rFonts w:asciiTheme="majorHAnsi" w:eastAsia="Times New Roman" w:hAnsiTheme="majorHAnsi" w:cs="Arial"/>
                <w:b/>
                <w:bCs/>
                <w:sz w:val="18"/>
                <w:szCs w:val="18"/>
                <w:lang w:val="ro-RO" w:eastAsia="ro-RO"/>
              </w:rPr>
              <w:t>2015</w:t>
            </w:r>
          </w:p>
        </w:tc>
        <w:tc>
          <w:tcPr>
            <w:tcW w:w="1786" w:type="dxa"/>
            <w:shd w:val="clear" w:color="auto" w:fill="D6E0F4"/>
            <w:hideMark/>
          </w:tcPr>
          <w:p w:rsidR="009125BA" w:rsidRPr="0044720C" w:rsidRDefault="009125BA" w:rsidP="00D7439E">
            <w:pPr>
              <w:spacing w:after="0" w:line="240" w:lineRule="auto"/>
              <w:ind w:firstLine="0"/>
              <w:jc w:val="center"/>
              <w:rPr>
                <w:rFonts w:asciiTheme="majorHAnsi" w:eastAsia="Times New Roman" w:hAnsiTheme="majorHAnsi" w:cs="Arial"/>
                <w:b/>
                <w:bCs/>
                <w:sz w:val="18"/>
                <w:szCs w:val="18"/>
                <w:lang w:val="ro-RO" w:eastAsia="ro-RO"/>
              </w:rPr>
            </w:pPr>
            <w:r w:rsidRPr="0044720C">
              <w:rPr>
                <w:rFonts w:asciiTheme="majorHAnsi" w:eastAsia="Times New Roman" w:hAnsiTheme="majorHAnsi" w:cs="Arial"/>
                <w:b/>
                <w:bCs/>
                <w:sz w:val="18"/>
                <w:szCs w:val="18"/>
                <w:lang w:val="ro-RO" w:eastAsia="ro-RO"/>
              </w:rPr>
              <w:t>2014</w:t>
            </w:r>
          </w:p>
        </w:tc>
        <w:tc>
          <w:tcPr>
            <w:tcW w:w="1018" w:type="dxa"/>
            <w:shd w:val="clear" w:color="auto" w:fill="D6E0F4"/>
            <w:vAlign w:val="center"/>
          </w:tcPr>
          <w:p w:rsidR="009125BA" w:rsidRPr="0044720C" w:rsidRDefault="009125BA" w:rsidP="00D7439E">
            <w:pPr>
              <w:spacing w:after="0" w:line="240" w:lineRule="auto"/>
              <w:ind w:firstLine="0"/>
              <w:jc w:val="center"/>
              <w:rPr>
                <w:rFonts w:asciiTheme="majorHAnsi" w:eastAsia="Times New Roman" w:hAnsiTheme="majorHAnsi" w:cs="Arial"/>
                <w:b/>
                <w:bCs/>
                <w:sz w:val="18"/>
                <w:szCs w:val="18"/>
                <w:lang w:val="ro-RO" w:eastAsia="ro-RO"/>
              </w:rPr>
            </w:pPr>
            <w:r w:rsidRPr="0044720C">
              <w:rPr>
                <w:rFonts w:asciiTheme="majorHAnsi" w:eastAsia="Times New Roman" w:hAnsiTheme="majorHAnsi" w:cs="Arial"/>
                <w:b/>
                <w:bCs/>
                <w:sz w:val="18"/>
                <w:szCs w:val="18"/>
                <w:lang w:val="ro-RO" w:eastAsia="ro-RO"/>
              </w:rPr>
              <w:t>2013</w:t>
            </w:r>
          </w:p>
        </w:tc>
        <w:tc>
          <w:tcPr>
            <w:tcW w:w="2133" w:type="dxa"/>
            <w:vMerge/>
            <w:shd w:val="clear" w:color="auto" w:fill="D6E0F4"/>
            <w:vAlign w:val="center"/>
            <w:hideMark/>
          </w:tcPr>
          <w:p w:rsidR="009125BA" w:rsidRPr="00322BD0" w:rsidRDefault="009125BA" w:rsidP="00A74D4E">
            <w:pPr>
              <w:spacing w:after="0" w:line="240" w:lineRule="auto"/>
              <w:ind w:firstLine="0"/>
              <w:rPr>
                <w:rFonts w:asciiTheme="majorHAnsi" w:eastAsia="Times New Roman" w:hAnsiTheme="majorHAnsi" w:cs="Arial"/>
                <w:b/>
                <w:bCs/>
                <w:sz w:val="18"/>
                <w:szCs w:val="18"/>
                <w:lang w:val="en-GB" w:eastAsia="ro-RO"/>
              </w:rPr>
            </w:pPr>
          </w:p>
        </w:tc>
      </w:tr>
      <w:tr w:rsidR="00F803F6" w:rsidRPr="00322BD0" w:rsidTr="00F803F6">
        <w:trPr>
          <w:trHeight w:val="175"/>
          <w:tblCellSpacing w:w="20" w:type="dxa"/>
        </w:trPr>
        <w:tc>
          <w:tcPr>
            <w:tcW w:w="690" w:type="dxa"/>
            <w:shd w:val="clear" w:color="auto" w:fill="D6E0F4"/>
            <w:noWrap/>
            <w:vAlign w:val="center"/>
            <w:hideMark/>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0</w:t>
            </w:r>
          </w:p>
        </w:tc>
        <w:tc>
          <w:tcPr>
            <w:tcW w:w="2180" w:type="dxa"/>
            <w:shd w:val="clear" w:color="auto" w:fill="D6E0F4"/>
            <w:noWrap/>
            <w:vAlign w:val="center"/>
            <w:hideMark/>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w:t>
            </w:r>
          </w:p>
        </w:tc>
        <w:tc>
          <w:tcPr>
            <w:tcW w:w="1569" w:type="dxa"/>
            <w:shd w:val="clear" w:color="auto" w:fill="D6E0F4"/>
            <w:hideMark/>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2</w:t>
            </w:r>
          </w:p>
        </w:tc>
        <w:tc>
          <w:tcPr>
            <w:tcW w:w="1515" w:type="dxa"/>
            <w:shd w:val="clear" w:color="auto" w:fill="D6E0F4"/>
            <w:hideMark/>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3</w:t>
            </w:r>
          </w:p>
        </w:tc>
        <w:tc>
          <w:tcPr>
            <w:tcW w:w="1786" w:type="dxa"/>
            <w:shd w:val="clear" w:color="auto" w:fill="D6E0F4"/>
            <w:hideMark/>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4</w:t>
            </w:r>
          </w:p>
        </w:tc>
        <w:tc>
          <w:tcPr>
            <w:tcW w:w="1018" w:type="dxa"/>
            <w:shd w:val="clear" w:color="auto" w:fill="D6E0F4"/>
            <w:vAlign w:val="center"/>
          </w:tcPr>
          <w:p w:rsidR="003E5DF3" w:rsidRPr="0044720C" w:rsidRDefault="003E5DF3" w:rsidP="004947D3">
            <w:pPr>
              <w:spacing w:after="0" w:line="240" w:lineRule="auto"/>
              <w:ind w:firstLine="0"/>
              <w:jc w:val="center"/>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5</w:t>
            </w:r>
          </w:p>
        </w:tc>
        <w:tc>
          <w:tcPr>
            <w:tcW w:w="2133" w:type="dxa"/>
            <w:shd w:val="clear" w:color="auto" w:fill="D6E0F4"/>
            <w:vAlign w:val="center"/>
            <w:hideMark/>
          </w:tcPr>
          <w:p w:rsidR="003E5DF3" w:rsidRPr="00E07FAC" w:rsidRDefault="003E5DF3" w:rsidP="004C0A43">
            <w:pPr>
              <w:spacing w:after="0" w:line="240" w:lineRule="auto"/>
              <w:ind w:right="598"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6=2/3*100</w:t>
            </w:r>
          </w:p>
        </w:tc>
      </w:tr>
      <w:tr w:rsidR="00F803F6" w:rsidRPr="00322BD0" w:rsidTr="00F803F6">
        <w:trPr>
          <w:trHeight w:val="179"/>
          <w:tblCellSpacing w:w="20" w:type="dxa"/>
        </w:trPr>
        <w:tc>
          <w:tcPr>
            <w:tcW w:w="690" w:type="dxa"/>
            <w:shd w:val="clear" w:color="auto" w:fill="auto"/>
            <w:noWrap/>
            <w:vAlign w:val="center"/>
            <w:hideMark/>
          </w:tcPr>
          <w:p w:rsidR="003E5DF3" w:rsidRPr="00E07FAC" w:rsidRDefault="003E5DF3" w:rsidP="00CE200A">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w:t>
            </w:r>
          </w:p>
        </w:tc>
        <w:tc>
          <w:tcPr>
            <w:tcW w:w="2180" w:type="dxa"/>
            <w:shd w:val="clear" w:color="auto" w:fill="auto"/>
            <w:noWrap/>
            <w:vAlign w:val="center"/>
            <w:hideMark/>
          </w:tcPr>
          <w:p w:rsidR="003E5DF3" w:rsidRPr="00322BD0" w:rsidRDefault="003E5DF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569" w:type="dxa"/>
            <w:noWrap/>
            <w:vAlign w:val="center"/>
            <w:hideMark/>
          </w:tcPr>
          <w:p w:rsidR="003E5DF3" w:rsidRPr="00E07FAC" w:rsidRDefault="003E5DF3" w:rsidP="00CE200A">
            <w:pPr>
              <w:spacing w:after="0" w:line="240" w:lineRule="auto"/>
              <w:ind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1.750.203</w:t>
            </w:r>
          </w:p>
        </w:tc>
        <w:tc>
          <w:tcPr>
            <w:tcW w:w="1515" w:type="dxa"/>
            <w:shd w:val="clear" w:color="auto" w:fill="auto"/>
            <w:noWrap/>
            <w:vAlign w:val="center"/>
            <w:hideMark/>
          </w:tcPr>
          <w:p w:rsidR="003E5DF3" w:rsidRPr="0044720C" w:rsidRDefault="003E5DF3" w:rsidP="00CE200A">
            <w:pPr>
              <w:spacing w:after="0" w:line="240" w:lineRule="auto"/>
              <w:ind w:firstLine="0"/>
              <w:jc w:val="right"/>
              <w:rPr>
                <w:rFonts w:asciiTheme="majorHAnsi" w:eastAsia="Times New Roman" w:hAnsiTheme="majorHAnsi" w:cs="Times New Roman"/>
                <w:sz w:val="18"/>
                <w:szCs w:val="18"/>
                <w:lang w:val="ro-RO" w:eastAsia="ro-RO"/>
              </w:rPr>
            </w:pPr>
            <w:r w:rsidRPr="0044720C">
              <w:rPr>
                <w:rFonts w:asciiTheme="majorHAnsi" w:eastAsia="Times New Roman" w:hAnsiTheme="majorHAnsi" w:cs="Times New Roman"/>
                <w:sz w:val="18"/>
                <w:szCs w:val="18"/>
                <w:lang w:val="ro-RO" w:eastAsia="ro-RO"/>
              </w:rPr>
              <w:t>1.581.470</w:t>
            </w:r>
          </w:p>
        </w:tc>
        <w:tc>
          <w:tcPr>
            <w:tcW w:w="1786" w:type="dxa"/>
            <w:shd w:val="clear" w:color="auto" w:fill="auto"/>
            <w:noWrap/>
            <w:vAlign w:val="bottom"/>
            <w:hideMark/>
          </w:tcPr>
          <w:p w:rsidR="003E5DF3" w:rsidRPr="0044720C" w:rsidRDefault="003E5DF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1.618.089</w:t>
            </w:r>
          </w:p>
        </w:tc>
        <w:tc>
          <w:tcPr>
            <w:tcW w:w="1018" w:type="dxa"/>
            <w:vAlign w:val="bottom"/>
          </w:tcPr>
          <w:p w:rsidR="003E5DF3" w:rsidRPr="0044720C" w:rsidRDefault="003E5DF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1.484.714</w:t>
            </w:r>
          </w:p>
        </w:tc>
        <w:tc>
          <w:tcPr>
            <w:tcW w:w="2133" w:type="dxa"/>
            <w:shd w:val="clear" w:color="auto" w:fill="auto"/>
            <w:noWrap/>
            <w:vAlign w:val="center"/>
            <w:hideMark/>
          </w:tcPr>
          <w:p w:rsidR="003E5DF3" w:rsidRPr="00E07FAC" w:rsidRDefault="003E5DF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110,67</w:t>
            </w:r>
          </w:p>
        </w:tc>
      </w:tr>
      <w:tr w:rsidR="00F803F6" w:rsidRPr="00322BD0" w:rsidTr="00F803F6">
        <w:trPr>
          <w:trHeight w:val="55"/>
          <w:tblCellSpacing w:w="20" w:type="dxa"/>
        </w:trPr>
        <w:tc>
          <w:tcPr>
            <w:tcW w:w="690" w:type="dxa"/>
            <w:shd w:val="clear" w:color="auto" w:fill="auto"/>
            <w:noWrap/>
            <w:vAlign w:val="center"/>
            <w:hideMark/>
          </w:tcPr>
          <w:p w:rsidR="004C0A43" w:rsidRPr="00E07FAC" w:rsidRDefault="004C0A43" w:rsidP="004C0A43">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2</w:t>
            </w:r>
          </w:p>
        </w:tc>
        <w:tc>
          <w:tcPr>
            <w:tcW w:w="2180" w:type="dxa"/>
            <w:shd w:val="clear" w:color="auto" w:fill="auto"/>
            <w:noWrap/>
            <w:vAlign w:val="center"/>
            <w:hideMark/>
          </w:tcPr>
          <w:p w:rsidR="004C0A43" w:rsidRPr="00322BD0" w:rsidRDefault="004C0A43" w:rsidP="004C0A43">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Operating</w:t>
            </w:r>
            <w:r w:rsidR="00E82AC7">
              <w:rPr>
                <w:rFonts w:asciiTheme="majorHAnsi" w:eastAsia="Times New Roman" w:hAnsiTheme="majorHAnsi" w:cs="Arial"/>
                <w:sz w:val="18"/>
                <w:szCs w:val="18"/>
                <w:lang w:val="en-GB" w:eastAsia="ro-RO"/>
              </w:rPr>
              <w:t xml:space="preserve"> revenue before </w:t>
            </w:r>
            <w:r w:rsidRPr="00322BD0">
              <w:rPr>
                <w:rFonts w:asciiTheme="majorHAnsi" w:eastAsia="Times New Roman" w:hAnsiTheme="majorHAnsi" w:cs="Arial"/>
                <w:sz w:val="18"/>
                <w:szCs w:val="18"/>
                <w:lang w:val="en-GB" w:eastAsia="ro-RO"/>
              </w:rPr>
              <w:t xml:space="preserve"> </w:t>
            </w:r>
            <w:r>
              <w:rPr>
                <w:rFonts w:asciiTheme="majorHAnsi" w:eastAsia="Times New Roman" w:hAnsiTheme="majorHAnsi" w:cs="Arial"/>
                <w:sz w:val="18"/>
                <w:szCs w:val="18"/>
                <w:lang w:val="en-GB" w:eastAsia="ro-RO"/>
              </w:rPr>
              <w:t xml:space="preserve">balancing and </w:t>
            </w:r>
            <w:r w:rsidR="00E82AC7">
              <w:rPr>
                <w:rFonts w:asciiTheme="majorHAnsi" w:eastAsia="Times New Roman" w:hAnsiTheme="majorHAnsi" w:cs="Arial"/>
                <w:sz w:val="18"/>
                <w:szCs w:val="18"/>
                <w:lang w:val="en-GB" w:eastAsia="ro-RO"/>
              </w:rPr>
              <w:t xml:space="preserve">the </w:t>
            </w:r>
            <w:r w:rsidRPr="00322BD0">
              <w:rPr>
                <w:rFonts w:asciiTheme="majorHAnsi" w:eastAsia="Times New Roman" w:hAnsiTheme="majorHAnsi" w:cs="Arial"/>
                <w:sz w:val="18"/>
                <w:szCs w:val="18"/>
                <w:lang w:val="en-GB" w:eastAsia="ro-RO"/>
              </w:rPr>
              <w:t>construction activity acc. to IFRIC12</w:t>
            </w:r>
          </w:p>
        </w:tc>
        <w:tc>
          <w:tcPr>
            <w:tcW w:w="1569" w:type="dxa"/>
            <w:noWrap/>
            <w:vAlign w:val="center"/>
            <w:hideMark/>
          </w:tcPr>
          <w:p w:rsidR="004C0A43" w:rsidRPr="007D6B1F" w:rsidRDefault="004C0A43" w:rsidP="004C0A43">
            <w:pPr>
              <w:spacing w:after="0" w:line="240" w:lineRule="auto"/>
              <w:ind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1.815.385</w:t>
            </w:r>
          </w:p>
        </w:tc>
        <w:tc>
          <w:tcPr>
            <w:tcW w:w="1515"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1.663.398</w:t>
            </w:r>
          </w:p>
        </w:tc>
        <w:tc>
          <w:tcPr>
            <w:tcW w:w="1786"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1.655.319</w:t>
            </w:r>
          </w:p>
        </w:tc>
        <w:tc>
          <w:tcPr>
            <w:tcW w:w="1018" w:type="dxa"/>
            <w:vAlign w:val="center"/>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1.516.640</w:t>
            </w:r>
          </w:p>
        </w:tc>
        <w:tc>
          <w:tcPr>
            <w:tcW w:w="2133" w:type="dxa"/>
            <w:shd w:val="clear" w:color="auto" w:fill="auto"/>
            <w:noWrap/>
            <w:vAlign w:val="center"/>
            <w:hideMark/>
          </w:tcPr>
          <w:p w:rsidR="004C0A43" w:rsidRPr="007D6B1F" w:rsidRDefault="004C0A43" w:rsidP="004C0A43">
            <w:pPr>
              <w:spacing w:after="0" w:line="240" w:lineRule="auto"/>
              <w:ind w:right="418"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109,14</w:t>
            </w:r>
          </w:p>
        </w:tc>
      </w:tr>
      <w:tr w:rsidR="00F803F6" w:rsidRPr="00322BD0" w:rsidTr="00F803F6">
        <w:trPr>
          <w:trHeight w:val="186"/>
          <w:tblCellSpacing w:w="20" w:type="dxa"/>
        </w:trPr>
        <w:tc>
          <w:tcPr>
            <w:tcW w:w="690" w:type="dxa"/>
            <w:shd w:val="clear" w:color="auto" w:fill="auto"/>
            <w:noWrap/>
            <w:vAlign w:val="center"/>
            <w:hideMark/>
          </w:tcPr>
          <w:p w:rsidR="004C0A43" w:rsidRPr="00E07FAC" w:rsidRDefault="004C0A43" w:rsidP="004C0A43">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3</w:t>
            </w:r>
          </w:p>
        </w:tc>
        <w:tc>
          <w:tcPr>
            <w:tcW w:w="2180" w:type="dxa"/>
            <w:shd w:val="clear" w:color="auto" w:fill="auto"/>
            <w:noWrap/>
            <w:vAlign w:val="center"/>
            <w:hideMark/>
          </w:tcPr>
          <w:p w:rsidR="004C0A43" w:rsidRPr="00322BD0" w:rsidRDefault="004C0A43" w:rsidP="00E82AC7">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Operating cost before </w:t>
            </w:r>
            <w:r>
              <w:rPr>
                <w:rFonts w:asciiTheme="majorHAnsi" w:eastAsia="Times New Roman" w:hAnsiTheme="majorHAnsi" w:cs="Arial"/>
                <w:sz w:val="18"/>
                <w:szCs w:val="18"/>
                <w:lang w:val="en-GB" w:eastAsia="ro-RO"/>
              </w:rPr>
              <w:t>balancing and</w:t>
            </w:r>
            <w:r w:rsidRPr="00322BD0">
              <w:rPr>
                <w:rFonts w:asciiTheme="majorHAnsi" w:eastAsia="Times New Roman" w:hAnsiTheme="majorHAnsi" w:cs="Arial"/>
                <w:sz w:val="18"/>
                <w:szCs w:val="18"/>
                <w:lang w:val="en-GB" w:eastAsia="ro-RO"/>
              </w:rPr>
              <w:t xml:space="preserve"> </w:t>
            </w:r>
            <w:r w:rsidR="00E82AC7">
              <w:rPr>
                <w:rFonts w:asciiTheme="majorHAnsi" w:eastAsia="Times New Roman" w:hAnsiTheme="majorHAnsi" w:cs="Arial"/>
                <w:sz w:val="18"/>
                <w:szCs w:val="18"/>
                <w:lang w:val="en-GB" w:eastAsia="ro-RO"/>
              </w:rPr>
              <w:t xml:space="preserve">the </w:t>
            </w:r>
            <w:r w:rsidRPr="00322BD0">
              <w:rPr>
                <w:rFonts w:asciiTheme="majorHAnsi" w:eastAsia="Times New Roman" w:hAnsiTheme="majorHAnsi" w:cs="Arial"/>
                <w:sz w:val="18"/>
                <w:szCs w:val="18"/>
                <w:lang w:val="en-GB" w:eastAsia="ro-RO"/>
              </w:rPr>
              <w:t>construction activity acc. to IFRIC12</w:t>
            </w:r>
          </w:p>
        </w:tc>
        <w:tc>
          <w:tcPr>
            <w:tcW w:w="1569" w:type="dxa"/>
            <w:noWrap/>
            <w:vAlign w:val="center"/>
            <w:hideMark/>
          </w:tcPr>
          <w:p w:rsidR="004C0A43" w:rsidRPr="007D6B1F" w:rsidRDefault="004C0A43" w:rsidP="004C0A43">
            <w:pPr>
              <w:spacing w:after="0" w:line="240" w:lineRule="auto"/>
              <w:ind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1.1</w:t>
            </w:r>
            <w:r>
              <w:rPr>
                <w:rFonts w:ascii="Cambria" w:eastAsia="Times New Roman" w:hAnsi="Cambria" w:cs="Arial"/>
                <w:sz w:val="18"/>
                <w:szCs w:val="18"/>
                <w:lang w:val="ro-RO" w:eastAsia="ro-RO"/>
              </w:rPr>
              <w:t>25</w:t>
            </w:r>
            <w:r w:rsidRPr="007D6B1F">
              <w:rPr>
                <w:rFonts w:ascii="Cambria" w:eastAsia="Times New Roman" w:hAnsi="Cambria" w:cs="Arial"/>
                <w:sz w:val="18"/>
                <w:szCs w:val="18"/>
                <w:lang w:val="ro-RO" w:eastAsia="ro-RO"/>
              </w:rPr>
              <w:t>.</w:t>
            </w:r>
            <w:r>
              <w:rPr>
                <w:rFonts w:ascii="Cambria" w:eastAsia="Times New Roman" w:hAnsi="Cambria" w:cs="Arial"/>
                <w:sz w:val="18"/>
                <w:szCs w:val="18"/>
                <w:lang w:val="ro-RO" w:eastAsia="ro-RO"/>
              </w:rPr>
              <w:t>268</w:t>
            </w:r>
          </w:p>
        </w:tc>
        <w:tc>
          <w:tcPr>
            <w:tcW w:w="1515"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1.077.219</w:t>
            </w:r>
          </w:p>
        </w:tc>
        <w:tc>
          <w:tcPr>
            <w:tcW w:w="1786"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1.063.751</w:t>
            </w:r>
          </w:p>
        </w:tc>
        <w:tc>
          <w:tcPr>
            <w:tcW w:w="1018" w:type="dxa"/>
            <w:vAlign w:val="center"/>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981.647</w:t>
            </w:r>
          </w:p>
        </w:tc>
        <w:tc>
          <w:tcPr>
            <w:tcW w:w="2133" w:type="dxa"/>
            <w:shd w:val="clear" w:color="auto" w:fill="auto"/>
            <w:noWrap/>
            <w:vAlign w:val="center"/>
            <w:hideMark/>
          </w:tcPr>
          <w:p w:rsidR="004C0A43" w:rsidRPr="007D6B1F" w:rsidRDefault="004C0A43" w:rsidP="004C0A43">
            <w:pPr>
              <w:spacing w:after="0" w:line="240" w:lineRule="auto"/>
              <w:ind w:right="418"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10</w:t>
            </w:r>
            <w:r>
              <w:rPr>
                <w:rFonts w:ascii="Cambria" w:eastAsia="Times New Roman" w:hAnsi="Cambria" w:cs="Arial"/>
                <w:sz w:val="18"/>
                <w:szCs w:val="18"/>
                <w:lang w:val="ro-RO" w:eastAsia="ro-RO"/>
              </w:rPr>
              <w:t>4</w:t>
            </w:r>
            <w:r w:rsidRPr="007D6B1F">
              <w:rPr>
                <w:rFonts w:ascii="Cambria" w:eastAsia="Times New Roman" w:hAnsi="Cambria" w:cs="Arial"/>
                <w:sz w:val="18"/>
                <w:szCs w:val="18"/>
                <w:lang w:val="ro-RO" w:eastAsia="ro-RO"/>
              </w:rPr>
              <w:t>,</w:t>
            </w:r>
            <w:r>
              <w:rPr>
                <w:rFonts w:ascii="Cambria" w:eastAsia="Times New Roman" w:hAnsi="Cambria" w:cs="Arial"/>
                <w:sz w:val="18"/>
                <w:szCs w:val="18"/>
                <w:lang w:val="ro-RO" w:eastAsia="ro-RO"/>
              </w:rPr>
              <w:t>4</w:t>
            </w:r>
            <w:r w:rsidRPr="007D6B1F">
              <w:rPr>
                <w:rFonts w:ascii="Cambria" w:eastAsia="Times New Roman" w:hAnsi="Cambria" w:cs="Arial"/>
                <w:sz w:val="18"/>
                <w:szCs w:val="18"/>
                <w:lang w:val="ro-RO" w:eastAsia="ro-RO"/>
              </w:rPr>
              <w:t>6</w:t>
            </w:r>
          </w:p>
        </w:tc>
      </w:tr>
      <w:tr w:rsidR="00F803F6" w:rsidRPr="00322BD0" w:rsidTr="00F803F6">
        <w:trPr>
          <w:trHeight w:val="190"/>
          <w:tblCellSpacing w:w="20" w:type="dxa"/>
        </w:trPr>
        <w:tc>
          <w:tcPr>
            <w:tcW w:w="690" w:type="dxa"/>
            <w:shd w:val="clear" w:color="auto" w:fill="auto"/>
            <w:noWrap/>
            <w:vAlign w:val="center"/>
            <w:hideMark/>
          </w:tcPr>
          <w:p w:rsidR="004C0A43" w:rsidRPr="00E07FAC" w:rsidRDefault="004C0A43" w:rsidP="004C0A43">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4</w:t>
            </w:r>
          </w:p>
        </w:tc>
        <w:tc>
          <w:tcPr>
            <w:tcW w:w="2180" w:type="dxa"/>
            <w:shd w:val="clear" w:color="auto" w:fill="auto"/>
            <w:noWrap/>
            <w:vAlign w:val="center"/>
            <w:hideMark/>
          </w:tcPr>
          <w:p w:rsidR="004C0A43" w:rsidRPr="00322BD0" w:rsidRDefault="004C0A43" w:rsidP="00E82AC7">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Operating profit before </w:t>
            </w:r>
            <w:r>
              <w:rPr>
                <w:rFonts w:asciiTheme="majorHAnsi" w:eastAsia="Times New Roman" w:hAnsiTheme="majorHAnsi" w:cs="Arial"/>
                <w:sz w:val="18"/>
                <w:szCs w:val="18"/>
                <w:lang w:val="en-GB" w:eastAsia="ro-RO"/>
              </w:rPr>
              <w:t xml:space="preserve">balancing and </w:t>
            </w:r>
            <w:r w:rsidR="00E82AC7">
              <w:rPr>
                <w:rFonts w:asciiTheme="majorHAnsi" w:eastAsia="Times New Roman" w:hAnsiTheme="majorHAnsi" w:cs="Arial"/>
                <w:sz w:val="18"/>
                <w:szCs w:val="18"/>
                <w:lang w:val="en-GB" w:eastAsia="ro-RO"/>
              </w:rPr>
              <w:t xml:space="preserve">the </w:t>
            </w:r>
            <w:r w:rsidRPr="00322BD0">
              <w:rPr>
                <w:rFonts w:asciiTheme="majorHAnsi" w:eastAsia="Times New Roman" w:hAnsiTheme="majorHAnsi" w:cs="Arial"/>
                <w:sz w:val="18"/>
                <w:szCs w:val="18"/>
                <w:lang w:val="en-GB" w:eastAsia="ro-RO"/>
              </w:rPr>
              <w:t>construction activity acc. to IFRIC12</w:t>
            </w:r>
          </w:p>
        </w:tc>
        <w:tc>
          <w:tcPr>
            <w:tcW w:w="1569" w:type="dxa"/>
            <w:noWrap/>
            <w:vAlign w:val="center"/>
            <w:hideMark/>
          </w:tcPr>
          <w:p w:rsidR="004C0A43" w:rsidRPr="007D6B1F" w:rsidRDefault="004C0A43" w:rsidP="004C0A43">
            <w:pPr>
              <w:spacing w:after="0" w:line="240" w:lineRule="auto"/>
              <w:ind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690.117</w:t>
            </w:r>
          </w:p>
        </w:tc>
        <w:tc>
          <w:tcPr>
            <w:tcW w:w="1515"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586.179</w:t>
            </w:r>
          </w:p>
        </w:tc>
        <w:tc>
          <w:tcPr>
            <w:tcW w:w="1786" w:type="dxa"/>
            <w:shd w:val="clear" w:color="auto" w:fill="auto"/>
            <w:noWrap/>
            <w:vAlign w:val="center"/>
            <w:hideMark/>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591.568</w:t>
            </w:r>
          </w:p>
        </w:tc>
        <w:tc>
          <w:tcPr>
            <w:tcW w:w="1018" w:type="dxa"/>
            <w:vAlign w:val="center"/>
          </w:tcPr>
          <w:p w:rsidR="004C0A43" w:rsidRPr="0044720C" w:rsidRDefault="004C0A43" w:rsidP="004C0A43">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534.994</w:t>
            </w:r>
          </w:p>
        </w:tc>
        <w:tc>
          <w:tcPr>
            <w:tcW w:w="2133" w:type="dxa"/>
            <w:shd w:val="clear" w:color="auto" w:fill="auto"/>
            <w:noWrap/>
            <w:vAlign w:val="center"/>
            <w:hideMark/>
          </w:tcPr>
          <w:p w:rsidR="004C0A43" w:rsidRPr="007D6B1F" w:rsidRDefault="004C0A43" w:rsidP="004C0A43">
            <w:pPr>
              <w:spacing w:after="0" w:line="240" w:lineRule="auto"/>
              <w:ind w:right="418"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117,73</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4C0A43">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5</w:t>
            </w:r>
          </w:p>
        </w:tc>
        <w:tc>
          <w:tcPr>
            <w:tcW w:w="2180" w:type="dxa"/>
            <w:shd w:val="clear" w:color="auto" w:fill="auto"/>
            <w:noWrap/>
            <w:vAlign w:val="center"/>
          </w:tcPr>
          <w:p w:rsidR="004C0A43" w:rsidRPr="00322BD0" w:rsidRDefault="004C0A43" w:rsidP="004C0A43">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 xml:space="preserve">Balancing activity revenue </w:t>
            </w:r>
          </w:p>
        </w:tc>
        <w:tc>
          <w:tcPr>
            <w:tcW w:w="1569" w:type="dxa"/>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57.404</w:t>
            </w:r>
          </w:p>
        </w:tc>
        <w:tc>
          <w:tcPr>
            <w:tcW w:w="1515" w:type="dxa"/>
            <w:shd w:val="clear" w:color="auto" w:fill="FFFFFF" w:themeFill="background1"/>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1786" w:type="dxa"/>
            <w:shd w:val="clear" w:color="auto" w:fill="FFFFFF" w:themeFill="background1"/>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1018" w:type="dxa"/>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2133" w:type="dxa"/>
            <w:shd w:val="clear" w:color="auto" w:fill="auto"/>
            <w:noWrap/>
            <w:vAlign w:val="center"/>
          </w:tcPr>
          <w:p w:rsidR="004C0A43" w:rsidRPr="007D6B1F" w:rsidRDefault="004C0A43" w:rsidP="004C0A43">
            <w:pPr>
              <w:spacing w:after="0" w:line="240" w:lineRule="auto"/>
              <w:ind w:right="418"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x</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4C0A43">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6</w:t>
            </w:r>
          </w:p>
        </w:tc>
        <w:tc>
          <w:tcPr>
            <w:tcW w:w="2180" w:type="dxa"/>
            <w:shd w:val="clear" w:color="auto" w:fill="auto"/>
            <w:noWrap/>
            <w:vAlign w:val="center"/>
          </w:tcPr>
          <w:p w:rsidR="004C0A43" w:rsidRPr="00322BD0" w:rsidRDefault="00BF70ED" w:rsidP="004C0A43">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Expenses</w:t>
            </w:r>
            <w:r w:rsidR="004C0A43">
              <w:rPr>
                <w:rFonts w:asciiTheme="majorHAnsi" w:eastAsia="Times New Roman" w:hAnsiTheme="majorHAnsi" w:cs="Arial"/>
                <w:sz w:val="18"/>
                <w:szCs w:val="18"/>
                <w:lang w:val="en-GB" w:eastAsia="ro-RO"/>
              </w:rPr>
              <w:t xml:space="preserve"> with balancing gas</w:t>
            </w:r>
          </w:p>
        </w:tc>
        <w:tc>
          <w:tcPr>
            <w:tcW w:w="1569" w:type="dxa"/>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56.093</w:t>
            </w:r>
          </w:p>
        </w:tc>
        <w:tc>
          <w:tcPr>
            <w:tcW w:w="1515" w:type="dxa"/>
            <w:shd w:val="clear" w:color="auto" w:fill="FFFFFF" w:themeFill="background1"/>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1786" w:type="dxa"/>
            <w:shd w:val="clear" w:color="auto" w:fill="FFFFFF" w:themeFill="background1"/>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1018" w:type="dxa"/>
            <w:vAlign w:val="center"/>
          </w:tcPr>
          <w:p w:rsidR="004C0A43" w:rsidRPr="007D6B1F" w:rsidRDefault="004C0A43" w:rsidP="004C0A43">
            <w:pPr>
              <w:spacing w:after="0" w:line="240" w:lineRule="auto"/>
              <w:ind w:firstLine="0"/>
              <w:jc w:val="right"/>
              <w:rPr>
                <w:rFonts w:ascii="Cambria" w:eastAsia="Times New Roman" w:hAnsi="Cambria" w:cs="Arial"/>
                <w:bCs/>
                <w:sz w:val="18"/>
                <w:szCs w:val="18"/>
                <w:lang w:val="ro-RO" w:eastAsia="ro-RO"/>
              </w:rPr>
            </w:pPr>
            <w:r w:rsidRPr="007D6B1F">
              <w:rPr>
                <w:rFonts w:ascii="Cambria" w:eastAsia="Times New Roman" w:hAnsi="Cambria" w:cs="Arial"/>
                <w:bCs/>
                <w:sz w:val="18"/>
                <w:szCs w:val="18"/>
                <w:lang w:val="ro-RO" w:eastAsia="ro-RO"/>
              </w:rPr>
              <w:t>x</w:t>
            </w:r>
          </w:p>
        </w:tc>
        <w:tc>
          <w:tcPr>
            <w:tcW w:w="2133" w:type="dxa"/>
            <w:shd w:val="clear" w:color="auto" w:fill="auto"/>
            <w:noWrap/>
            <w:vAlign w:val="center"/>
          </w:tcPr>
          <w:p w:rsidR="004C0A43" w:rsidRPr="007D6B1F" w:rsidRDefault="004C0A43" w:rsidP="004C0A43">
            <w:pPr>
              <w:spacing w:after="0" w:line="240" w:lineRule="auto"/>
              <w:ind w:right="418" w:firstLine="0"/>
              <w:jc w:val="right"/>
              <w:rPr>
                <w:rFonts w:ascii="Cambria" w:eastAsia="Times New Roman" w:hAnsi="Cambria" w:cs="Arial"/>
                <w:sz w:val="18"/>
                <w:szCs w:val="18"/>
                <w:lang w:val="ro-RO" w:eastAsia="ro-RO"/>
              </w:rPr>
            </w:pPr>
            <w:r w:rsidRPr="007D6B1F">
              <w:rPr>
                <w:rFonts w:ascii="Cambria" w:eastAsia="Times New Roman" w:hAnsi="Cambria" w:cs="Arial"/>
                <w:sz w:val="18"/>
                <w:szCs w:val="18"/>
                <w:lang w:val="ro-RO" w:eastAsia="ro-RO"/>
              </w:rPr>
              <w:t>x</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7</w:t>
            </w:r>
          </w:p>
        </w:tc>
        <w:tc>
          <w:tcPr>
            <w:tcW w:w="2180" w:type="dxa"/>
            <w:shd w:val="clear" w:color="auto" w:fill="auto"/>
            <w:noWrap/>
            <w:vAlign w:val="center"/>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Revenue from the construction activity acc. to IFRIC12</w:t>
            </w:r>
          </w:p>
        </w:tc>
        <w:tc>
          <w:tcPr>
            <w:tcW w:w="1569" w:type="dxa"/>
            <w:vAlign w:val="center"/>
          </w:tcPr>
          <w:p w:rsidR="004C0A43" w:rsidRPr="00E07FAC" w:rsidRDefault="004C0A43" w:rsidP="00CE200A">
            <w:pPr>
              <w:spacing w:after="0" w:line="240" w:lineRule="auto"/>
              <w:ind w:firstLine="0"/>
              <w:jc w:val="right"/>
              <w:rPr>
                <w:rFonts w:ascii="Cambria" w:eastAsia="Times New Roman" w:hAnsi="Cambria" w:cs="Arial"/>
                <w:bCs/>
                <w:sz w:val="18"/>
                <w:szCs w:val="18"/>
                <w:lang w:val="ro-RO" w:eastAsia="ro-RO"/>
              </w:rPr>
            </w:pPr>
            <w:r w:rsidRPr="00E07FAC">
              <w:rPr>
                <w:rFonts w:ascii="Cambria" w:eastAsia="Times New Roman" w:hAnsi="Cambria" w:cs="Arial"/>
                <w:bCs/>
                <w:sz w:val="18"/>
                <w:szCs w:val="18"/>
                <w:lang w:val="ro-RO" w:eastAsia="ro-RO"/>
              </w:rPr>
              <w:t>118.504</w:t>
            </w:r>
          </w:p>
        </w:tc>
        <w:tc>
          <w:tcPr>
            <w:tcW w:w="1515"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211.125</w:t>
            </w:r>
          </w:p>
        </w:tc>
        <w:tc>
          <w:tcPr>
            <w:tcW w:w="1786"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136.635</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161.741</w:t>
            </w:r>
          </w:p>
        </w:tc>
        <w:tc>
          <w:tcPr>
            <w:tcW w:w="2133" w:type="dxa"/>
            <w:shd w:val="clear" w:color="auto" w:fill="auto"/>
            <w:noWrap/>
            <w:vAlign w:val="center"/>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56,13</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8</w:t>
            </w:r>
          </w:p>
        </w:tc>
        <w:tc>
          <w:tcPr>
            <w:tcW w:w="2180" w:type="dxa"/>
            <w:shd w:val="clear" w:color="auto" w:fill="auto"/>
            <w:noWrap/>
            <w:vAlign w:val="center"/>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Cost of assets built acc. to IFRIC12</w:t>
            </w:r>
          </w:p>
        </w:tc>
        <w:tc>
          <w:tcPr>
            <w:tcW w:w="1569" w:type="dxa"/>
            <w:vAlign w:val="center"/>
          </w:tcPr>
          <w:p w:rsidR="004C0A43" w:rsidRPr="00E07FAC" w:rsidRDefault="004C0A43" w:rsidP="00CE200A">
            <w:pPr>
              <w:spacing w:after="0" w:line="240" w:lineRule="auto"/>
              <w:ind w:firstLine="0"/>
              <w:jc w:val="right"/>
              <w:rPr>
                <w:rFonts w:ascii="Cambria" w:eastAsia="Times New Roman" w:hAnsi="Cambria" w:cs="Arial"/>
                <w:bCs/>
                <w:sz w:val="18"/>
                <w:szCs w:val="18"/>
                <w:lang w:val="ro-RO" w:eastAsia="ro-RO"/>
              </w:rPr>
            </w:pPr>
            <w:r w:rsidRPr="00E07FAC">
              <w:rPr>
                <w:rFonts w:ascii="Cambria" w:eastAsia="Times New Roman" w:hAnsi="Cambria" w:cs="Arial"/>
                <w:bCs/>
                <w:sz w:val="18"/>
                <w:szCs w:val="18"/>
                <w:lang w:val="ro-RO" w:eastAsia="ro-RO"/>
              </w:rPr>
              <w:t>118.504</w:t>
            </w:r>
          </w:p>
        </w:tc>
        <w:tc>
          <w:tcPr>
            <w:tcW w:w="1515"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211.125</w:t>
            </w:r>
          </w:p>
        </w:tc>
        <w:tc>
          <w:tcPr>
            <w:tcW w:w="1786"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136.635</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161.741</w:t>
            </w:r>
          </w:p>
        </w:tc>
        <w:tc>
          <w:tcPr>
            <w:tcW w:w="2133" w:type="dxa"/>
            <w:shd w:val="clear" w:color="auto" w:fill="auto"/>
            <w:noWrap/>
            <w:vAlign w:val="center"/>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56,13</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9</w:t>
            </w:r>
          </w:p>
        </w:tc>
        <w:tc>
          <w:tcPr>
            <w:tcW w:w="2180" w:type="dxa"/>
            <w:shd w:val="clear" w:color="auto" w:fill="auto"/>
            <w:noWrap/>
            <w:vAlign w:val="center"/>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Operating profit</w:t>
            </w:r>
          </w:p>
        </w:tc>
        <w:tc>
          <w:tcPr>
            <w:tcW w:w="1569" w:type="dxa"/>
            <w:vAlign w:val="center"/>
          </w:tcPr>
          <w:p w:rsidR="004C0A43" w:rsidRPr="00E07FAC" w:rsidRDefault="004C0A43" w:rsidP="00CE200A">
            <w:pPr>
              <w:spacing w:after="0" w:line="240" w:lineRule="auto"/>
              <w:ind w:firstLine="0"/>
              <w:jc w:val="right"/>
              <w:rPr>
                <w:rFonts w:ascii="Cambria" w:eastAsia="Times New Roman" w:hAnsi="Cambria" w:cs="Arial"/>
                <w:bCs/>
                <w:sz w:val="18"/>
                <w:szCs w:val="18"/>
                <w:lang w:val="ro-RO" w:eastAsia="ro-RO"/>
              </w:rPr>
            </w:pPr>
            <w:r w:rsidRPr="00E07FAC">
              <w:rPr>
                <w:rFonts w:ascii="Cambria" w:eastAsia="Times New Roman" w:hAnsi="Cambria" w:cs="Arial"/>
                <w:bCs/>
                <w:sz w:val="18"/>
                <w:szCs w:val="18"/>
                <w:lang w:val="ro-RO" w:eastAsia="ro-RO"/>
              </w:rPr>
              <w:t>691.427</w:t>
            </w:r>
          </w:p>
        </w:tc>
        <w:tc>
          <w:tcPr>
            <w:tcW w:w="1515"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586.179</w:t>
            </w:r>
          </w:p>
        </w:tc>
        <w:tc>
          <w:tcPr>
            <w:tcW w:w="1786" w:type="dxa"/>
            <w:shd w:val="clear" w:color="auto" w:fill="FFFFFF" w:themeFill="background1"/>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591.568</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534.994</w:t>
            </w:r>
          </w:p>
        </w:tc>
        <w:tc>
          <w:tcPr>
            <w:tcW w:w="2133" w:type="dxa"/>
            <w:shd w:val="clear" w:color="auto" w:fill="auto"/>
            <w:noWrap/>
            <w:vAlign w:val="center"/>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118,33</w:t>
            </w:r>
          </w:p>
        </w:tc>
      </w:tr>
      <w:tr w:rsidR="00F803F6" w:rsidRPr="00322BD0" w:rsidTr="00F803F6">
        <w:trPr>
          <w:trHeight w:val="194"/>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10</w:t>
            </w:r>
          </w:p>
        </w:tc>
        <w:tc>
          <w:tcPr>
            <w:tcW w:w="2180" w:type="dxa"/>
            <w:shd w:val="clear" w:color="auto" w:fill="auto"/>
            <w:noWrap/>
            <w:vAlign w:val="center"/>
            <w:hideMark/>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Financial profit</w:t>
            </w:r>
          </w:p>
        </w:tc>
        <w:tc>
          <w:tcPr>
            <w:tcW w:w="1569" w:type="dxa"/>
            <w:vAlign w:val="center"/>
            <w:hideMark/>
          </w:tcPr>
          <w:p w:rsidR="004C0A43" w:rsidRPr="00E07FAC" w:rsidRDefault="004C0A43" w:rsidP="00CE200A">
            <w:pPr>
              <w:spacing w:after="0" w:line="240" w:lineRule="auto"/>
              <w:ind w:firstLine="0"/>
              <w:jc w:val="right"/>
              <w:rPr>
                <w:rFonts w:ascii="Cambria" w:eastAsia="Times New Roman" w:hAnsi="Cambria" w:cs="Arial"/>
                <w:bCs/>
                <w:sz w:val="18"/>
                <w:szCs w:val="18"/>
                <w:lang w:val="ro-RO" w:eastAsia="ro-RO"/>
              </w:rPr>
            </w:pPr>
            <w:r w:rsidRPr="00E07FAC">
              <w:rPr>
                <w:rFonts w:ascii="Cambria" w:eastAsia="Times New Roman" w:hAnsi="Cambria" w:cs="Arial"/>
                <w:bCs/>
                <w:sz w:val="18"/>
                <w:szCs w:val="18"/>
                <w:lang w:val="ro-RO" w:eastAsia="ro-RO"/>
              </w:rPr>
              <w:t>22.548</w:t>
            </w:r>
          </w:p>
        </w:tc>
        <w:tc>
          <w:tcPr>
            <w:tcW w:w="1515"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20.922</w:t>
            </w:r>
          </w:p>
        </w:tc>
        <w:tc>
          <w:tcPr>
            <w:tcW w:w="1786"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19.019</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bCs/>
                <w:sz w:val="18"/>
                <w:szCs w:val="18"/>
                <w:lang w:val="ro-RO" w:eastAsia="ro-RO"/>
              </w:rPr>
            </w:pPr>
            <w:r w:rsidRPr="0044720C">
              <w:rPr>
                <w:rFonts w:asciiTheme="majorHAnsi" w:eastAsia="Times New Roman" w:hAnsiTheme="majorHAnsi" w:cs="Arial"/>
                <w:bCs/>
                <w:sz w:val="18"/>
                <w:szCs w:val="18"/>
                <w:lang w:val="ro-RO" w:eastAsia="ro-RO"/>
              </w:rPr>
              <w:t>-108.236</w:t>
            </w:r>
          </w:p>
        </w:tc>
        <w:tc>
          <w:tcPr>
            <w:tcW w:w="2133" w:type="dxa"/>
            <w:shd w:val="clear" w:color="auto" w:fill="auto"/>
            <w:noWrap/>
            <w:vAlign w:val="center"/>
            <w:hideMark/>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107,77</w:t>
            </w:r>
          </w:p>
        </w:tc>
      </w:tr>
      <w:tr w:rsidR="00F803F6" w:rsidRPr="00322BD0" w:rsidTr="00F803F6">
        <w:trPr>
          <w:trHeight w:val="198"/>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11</w:t>
            </w:r>
          </w:p>
        </w:tc>
        <w:tc>
          <w:tcPr>
            <w:tcW w:w="2180" w:type="dxa"/>
            <w:shd w:val="clear" w:color="auto" w:fill="auto"/>
            <w:noWrap/>
            <w:vAlign w:val="center"/>
            <w:hideMark/>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Tax on profit</w:t>
            </w:r>
          </w:p>
        </w:tc>
        <w:tc>
          <w:tcPr>
            <w:tcW w:w="1569" w:type="dxa"/>
            <w:vAlign w:val="center"/>
            <w:hideMark/>
          </w:tcPr>
          <w:p w:rsidR="004C0A43" w:rsidRPr="00E07FAC" w:rsidRDefault="004C0A43" w:rsidP="00CE200A">
            <w:pPr>
              <w:spacing w:after="0" w:line="240" w:lineRule="auto"/>
              <w:ind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119.410</w:t>
            </w:r>
          </w:p>
        </w:tc>
        <w:tc>
          <w:tcPr>
            <w:tcW w:w="1515"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118.372</w:t>
            </w:r>
          </w:p>
        </w:tc>
        <w:tc>
          <w:tcPr>
            <w:tcW w:w="1786"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108.071</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95.350</w:t>
            </w:r>
          </w:p>
        </w:tc>
        <w:tc>
          <w:tcPr>
            <w:tcW w:w="2133" w:type="dxa"/>
            <w:shd w:val="clear" w:color="auto" w:fill="auto"/>
            <w:noWrap/>
            <w:vAlign w:val="center"/>
            <w:hideMark/>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107,50</w:t>
            </w:r>
          </w:p>
        </w:tc>
      </w:tr>
      <w:tr w:rsidR="00F803F6" w:rsidRPr="00322BD0" w:rsidTr="00F803F6">
        <w:trPr>
          <w:trHeight w:val="202"/>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12</w:t>
            </w:r>
          </w:p>
        </w:tc>
        <w:tc>
          <w:tcPr>
            <w:tcW w:w="2180" w:type="dxa"/>
            <w:shd w:val="clear" w:color="auto" w:fill="auto"/>
            <w:noWrap/>
            <w:vAlign w:val="center"/>
            <w:hideMark/>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Net profit</w:t>
            </w:r>
          </w:p>
        </w:tc>
        <w:tc>
          <w:tcPr>
            <w:tcW w:w="1569" w:type="dxa"/>
            <w:vAlign w:val="center"/>
            <w:hideMark/>
          </w:tcPr>
          <w:p w:rsidR="004C0A43" w:rsidRPr="00E07FAC" w:rsidRDefault="004C0A43" w:rsidP="00CE200A">
            <w:pPr>
              <w:spacing w:after="0" w:line="240" w:lineRule="auto"/>
              <w:ind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594.565</w:t>
            </w:r>
          </w:p>
        </w:tc>
        <w:tc>
          <w:tcPr>
            <w:tcW w:w="1515"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488.729</w:t>
            </w:r>
          </w:p>
        </w:tc>
        <w:tc>
          <w:tcPr>
            <w:tcW w:w="1786" w:type="dxa"/>
            <w:shd w:val="clear" w:color="auto" w:fill="FFFFFF" w:themeFill="background1"/>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502.516</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331.408</w:t>
            </w:r>
          </w:p>
        </w:tc>
        <w:tc>
          <w:tcPr>
            <w:tcW w:w="2133" w:type="dxa"/>
            <w:shd w:val="clear" w:color="auto" w:fill="auto"/>
            <w:noWrap/>
            <w:vAlign w:val="center"/>
            <w:hideMark/>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120,50</w:t>
            </w:r>
          </w:p>
        </w:tc>
      </w:tr>
      <w:tr w:rsidR="00F803F6" w:rsidRPr="00322BD0" w:rsidTr="00F803F6">
        <w:trPr>
          <w:trHeight w:val="255"/>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Pr>
                <w:rFonts w:ascii="Cambria" w:eastAsia="Times New Roman" w:hAnsi="Cambria" w:cs="Arial"/>
                <w:sz w:val="18"/>
                <w:szCs w:val="18"/>
                <w:lang w:val="ro-RO" w:eastAsia="ro-RO"/>
              </w:rPr>
              <w:lastRenderedPageBreak/>
              <w:t>13</w:t>
            </w:r>
          </w:p>
        </w:tc>
        <w:tc>
          <w:tcPr>
            <w:tcW w:w="2180" w:type="dxa"/>
            <w:shd w:val="clear" w:color="auto" w:fill="auto"/>
            <w:noWrap/>
            <w:vAlign w:val="center"/>
            <w:hideMark/>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Total comprehensive revenue of the period</w:t>
            </w:r>
          </w:p>
        </w:tc>
        <w:tc>
          <w:tcPr>
            <w:tcW w:w="1569" w:type="dxa"/>
            <w:vAlign w:val="center"/>
            <w:hideMark/>
          </w:tcPr>
          <w:p w:rsidR="004C0A43" w:rsidRPr="00E07FAC" w:rsidRDefault="004C0A43" w:rsidP="00CE200A">
            <w:pPr>
              <w:spacing w:after="0" w:line="240" w:lineRule="auto"/>
              <w:ind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593.539</w:t>
            </w:r>
          </w:p>
        </w:tc>
        <w:tc>
          <w:tcPr>
            <w:tcW w:w="1515" w:type="dxa"/>
            <w:shd w:val="clear" w:color="auto" w:fill="auto"/>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498.940</w:t>
            </w:r>
          </w:p>
        </w:tc>
        <w:tc>
          <w:tcPr>
            <w:tcW w:w="1786" w:type="dxa"/>
            <w:shd w:val="clear" w:color="auto" w:fill="auto"/>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486.385</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335.240</w:t>
            </w:r>
          </w:p>
        </w:tc>
        <w:tc>
          <w:tcPr>
            <w:tcW w:w="2133" w:type="dxa"/>
            <w:shd w:val="clear" w:color="auto" w:fill="auto"/>
            <w:noWrap/>
            <w:vAlign w:val="center"/>
            <w:hideMark/>
          </w:tcPr>
          <w:p w:rsidR="004C0A43" w:rsidRPr="00E07FAC" w:rsidRDefault="004C0A43" w:rsidP="004C0A43">
            <w:pPr>
              <w:spacing w:after="0" w:line="240" w:lineRule="auto"/>
              <w:ind w:right="418"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117,83</w:t>
            </w:r>
          </w:p>
        </w:tc>
      </w:tr>
      <w:tr w:rsidR="00F803F6" w:rsidRPr="00322BD0" w:rsidTr="00F803F6">
        <w:trPr>
          <w:trHeight w:val="142"/>
          <w:tblCellSpacing w:w="20" w:type="dxa"/>
        </w:trPr>
        <w:tc>
          <w:tcPr>
            <w:tcW w:w="690" w:type="dxa"/>
            <w:shd w:val="clear" w:color="auto" w:fill="auto"/>
            <w:noWrap/>
            <w:vAlign w:val="center"/>
          </w:tcPr>
          <w:p w:rsidR="004C0A43" w:rsidRPr="00E07FAC" w:rsidRDefault="004C0A43" w:rsidP="00506197">
            <w:pPr>
              <w:spacing w:after="0" w:line="240" w:lineRule="auto"/>
              <w:ind w:firstLine="0"/>
              <w:jc w:val="center"/>
              <w:rPr>
                <w:rFonts w:ascii="Cambria" w:eastAsia="Times New Roman" w:hAnsi="Cambria" w:cs="Arial"/>
                <w:sz w:val="18"/>
                <w:szCs w:val="18"/>
                <w:lang w:val="ro-RO" w:eastAsia="ro-RO"/>
              </w:rPr>
            </w:pPr>
            <w:r>
              <w:rPr>
                <w:rFonts w:ascii="Cambria" w:eastAsia="Times New Roman" w:hAnsi="Cambria" w:cs="Arial"/>
                <w:sz w:val="18"/>
                <w:szCs w:val="18"/>
                <w:lang w:val="ro-RO" w:eastAsia="ro-RO"/>
              </w:rPr>
              <w:t>14</w:t>
            </w:r>
          </w:p>
        </w:tc>
        <w:tc>
          <w:tcPr>
            <w:tcW w:w="2180" w:type="dxa"/>
            <w:shd w:val="clear" w:color="auto" w:fill="auto"/>
            <w:noWrap/>
            <w:vAlign w:val="center"/>
            <w:hideMark/>
          </w:tcPr>
          <w:p w:rsidR="004C0A43" w:rsidRPr="00322BD0" w:rsidRDefault="004C0A4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Gross dividend/share</w:t>
            </w:r>
          </w:p>
        </w:tc>
        <w:tc>
          <w:tcPr>
            <w:tcW w:w="1569" w:type="dxa"/>
            <w:vAlign w:val="center"/>
            <w:hideMark/>
          </w:tcPr>
          <w:p w:rsidR="004C0A43" w:rsidRPr="00E07FAC" w:rsidRDefault="004C0A43" w:rsidP="00CE200A">
            <w:pPr>
              <w:spacing w:after="0" w:line="240" w:lineRule="auto"/>
              <w:ind w:firstLine="0"/>
              <w:jc w:val="right"/>
              <w:rPr>
                <w:rFonts w:ascii="Cambria" w:eastAsia="Times New Roman" w:hAnsi="Cambria" w:cs="Arial"/>
                <w:sz w:val="18"/>
                <w:szCs w:val="18"/>
                <w:highlight w:val="yellow"/>
                <w:lang w:val="ro-RO" w:eastAsia="ro-RO"/>
              </w:rPr>
            </w:pPr>
            <w:r w:rsidRPr="00BE6CFE">
              <w:rPr>
                <w:rFonts w:ascii="Cambria" w:eastAsia="Times New Roman" w:hAnsi="Cambria" w:cs="Arial"/>
                <w:sz w:val="18"/>
                <w:szCs w:val="18"/>
                <w:lang w:val="ro-RO" w:eastAsia="ro-RO"/>
              </w:rPr>
              <w:t>25,74</w:t>
            </w:r>
          </w:p>
        </w:tc>
        <w:tc>
          <w:tcPr>
            <w:tcW w:w="1515" w:type="dxa"/>
            <w:shd w:val="clear" w:color="auto" w:fill="auto"/>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21,24</w:t>
            </w:r>
          </w:p>
        </w:tc>
        <w:tc>
          <w:tcPr>
            <w:tcW w:w="1786" w:type="dxa"/>
            <w:shd w:val="clear" w:color="auto" w:fill="auto"/>
            <w:vAlign w:val="center"/>
            <w:hideMark/>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21,80</w:t>
            </w:r>
          </w:p>
        </w:tc>
        <w:tc>
          <w:tcPr>
            <w:tcW w:w="1018" w:type="dxa"/>
            <w:vAlign w:val="center"/>
          </w:tcPr>
          <w:p w:rsidR="004C0A43" w:rsidRPr="0044720C" w:rsidRDefault="004C0A43" w:rsidP="00CE200A">
            <w:pPr>
              <w:spacing w:after="0" w:line="240" w:lineRule="auto"/>
              <w:ind w:firstLine="0"/>
              <w:jc w:val="right"/>
              <w:rPr>
                <w:rFonts w:asciiTheme="majorHAnsi" w:eastAsia="Times New Roman" w:hAnsiTheme="majorHAnsi" w:cs="Arial"/>
                <w:sz w:val="18"/>
                <w:szCs w:val="18"/>
                <w:lang w:val="ro-RO" w:eastAsia="ro-RO"/>
              </w:rPr>
            </w:pPr>
            <w:r w:rsidRPr="0044720C">
              <w:rPr>
                <w:rFonts w:asciiTheme="majorHAnsi" w:eastAsia="Times New Roman" w:hAnsiTheme="majorHAnsi" w:cs="Arial"/>
                <w:sz w:val="18"/>
                <w:szCs w:val="18"/>
                <w:lang w:val="ro-RO" w:eastAsia="ro-RO"/>
              </w:rPr>
              <w:t>17,58</w:t>
            </w:r>
          </w:p>
        </w:tc>
        <w:tc>
          <w:tcPr>
            <w:tcW w:w="2133" w:type="dxa"/>
            <w:shd w:val="clear" w:color="auto" w:fill="auto"/>
            <w:noWrap/>
            <w:vAlign w:val="center"/>
            <w:hideMark/>
          </w:tcPr>
          <w:p w:rsidR="004C0A43" w:rsidRPr="00E07FAC" w:rsidRDefault="004C0A43" w:rsidP="00CE200A">
            <w:pPr>
              <w:spacing w:after="0" w:line="240" w:lineRule="auto"/>
              <w:ind w:firstLine="0"/>
              <w:jc w:val="right"/>
              <w:rPr>
                <w:rFonts w:ascii="Cambria" w:eastAsia="Times New Roman" w:hAnsi="Cambria" w:cs="Arial"/>
                <w:sz w:val="18"/>
                <w:szCs w:val="18"/>
                <w:lang w:val="ro-RO" w:eastAsia="ro-RO"/>
              </w:rPr>
            </w:pPr>
            <w:r w:rsidRPr="00E07FAC">
              <w:rPr>
                <w:rFonts w:ascii="Cambria" w:eastAsia="Times New Roman" w:hAnsi="Cambria" w:cs="Arial"/>
                <w:sz w:val="18"/>
                <w:szCs w:val="18"/>
                <w:lang w:val="ro-RO" w:eastAsia="ro-RO"/>
              </w:rPr>
              <w:t>120,06</w:t>
            </w:r>
          </w:p>
        </w:tc>
      </w:tr>
    </w:tbl>
    <w:p w:rsidR="005A754D" w:rsidRDefault="005A754D" w:rsidP="005A754D">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Tabl</w:t>
      </w:r>
      <w:r w:rsidR="0027358B" w:rsidRPr="00322BD0">
        <w:rPr>
          <w:rFonts w:ascii="Cambria" w:eastAsia="Times New Roman" w:hAnsi="Cambria" w:cs="Times New Roman"/>
          <w:b/>
          <w:i/>
          <w:sz w:val="16"/>
          <w:szCs w:val="16"/>
          <w:lang w:val="en-GB" w:eastAsia="ro-RO"/>
        </w:rPr>
        <w:t>e</w:t>
      </w:r>
      <w:r w:rsidR="005F4CA4">
        <w:rPr>
          <w:rFonts w:ascii="Cambria" w:eastAsia="Times New Roman" w:hAnsi="Cambria" w:cs="Times New Roman"/>
          <w:b/>
          <w:i/>
          <w:sz w:val="16"/>
          <w:szCs w:val="16"/>
          <w:lang w:val="en-GB" w:eastAsia="ro-RO"/>
        </w:rPr>
        <w:t xml:space="preserve"> 9</w:t>
      </w:r>
      <w:r w:rsidR="0027358B" w:rsidRPr="00322BD0">
        <w:rPr>
          <w:rFonts w:ascii="Cambria" w:eastAsia="Times New Roman" w:hAnsi="Cambria" w:cs="Times New Roman"/>
          <w:b/>
          <w:i/>
          <w:sz w:val="16"/>
          <w:szCs w:val="16"/>
          <w:lang w:val="en-GB" w:eastAsia="ro-RO"/>
        </w:rPr>
        <w:t xml:space="preserve"> – Evolution of operational performance indicators between</w:t>
      </w:r>
      <w:r w:rsidR="005F4CA4">
        <w:rPr>
          <w:rFonts w:ascii="Cambria" w:eastAsia="Times New Roman" w:hAnsi="Cambria" w:cs="Times New Roman"/>
          <w:b/>
          <w:i/>
          <w:sz w:val="16"/>
          <w:szCs w:val="16"/>
          <w:lang w:val="en-GB" w:eastAsia="ro-RO"/>
        </w:rPr>
        <w:t xml:space="preserve"> 2013 </w:t>
      </w:r>
      <w:r w:rsidR="002513E8">
        <w:rPr>
          <w:rFonts w:ascii="Cambria" w:eastAsia="Times New Roman" w:hAnsi="Cambria" w:cs="Times New Roman"/>
          <w:b/>
          <w:i/>
          <w:sz w:val="16"/>
          <w:szCs w:val="16"/>
          <w:lang w:val="en-GB" w:eastAsia="ro-RO"/>
        </w:rPr>
        <w:t>–</w:t>
      </w:r>
      <w:r w:rsidR="005F4CA4">
        <w:rPr>
          <w:rFonts w:ascii="Cambria" w:eastAsia="Times New Roman" w:hAnsi="Cambria" w:cs="Times New Roman"/>
          <w:b/>
          <w:i/>
          <w:sz w:val="16"/>
          <w:szCs w:val="16"/>
          <w:lang w:val="en-GB" w:eastAsia="ro-RO"/>
        </w:rPr>
        <w:t xml:space="preserve"> 2016</w:t>
      </w:r>
    </w:p>
    <w:p w:rsidR="002513E8" w:rsidRDefault="002513E8" w:rsidP="005A754D">
      <w:pPr>
        <w:spacing w:after="0" w:line="240" w:lineRule="auto"/>
        <w:ind w:firstLine="0"/>
        <w:jc w:val="center"/>
        <w:rPr>
          <w:rFonts w:ascii="Cambria" w:eastAsia="Times New Roman" w:hAnsi="Cambria" w:cs="Times New Roman"/>
          <w:b/>
          <w:i/>
          <w:sz w:val="16"/>
          <w:szCs w:val="16"/>
          <w:lang w:val="en-GB" w:eastAsia="ro-RO"/>
        </w:rPr>
      </w:pPr>
    </w:p>
    <w:p w:rsidR="005A754D" w:rsidRPr="00322BD0" w:rsidRDefault="005A754D" w:rsidP="005A754D">
      <w:pPr>
        <w:spacing w:after="0" w:line="240" w:lineRule="auto"/>
        <w:ind w:firstLine="0"/>
        <w:jc w:val="both"/>
        <w:rPr>
          <w:rFonts w:ascii="Cambria" w:hAnsi="Cambria"/>
          <w:b/>
          <w:i/>
          <w:color w:val="FF0000"/>
          <w:sz w:val="16"/>
          <w:szCs w:val="16"/>
          <w:lang w:val="en-GB"/>
        </w:rPr>
      </w:pPr>
    </w:p>
    <w:p w:rsidR="005A754D" w:rsidRPr="00322BD0" w:rsidRDefault="00FC4726" w:rsidP="005A754D">
      <w:pPr>
        <w:spacing w:after="0" w:line="240" w:lineRule="auto"/>
        <w:ind w:firstLine="0"/>
        <w:jc w:val="both"/>
        <w:rPr>
          <w:rFonts w:ascii="Cambria" w:hAnsi="Cambria"/>
          <w:b/>
          <w:i/>
          <w:color w:val="FF0000"/>
          <w:sz w:val="16"/>
          <w:szCs w:val="16"/>
          <w:lang w:val="en-GB"/>
        </w:rPr>
      </w:pPr>
      <w:r w:rsidRPr="00322BD0">
        <w:rPr>
          <w:noProof/>
          <w:lang w:val="ro-RO" w:eastAsia="ro-RO"/>
        </w:rPr>
        <mc:AlternateContent>
          <mc:Choice Requires="wps">
            <w:drawing>
              <wp:anchor distT="0" distB="0" distL="114300" distR="114300" simplePos="0" relativeHeight="251949056" behindDoc="0" locked="0" layoutInCell="1" allowOverlap="1" wp14:anchorId="4496A6C8" wp14:editId="6289298F">
                <wp:simplePos x="0" y="0"/>
                <wp:positionH relativeFrom="column">
                  <wp:posOffset>3238500</wp:posOffset>
                </wp:positionH>
                <wp:positionV relativeFrom="paragraph">
                  <wp:posOffset>13970</wp:posOffset>
                </wp:positionV>
                <wp:extent cx="2466975" cy="1533525"/>
                <wp:effectExtent l="0" t="0" r="9525" b="9525"/>
                <wp:wrapNone/>
                <wp:docPr id="54" name="Text Box 54"/>
                <wp:cNvGraphicFramePr/>
                <a:graphic xmlns:a="http://schemas.openxmlformats.org/drawingml/2006/main">
                  <a:graphicData uri="http://schemas.microsoft.com/office/word/2010/wordprocessingShape">
                    <wps:wsp>
                      <wps:cNvSpPr txBox="1"/>
                      <wps:spPr>
                        <a:xfrm>
                          <a:off x="0" y="0"/>
                          <a:ext cx="2466975" cy="1533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E3BCA" w:rsidRDefault="00CE3BCA" w:rsidP="005A754D">
                            <w:pPr>
                              <w:ind w:firstLine="0"/>
                            </w:pPr>
                            <w:r>
                              <w:rPr>
                                <w:rFonts w:ascii="Cambria" w:eastAsia="Calibri" w:hAnsi="Cambria" w:cs="Times New Roman"/>
                                <w:noProof/>
                                <w:color w:val="FF0000"/>
                                <w:lang w:val="ro-RO" w:eastAsia="ro-RO"/>
                              </w:rPr>
                              <w:drawing>
                                <wp:inline distT="0" distB="0" distL="0" distR="0" wp14:anchorId="2BEDB826" wp14:editId="59BE661D">
                                  <wp:extent cx="2276475" cy="15621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6A6C8" id="Text Box 54" o:spid="_x0000_s1040" type="#_x0000_t202" style="position:absolute;left:0;text-align:left;margin-left:255pt;margin-top:1.1pt;width:194.25pt;height:120.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" fillcolor="white [3201]" stroked="f" strokeweight=".5pt">
                <v:textbox>
                  <w:txbxContent>
                    <w:p w:rsidR="00CE3BCA" w:rsidRDefault="00CE3BCA" w:rsidP="005A754D">
                      <w:pPr>
                        <w:ind w:firstLine="0"/>
                      </w:pPr>
                      <w:r>
                        <w:rPr>
                          <w:rFonts w:ascii="Cambria" w:eastAsia="Calibri" w:hAnsi="Cambria" w:cs="Times New Roman"/>
                          <w:noProof/>
                          <w:color w:val="FF0000"/>
                          <w:lang w:eastAsia="en-US"/>
                        </w:rPr>
                        <w:drawing>
                          <wp:inline distT="0" distB="0" distL="0" distR="0" wp14:anchorId="2BEDB826" wp14:editId="59BE661D">
                            <wp:extent cx="2276475" cy="156210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xbxContent>
                </v:textbox>
              </v:shape>
            </w:pict>
          </mc:Fallback>
        </mc:AlternateContent>
      </w:r>
      <w:r w:rsidR="00716BFF" w:rsidRPr="00715E6E">
        <w:rPr>
          <w:rFonts w:ascii="Cambria" w:eastAsia="Times New Roman" w:hAnsi="Cambria" w:cs="DokChampa"/>
          <w:noProof/>
          <w:lang w:val="ro-RO" w:eastAsia="ro-RO"/>
        </w:rPr>
        <w:drawing>
          <wp:inline distT="0" distB="0" distL="0" distR="0" wp14:anchorId="430C4A29" wp14:editId="4985E05C">
            <wp:extent cx="2981325" cy="1619250"/>
            <wp:effectExtent l="0" t="0" r="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A754D" w:rsidRPr="00322BD0" w:rsidRDefault="005A754D" w:rsidP="005A754D">
      <w:pPr>
        <w:spacing w:after="0" w:line="240" w:lineRule="auto"/>
        <w:ind w:firstLine="0"/>
        <w:jc w:val="both"/>
        <w:rPr>
          <w:rFonts w:ascii="Cambria" w:hAnsi="Cambria"/>
          <w:b/>
          <w:i/>
          <w:color w:val="FF0000"/>
          <w:sz w:val="16"/>
          <w:szCs w:val="16"/>
          <w:lang w:val="en-GB"/>
        </w:rPr>
      </w:pPr>
    </w:p>
    <w:p w:rsidR="005A754D" w:rsidRPr="00322BD0" w:rsidRDefault="005A754D" w:rsidP="005A754D">
      <w:pPr>
        <w:spacing w:after="0" w:line="240" w:lineRule="auto"/>
        <w:ind w:firstLine="0"/>
        <w:jc w:val="both"/>
        <w:rPr>
          <w:rFonts w:ascii="Cambria" w:hAnsi="Cambria"/>
          <w:b/>
          <w:i/>
          <w:color w:val="FF0000"/>
          <w:sz w:val="16"/>
          <w:szCs w:val="16"/>
          <w:lang w:val="en-GB"/>
        </w:rPr>
      </w:pPr>
    </w:p>
    <w:p w:rsidR="005A754D" w:rsidRPr="00322BD0" w:rsidRDefault="005A754D" w:rsidP="005A754D">
      <w:pPr>
        <w:spacing w:after="0" w:line="240" w:lineRule="auto"/>
        <w:ind w:firstLine="0"/>
        <w:jc w:val="both"/>
        <w:rPr>
          <w:rFonts w:ascii="Cambria" w:eastAsia="Times New Roman" w:hAnsi="Cambria" w:cs="Times New Roman"/>
          <w:b/>
          <w:i/>
          <w:color w:val="FF0000"/>
          <w:sz w:val="16"/>
          <w:szCs w:val="16"/>
          <w:lang w:val="en-GB" w:eastAsia="ro-RO"/>
        </w:rPr>
      </w:pPr>
    </w:p>
    <w:p w:rsidR="005A754D" w:rsidRPr="00322BD0" w:rsidRDefault="003E4894" w:rsidP="005A754D">
      <w:pPr>
        <w:spacing w:after="0" w:line="240" w:lineRule="auto"/>
        <w:ind w:firstLine="0"/>
        <w:jc w:val="both"/>
        <w:rPr>
          <w:rFonts w:ascii="Cambria" w:eastAsia="Times New Roman" w:hAnsi="Cambria" w:cs="Times New Roman"/>
          <w:b/>
          <w:i/>
          <w:sz w:val="14"/>
          <w:szCs w:val="14"/>
          <w:lang w:val="en-GB" w:eastAsia="ro-RO"/>
        </w:rPr>
      </w:pPr>
      <w:r w:rsidRPr="00322BD0">
        <w:rPr>
          <w:rFonts w:ascii="Cambria" w:eastAsia="Times New Roman" w:hAnsi="Cambria" w:cs="Times New Roman"/>
          <w:b/>
          <w:i/>
          <w:sz w:val="14"/>
          <w:szCs w:val="14"/>
          <w:lang w:val="en-GB" w:eastAsia="ro-RO"/>
        </w:rPr>
        <w:t xml:space="preserve">               Chart</w:t>
      </w:r>
      <w:r w:rsidR="00A40525">
        <w:rPr>
          <w:rFonts w:ascii="Cambria" w:eastAsia="Times New Roman" w:hAnsi="Cambria" w:cs="Times New Roman"/>
          <w:b/>
          <w:i/>
          <w:sz w:val="14"/>
          <w:szCs w:val="14"/>
          <w:lang w:val="en-GB" w:eastAsia="ro-RO"/>
        </w:rPr>
        <w:t xml:space="preserve"> 14</w:t>
      </w:r>
      <w:r w:rsidR="005A754D" w:rsidRPr="00322BD0">
        <w:rPr>
          <w:rFonts w:ascii="Cambria" w:eastAsia="Times New Roman" w:hAnsi="Cambria" w:cs="Times New Roman"/>
          <w:b/>
          <w:i/>
          <w:sz w:val="14"/>
          <w:szCs w:val="14"/>
          <w:lang w:val="en-GB" w:eastAsia="ro-RO"/>
        </w:rPr>
        <w:t>–</w:t>
      </w:r>
      <w:r w:rsidRPr="00322BD0">
        <w:rPr>
          <w:rFonts w:ascii="Cambria" w:eastAsia="Times New Roman" w:hAnsi="Cambria" w:cs="Times New Roman"/>
          <w:b/>
          <w:i/>
          <w:sz w:val="14"/>
          <w:szCs w:val="14"/>
          <w:lang w:val="en-GB" w:eastAsia="ro-RO"/>
        </w:rPr>
        <w:t>Turnover between</w:t>
      </w:r>
      <w:r w:rsidR="00A40525">
        <w:rPr>
          <w:rFonts w:ascii="Cambria" w:eastAsia="Times New Roman" w:hAnsi="Cambria" w:cs="Times New Roman"/>
          <w:b/>
          <w:i/>
          <w:sz w:val="14"/>
          <w:szCs w:val="14"/>
          <w:lang w:val="en-GB" w:eastAsia="ro-RO"/>
        </w:rPr>
        <w:t xml:space="preserve"> 2013 - 2016</w:t>
      </w:r>
      <w:r w:rsidR="005A754D" w:rsidRPr="00322BD0">
        <w:rPr>
          <w:rFonts w:ascii="Cambria" w:eastAsia="Times New Roman" w:hAnsi="Cambria" w:cs="Times New Roman"/>
          <w:b/>
          <w:i/>
          <w:sz w:val="14"/>
          <w:szCs w:val="14"/>
          <w:lang w:val="en-GB" w:eastAsia="ro-RO"/>
        </w:rPr>
        <w:t xml:space="preserve"> –</w:t>
      </w:r>
      <w:r w:rsidRPr="00322BD0">
        <w:rPr>
          <w:rFonts w:ascii="Cambria" w:eastAsia="Times New Roman" w:hAnsi="Cambria" w:cs="Times New Roman"/>
          <w:b/>
          <w:i/>
          <w:sz w:val="14"/>
          <w:szCs w:val="14"/>
          <w:lang w:val="en-GB" w:eastAsia="ro-RO"/>
        </w:rPr>
        <w:t xml:space="preserve"> RON thousand     </w:t>
      </w:r>
      <w:r w:rsidR="005A754D" w:rsidRPr="00322BD0">
        <w:rPr>
          <w:rFonts w:ascii="Cambria" w:eastAsia="Times New Roman" w:hAnsi="Cambria" w:cs="Times New Roman"/>
          <w:b/>
          <w:i/>
          <w:sz w:val="14"/>
          <w:szCs w:val="14"/>
          <w:lang w:val="en-GB" w:eastAsia="ro-RO"/>
        </w:rPr>
        <w:t xml:space="preserve">                                 </w:t>
      </w:r>
      <w:r w:rsidRPr="00322BD0">
        <w:rPr>
          <w:rFonts w:ascii="Cambria" w:eastAsia="Times New Roman" w:hAnsi="Cambria" w:cs="Times New Roman"/>
          <w:b/>
          <w:i/>
          <w:sz w:val="14"/>
          <w:szCs w:val="14"/>
          <w:lang w:val="en-GB" w:eastAsia="ro-RO"/>
        </w:rPr>
        <w:t xml:space="preserve">Chart </w:t>
      </w:r>
      <w:r w:rsidR="00A40525">
        <w:rPr>
          <w:rFonts w:ascii="Cambria" w:eastAsia="Times New Roman" w:hAnsi="Cambria" w:cs="Times New Roman"/>
          <w:b/>
          <w:i/>
          <w:sz w:val="14"/>
          <w:szCs w:val="14"/>
          <w:lang w:val="en-GB" w:eastAsia="ro-RO"/>
        </w:rPr>
        <w:t>15</w:t>
      </w:r>
      <w:r w:rsidR="005A754D" w:rsidRPr="00322BD0">
        <w:rPr>
          <w:rFonts w:ascii="Cambria" w:eastAsia="Times New Roman" w:hAnsi="Cambria" w:cs="Times New Roman"/>
          <w:b/>
          <w:i/>
          <w:sz w:val="14"/>
          <w:szCs w:val="14"/>
          <w:lang w:val="en-GB" w:eastAsia="ro-RO"/>
        </w:rPr>
        <w:t>–</w:t>
      </w:r>
      <w:r w:rsidRPr="00322BD0">
        <w:rPr>
          <w:rFonts w:ascii="Cambria" w:eastAsia="Times New Roman" w:hAnsi="Cambria" w:cs="Times New Roman"/>
          <w:b/>
          <w:i/>
          <w:sz w:val="14"/>
          <w:szCs w:val="14"/>
          <w:lang w:val="en-GB" w:eastAsia="ro-RO"/>
        </w:rPr>
        <w:t>Net p</w:t>
      </w:r>
      <w:r w:rsidR="005A754D" w:rsidRPr="00322BD0">
        <w:rPr>
          <w:rFonts w:ascii="Cambria" w:eastAsia="Times New Roman" w:hAnsi="Cambria" w:cs="Times New Roman"/>
          <w:b/>
          <w:i/>
          <w:sz w:val="14"/>
          <w:szCs w:val="14"/>
          <w:lang w:val="en-GB" w:eastAsia="ro-RO"/>
        </w:rPr>
        <w:t xml:space="preserve">rofit </w:t>
      </w:r>
      <w:r w:rsidRPr="00322BD0">
        <w:rPr>
          <w:rFonts w:ascii="Cambria" w:eastAsia="Times New Roman" w:hAnsi="Cambria" w:cs="Times New Roman"/>
          <w:b/>
          <w:i/>
          <w:sz w:val="14"/>
          <w:szCs w:val="14"/>
          <w:lang w:val="en-GB" w:eastAsia="ro-RO"/>
        </w:rPr>
        <w:t>between</w:t>
      </w:r>
      <w:r w:rsidR="005A754D" w:rsidRPr="00322BD0">
        <w:rPr>
          <w:rFonts w:ascii="Cambria" w:eastAsia="Times New Roman" w:hAnsi="Cambria" w:cs="Times New Roman"/>
          <w:b/>
          <w:i/>
          <w:sz w:val="14"/>
          <w:szCs w:val="14"/>
          <w:lang w:val="en-GB" w:eastAsia="ro-RO"/>
        </w:rPr>
        <w:t xml:space="preserve"> 201</w:t>
      </w:r>
      <w:r w:rsidR="00A40525">
        <w:rPr>
          <w:rFonts w:ascii="Cambria" w:eastAsia="Times New Roman" w:hAnsi="Cambria" w:cs="Times New Roman"/>
          <w:b/>
          <w:i/>
          <w:sz w:val="14"/>
          <w:szCs w:val="14"/>
          <w:lang w:val="en-GB" w:eastAsia="ro-RO"/>
        </w:rPr>
        <w:t>3 -2016</w:t>
      </w:r>
      <w:r w:rsidR="005A754D" w:rsidRPr="00322BD0">
        <w:rPr>
          <w:rFonts w:ascii="Cambria" w:eastAsia="Times New Roman" w:hAnsi="Cambria" w:cs="Times New Roman"/>
          <w:b/>
          <w:i/>
          <w:sz w:val="14"/>
          <w:szCs w:val="14"/>
          <w:lang w:val="en-GB" w:eastAsia="ro-RO"/>
        </w:rPr>
        <w:t xml:space="preserve"> –</w:t>
      </w:r>
      <w:r w:rsidRPr="00322BD0">
        <w:rPr>
          <w:rFonts w:ascii="Cambria" w:eastAsia="Times New Roman" w:hAnsi="Cambria" w:cs="Times New Roman"/>
          <w:b/>
          <w:i/>
          <w:sz w:val="14"/>
          <w:szCs w:val="14"/>
          <w:lang w:val="en-GB" w:eastAsia="ro-RO"/>
        </w:rPr>
        <w:t>RON thousand</w:t>
      </w:r>
    </w:p>
    <w:p w:rsidR="005A754D" w:rsidRPr="00322BD0" w:rsidRDefault="005A754D" w:rsidP="005A754D">
      <w:pPr>
        <w:spacing w:after="0" w:line="240" w:lineRule="auto"/>
        <w:ind w:firstLine="0"/>
        <w:jc w:val="both"/>
        <w:rPr>
          <w:rFonts w:ascii="Cambria" w:eastAsia="Times New Roman" w:hAnsi="Cambria" w:cs="Times New Roman"/>
          <w:b/>
          <w:i/>
          <w:color w:val="FF0000"/>
          <w:sz w:val="14"/>
          <w:szCs w:val="14"/>
          <w:lang w:val="en-GB" w:eastAsia="ro-RO"/>
        </w:rPr>
      </w:pPr>
      <w:r w:rsidRPr="00322BD0">
        <w:rPr>
          <w:rFonts w:ascii="Cambria" w:eastAsia="Times New Roman" w:hAnsi="Cambria" w:cs="Times New Roman"/>
          <w:b/>
          <w:i/>
          <w:color w:val="FF0000"/>
          <w:sz w:val="14"/>
          <w:szCs w:val="14"/>
          <w:lang w:val="en-GB" w:eastAsia="ro-RO"/>
        </w:rPr>
        <w:t xml:space="preserve">                     </w:t>
      </w:r>
    </w:p>
    <w:p w:rsidR="005A754D" w:rsidRPr="00322BD0" w:rsidRDefault="005A754D" w:rsidP="005A754D">
      <w:pPr>
        <w:spacing w:after="0" w:line="240" w:lineRule="auto"/>
        <w:ind w:firstLine="0"/>
        <w:jc w:val="both"/>
        <w:rPr>
          <w:rFonts w:ascii="Cambria" w:eastAsia="Times New Roman" w:hAnsi="Cambria" w:cs="Times New Roman"/>
          <w:b/>
          <w:i/>
          <w:color w:val="FF0000"/>
          <w:sz w:val="16"/>
          <w:szCs w:val="16"/>
          <w:lang w:val="en-GB" w:eastAsia="ro-RO"/>
        </w:rPr>
      </w:pPr>
    </w:p>
    <w:p w:rsidR="005A754D" w:rsidRPr="00322BD0" w:rsidRDefault="00E64015" w:rsidP="005A754D">
      <w:pPr>
        <w:spacing w:after="0" w:line="240" w:lineRule="auto"/>
        <w:ind w:firstLine="0"/>
        <w:jc w:val="center"/>
        <w:rPr>
          <w:rFonts w:ascii="Cambria" w:eastAsia="Times New Roman" w:hAnsi="Cambria" w:cs="Times New Roman"/>
          <w:b/>
          <w:i/>
          <w:color w:val="FF0000"/>
          <w:sz w:val="16"/>
          <w:szCs w:val="16"/>
          <w:lang w:val="en-GB" w:eastAsia="ro-RO"/>
        </w:rPr>
      </w:pPr>
      <w:r w:rsidRPr="00133F5D">
        <w:rPr>
          <w:rFonts w:ascii="Cambria" w:eastAsia="Times New Roman" w:hAnsi="Cambria" w:cs="Times New Roman"/>
          <w:b/>
          <w:i/>
          <w:noProof/>
          <w:sz w:val="16"/>
          <w:szCs w:val="16"/>
          <w:lang w:val="ro-RO" w:eastAsia="ro-RO"/>
        </w:rPr>
        <w:drawing>
          <wp:inline distT="0" distB="0" distL="0" distR="0" wp14:anchorId="2FFCFE9E" wp14:editId="17C0BB08">
            <wp:extent cx="5486400" cy="1685925"/>
            <wp:effectExtent l="0" t="0" r="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A754D" w:rsidRPr="00322BD0" w:rsidRDefault="004E3BCB" w:rsidP="005A754D">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Chart</w:t>
      </w:r>
      <w:r w:rsidR="00A40525">
        <w:rPr>
          <w:rFonts w:ascii="Cambria" w:eastAsia="Times New Roman" w:hAnsi="Cambria" w:cs="Times New Roman"/>
          <w:b/>
          <w:i/>
          <w:sz w:val="16"/>
          <w:szCs w:val="16"/>
          <w:lang w:val="en-GB" w:eastAsia="ro-RO"/>
        </w:rPr>
        <w:t xml:space="preserve"> 16</w:t>
      </w:r>
      <w:r w:rsidR="005A754D" w:rsidRPr="00322BD0">
        <w:rPr>
          <w:rFonts w:ascii="Cambria" w:eastAsia="Times New Roman" w:hAnsi="Cambria" w:cs="Times New Roman"/>
          <w:b/>
          <w:i/>
          <w:sz w:val="16"/>
          <w:szCs w:val="16"/>
          <w:lang w:val="en-GB" w:eastAsia="ro-RO"/>
        </w:rPr>
        <w:t xml:space="preserve">– </w:t>
      </w:r>
      <w:r w:rsidRPr="00322BD0">
        <w:rPr>
          <w:rFonts w:ascii="Cambria" w:eastAsia="Times New Roman" w:hAnsi="Cambria" w:cs="Times New Roman"/>
          <w:b/>
          <w:i/>
          <w:sz w:val="16"/>
          <w:szCs w:val="16"/>
          <w:lang w:val="en-GB" w:eastAsia="ro-RO"/>
        </w:rPr>
        <w:t>Evolution of operating income</w:t>
      </w:r>
      <w:r w:rsidR="005A754D" w:rsidRPr="00322BD0">
        <w:rPr>
          <w:rFonts w:ascii="Cambria" w:eastAsia="Times New Roman" w:hAnsi="Cambria" w:cs="Times New Roman"/>
          <w:b/>
          <w:i/>
          <w:sz w:val="16"/>
          <w:szCs w:val="16"/>
          <w:lang w:val="en-GB" w:eastAsia="ro-RO"/>
        </w:rPr>
        <w:t xml:space="preserve">, </w:t>
      </w:r>
      <w:r w:rsidRPr="00322BD0">
        <w:rPr>
          <w:rFonts w:ascii="Cambria" w:eastAsia="Times New Roman" w:hAnsi="Cambria" w:cs="Times New Roman"/>
          <w:b/>
          <w:i/>
          <w:sz w:val="16"/>
          <w:szCs w:val="16"/>
          <w:lang w:val="en-GB" w:eastAsia="ro-RO"/>
        </w:rPr>
        <w:t>expense and profit between</w:t>
      </w:r>
      <w:r w:rsidR="00A40525">
        <w:rPr>
          <w:rFonts w:ascii="Cambria" w:eastAsia="Times New Roman" w:hAnsi="Cambria" w:cs="Times New Roman"/>
          <w:b/>
          <w:i/>
          <w:sz w:val="16"/>
          <w:szCs w:val="16"/>
          <w:lang w:val="en-GB" w:eastAsia="ro-RO"/>
        </w:rPr>
        <w:t xml:space="preserve"> 2013 -2016</w:t>
      </w:r>
    </w:p>
    <w:p w:rsidR="005A754D" w:rsidRPr="00322BD0" w:rsidRDefault="005A754D" w:rsidP="00691FCB">
      <w:pPr>
        <w:spacing w:after="0" w:line="240" w:lineRule="auto"/>
        <w:ind w:firstLine="0"/>
        <w:jc w:val="both"/>
        <w:rPr>
          <w:rFonts w:ascii="Cambria" w:hAnsi="Cambria"/>
          <w:sz w:val="24"/>
          <w:szCs w:val="24"/>
          <w:lang w:val="en-GB"/>
        </w:rPr>
      </w:pPr>
    </w:p>
    <w:p w:rsidR="0004268A" w:rsidRPr="00322BD0" w:rsidRDefault="0004268A" w:rsidP="00CD0739">
      <w:pPr>
        <w:spacing w:after="0" w:line="240" w:lineRule="auto"/>
        <w:jc w:val="center"/>
        <w:rPr>
          <w:rFonts w:ascii="Cambria" w:eastAsia="Times New Roman" w:hAnsi="Cambria" w:cs="Times New Roman"/>
          <w:b/>
          <w:bCs/>
          <w:i/>
          <w:sz w:val="16"/>
          <w:szCs w:val="16"/>
          <w:lang w:val="en-GB"/>
        </w:rPr>
      </w:pPr>
    </w:p>
    <w:p w:rsidR="00171D16" w:rsidRPr="00322BD0" w:rsidRDefault="00171D16" w:rsidP="009E5DDB">
      <w:pPr>
        <w:pStyle w:val="Heading2"/>
        <w:rPr>
          <w:i w:val="0"/>
          <w:lang w:val="en-GB"/>
        </w:rPr>
      </w:pPr>
      <w:bookmarkStart w:id="14" w:name="_Toc414263615"/>
      <w:bookmarkStart w:id="15" w:name="_Toc446310813"/>
      <w:r w:rsidRPr="00322BD0">
        <w:rPr>
          <w:i w:val="0"/>
          <w:lang w:val="en-GB"/>
        </w:rPr>
        <w:t xml:space="preserve">2.2 </w:t>
      </w:r>
      <w:bookmarkEnd w:id="14"/>
      <w:r w:rsidR="00A367E3" w:rsidRPr="00322BD0">
        <w:rPr>
          <w:i w:val="0"/>
          <w:lang w:val="en-GB"/>
        </w:rPr>
        <w:t>Indicators of financial results</w:t>
      </w:r>
      <w:bookmarkEnd w:id="15"/>
    </w:p>
    <w:p w:rsidR="00A367E3" w:rsidRPr="00322BD0" w:rsidRDefault="00A367E3" w:rsidP="00A367E3">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Cambria"/>
          <w:sz w:val="24"/>
          <w:szCs w:val="24"/>
          <w:lang w:val="en-GB"/>
        </w:rPr>
        <w:t>The economic</w:t>
      </w:r>
      <w:r w:rsidR="00AE0369" w:rsidRPr="00322BD0">
        <w:rPr>
          <w:rFonts w:ascii="Cambria" w:eastAsia="Times New Roman" w:hAnsi="Cambria" w:cs="Cambria"/>
          <w:sz w:val="24"/>
          <w:szCs w:val="24"/>
          <w:lang w:val="en-GB"/>
        </w:rPr>
        <w:t xml:space="preserve"> and </w:t>
      </w:r>
      <w:r w:rsidRPr="00322BD0">
        <w:rPr>
          <w:rFonts w:ascii="Cambria" w:eastAsia="Times New Roman" w:hAnsi="Cambria" w:cs="Cambria"/>
          <w:sz w:val="24"/>
          <w:szCs w:val="24"/>
          <w:lang w:val="en-GB"/>
        </w:rPr>
        <w:t xml:space="preserve">financial activity of </w:t>
      </w:r>
      <w:r w:rsidR="00AE0369" w:rsidRPr="00322BD0">
        <w:rPr>
          <w:rFonts w:ascii="Cambria" w:eastAsia="Times New Roman" w:hAnsi="Cambria" w:cs="Cambria"/>
          <w:sz w:val="24"/>
          <w:szCs w:val="24"/>
          <w:lang w:val="en-GB"/>
        </w:rPr>
        <w:t xml:space="preserve">SNTGN </w:t>
      </w:r>
      <w:r w:rsidRPr="00322BD0">
        <w:rPr>
          <w:rFonts w:ascii="Cambria" w:eastAsia="Times New Roman" w:hAnsi="Cambria" w:cs="Cambria"/>
          <w:sz w:val="24"/>
          <w:szCs w:val="24"/>
          <w:lang w:val="en-GB"/>
        </w:rPr>
        <w:t>Transgaz</w:t>
      </w:r>
      <w:r w:rsidRPr="00322BD0">
        <w:rPr>
          <w:rFonts w:ascii="Cambria" w:eastAsia="Times New Roman" w:hAnsi="Cambria" w:cs="Times New Roman"/>
          <w:sz w:val="24"/>
          <w:szCs w:val="24"/>
          <w:lang w:val="en-GB"/>
        </w:rPr>
        <w:t xml:space="preserve"> </w:t>
      </w:r>
      <w:r w:rsidR="00AE0369" w:rsidRPr="00322BD0">
        <w:rPr>
          <w:rFonts w:ascii="Cambria" w:eastAsia="Times New Roman" w:hAnsi="Cambria" w:cs="Times New Roman"/>
          <w:sz w:val="24"/>
          <w:szCs w:val="24"/>
          <w:lang w:val="en-GB"/>
        </w:rPr>
        <w:t>SA was conducted</w:t>
      </w:r>
      <w:r w:rsidRPr="00322BD0">
        <w:rPr>
          <w:rFonts w:ascii="Cambria" w:eastAsia="Times New Roman" w:hAnsi="Cambria" w:cs="Times New Roman"/>
          <w:sz w:val="24"/>
          <w:szCs w:val="24"/>
          <w:lang w:val="en-GB"/>
        </w:rPr>
        <w:t xml:space="preserve"> </w:t>
      </w:r>
      <w:r w:rsidR="00A40525">
        <w:rPr>
          <w:rFonts w:ascii="Cambria" w:eastAsia="Times New Roman" w:hAnsi="Cambria" w:cs="Times New Roman"/>
          <w:sz w:val="24"/>
          <w:szCs w:val="24"/>
          <w:lang w:val="en-GB"/>
        </w:rPr>
        <w:t xml:space="preserve">in 2016 </w:t>
      </w:r>
      <w:r w:rsidRPr="00322BD0">
        <w:rPr>
          <w:rFonts w:ascii="Cambria" w:eastAsia="Times New Roman" w:hAnsi="Cambria" w:cs="Cambria"/>
          <w:sz w:val="24"/>
          <w:szCs w:val="24"/>
          <w:lang w:val="en-GB"/>
        </w:rPr>
        <w:t>based on the indicators included in the annu</w:t>
      </w:r>
      <w:r w:rsidR="005A5DBE" w:rsidRPr="00322BD0">
        <w:rPr>
          <w:rFonts w:ascii="Cambria" w:eastAsia="Times New Roman" w:hAnsi="Cambria" w:cs="Cambria"/>
          <w:sz w:val="24"/>
          <w:szCs w:val="24"/>
          <w:lang w:val="en-GB"/>
        </w:rPr>
        <w:t xml:space="preserve">al </w:t>
      </w:r>
      <w:r w:rsidR="003D1D94" w:rsidRPr="00322BD0">
        <w:rPr>
          <w:rFonts w:ascii="Cambria" w:eastAsia="Times New Roman" w:hAnsi="Cambria" w:cs="Cambria"/>
          <w:sz w:val="24"/>
          <w:szCs w:val="24"/>
          <w:lang w:val="en-GB"/>
        </w:rPr>
        <w:t>revenue and</w:t>
      </w:r>
      <w:r w:rsidR="005A5DBE" w:rsidRPr="00322BD0">
        <w:rPr>
          <w:rFonts w:ascii="Cambria" w:eastAsia="Times New Roman" w:hAnsi="Cambria" w:cs="Cambria"/>
          <w:sz w:val="24"/>
          <w:szCs w:val="24"/>
          <w:lang w:val="en-GB"/>
        </w:rPr>
        <w:t xml:space="preserve"> expenses budget</w:t>
      </w:r>
      <w:r w:rsidRPr="00322BD0">
        <w:rPr>
          <w:rFonts w:ascii="Cambria" w:eastAsia="Times New Roman" w:hAnsi="Cambria" w:cs="Cambria"/>
          <w:sz w:val="24"/>
          <w:szCs w:val="24"/>
          <w:lang w:val="en-GB"/>
        </w:rPr>
        <w:t xml:space="preserve"> approved </w:t>
      </w:r>
      <w:r w:rsidR="00A40525">
        <w:rPr>
          <w:rFonts w:ascii="Cambria" w:eastAsia="Calibri" w:hAnsi="Cambria" w:cs="Times New Roman"/>
          <w:sz w:val="24"/>
          <w:szCs w:val="24"/>
          <w:lang w:val="en-GB" w:eastAsia="en-US"/>
        </w:rPr>
        <w:t>OGMS Resolution 1/21.03.2016</w:t>
      </w:r>
      <w:r w:rsidRPr="00322BD0">
        <w:rPr>
          <w:rFonts w:ascii="Cambria" w:hAnsi="Cambria"/>
          <w:sz w:val="24"/>
          <w:szCs w:val="24"/>
          <w:lang w:val="en-GB"/>
        </w:rPr>
        <w:t>.</w:t>
      </w:r>
    </w:p>
    <w:p w:rsidR="00A367E3" w:rsidRPr="00322BD0" w:rsidRDefault="00A367E3" w:rsidP="00A367E3">
      <w:pPr>
        <w:spacing w:after="0" w:line="240" w:lineRule="auto"/>
        <w:ind w:firstLine="0"/>
        <w:jc w:val="both"/>
        <w:rPr>
          <w:rFonts w:ascii="Cambria" w:eastAsia="Times New Roman" w:hAnsi="Cambria" w:cs="Times New Roman"/>
          <w:sz w:val="24"/>
          <w:szCs w:val="24"/>
          <w:lang w:val="en-GB" w:eastAsia="ro-RO"/>
        </w:rPr>
      </w:pPr>
    </w:p>
    <w:p w:rsidR="0020275F" w:rsidRPr="00322BD0" w:rsidRDefault="00A367E3" w:rsidP="00806D36">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The main economic</w:t>
      </w:r>
      <w:r w:rsidR="00CA09DD" w:rsidRPr="00322BD0">
        <w:rPr>
          <w:rFonts w:ascii="Cambria" w:eastAsia="Times New Roman" w:hAnsi="Cambria" w:cs="Cambria"/>
          <w:sz w:val="24"/>
          <w:szCs w:val="24"/>
          <w:lang w:val="en-GB"/>
        </w:rPr>
        <w:t xml:space="preserve"> and </w:t>
      </w:r>
      <w:r w:rsidRPr="00322BD0">
        <w:rPr>
          <w:rFonts w:ascii="Cambria" w:eastAsia="Times New Roman" w:hAnsi="Cambria" w:cs="Cambria"/>
          <w:sz w:val="24"/>
          <w:szCs w:val="24"/>
          <w:lang w:val="en-GB"/>
        </w:rPr>
        <w:t xml:space="preserve">financial indicators achieved in </w:t>
      </w:r>
      <w:r w:rsidRPr="00322BD0">
        <w:rPr>
          <w:rFonts w:ascii="Cambria" w:eastAsia="Times New Roman" w:hAnsi="Cambria" w:cs="Times New Roman"/>
          <w:sz w:val="24"/>
          <w:szCs w:val="24"/>
          <w:lang w:val="en-GB" w:eastAsia="ro-RO"/>
        </w:rPr>
        <w:t>201</w:t>
      </w:r>
      <w:r w:rsidR="00A40525">
        <w:rPr>
          <w:rFonts w:ascii="Cambria" w:eastAsia="Times New Roman" w:hAnsi="Cambria" w:cs="Times New Roman"/>
          <w:sz w:val="24"/>
          <w:szCs w:val="24"/>
          <w:lang w:val="en-GB" w:eastAsia="ro-RO"/>
        </w:rPr>
        <w:t>6</w:t>
      </w:r>
      <w:r w:rsidRPr="00322BD0">
        <w:rPr>
          <w:rFonts w:ascii="Cambria" w:eastAsia="Times New Roman" w:hAnsi="Cambria" w:cs="Times New Roman"/>
          <w:sz w:val="24"/>
          <w:szCs w:val="24"/>
          <w:lang w:val="en-GB" w:eastAsia="ro-RO"/>
        </w:rPr>
        <w:t xml:space="preserve"> compared to 201</w:t>
      </w:r>
      <w:r w:rsidR="00A40525">
        <w:rPr>
          <w:rFonts w:ascii="Cambria" w:eastAsia="Times New Roman" w:hAnsi="Cambria" w:cs="Times New Roman"/>
          <w:sz w:val="24"/>
          <w:szCs w:val="24"/>
          <w:lang w:val="en-GB" w:eastAsia="ro-RO"/>
        </w:rPr>
        <w:t>5, 2014</w:t>
      </w:r>
      <w:r w:rsidRPr="00322BD0">
        <w:rPr>
          <w:rFonts w:ascii="Cambria" w:eastAsia="Times New Roman" w:hAnsi="Cambria" w:cs="Times New Roman"/>
          <w:sz w:val="24"/>
          <w:szCs w:val="24"/>
          <w:lang w:val="en-GB" w:eastAsia="ro-RO"/>
        </w:rPr>
        <w:t xml:space="preserve"> and 201</w:t>
      </w:r>
      <w:r w:rsidR="00A40525">
        <w:rPr>
          <w:rFonts w:ascii="Cambria" w:eastAsia="Times New Roman" w:hAnsi="Cambria" w:cs="Times New Roman"/>
          <w:sz w:val="24"/>
          <w:szCs w:val="24"/>
          <w:lang w:val="en-GB" w:eastAsia="ro-RO"/>
        </w:rPr>
        <w:t>3</w:t>
      </w:r>
      <w:r w:rsidRPr="00322BD0">
        <w:rPr>
          <w:rFonts w:ascii="Cambria" w:eastAsia="Times New Roman" w:hAnsi="Cambria" w:cs="Times New Roman"/>
          <w:sz w:val="24"/>
          <w:szCs w:val="24"/>
          <w:lang w:val="en-GB" w:eastAsia="ro-RO"/>
        </w:rPr>
        <w:t xml:space="preserve"> are presented as follows: </w:t>
      </w:r>
    </w:p>
    <w:p w:rsidR="0058165E" w:rsidRPr="00322BD0" w:rsidRDefault="0058165E" w:rsidP="00806D36">
      <w:pPr>
        <w:spacing w:after="0" w:line="240" w:lineRule="auto"/>
        <w:ind w:firstLine="0"/>
        <w:jc w:val="both"/>
        <w:rPr>
          <w:rFonts w:ascii="Cambria" w:eastAsia="Times New Roman" w:hAnsi="Cambria" w:cs="Times New Roman"/>
          <w:sz w:val="24"/>
          <w:szCs w:val="24"/>
          <w:lang w:val="en-GB" w:eastAsia="ro-RO"/>
        </w:rPr>
      </w:pPr>
    </w:p>
    <w:tbl>
      <w:tblPr>
        <w:tblW w:w="8376" w:type="dxa"/>
        <w:tblCellSpacing w:w="20" w:type="dxa"/>
        <w:tblInd w:w="-2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582"/>
        <w:gridCol w:w="1985"/>
        <w:gridCol w:w="949"/>
        <w:gridCol w:w="99"/>
        <w:gridCol w:w="1161"/>
        <w:gridCol w:w="1260"/>
        <w:gridCol w:w="1260"/>
        <w:gridCol w:w="1080"/>
      </w:tblGrid>
      <w:tr w:rsidR="00624B02" w:rsidRPr="00322BD0" w:rsidTr="00716BFF">
        <w:trPr>
          <w:trHeight w:val="186"/>
          <w:tblHeader/>
          <w:tblCellSpacing w:w="20" w:type="dxa"/>
        </w:trPr>
        <w:tc>
          <w:tcPr>
            <w:tcW w:w="522" w:type="dxa"/>
            <w:vMerge w:val="restart"/>
            <w:shd w:val="clear" w:color="auto" w:fill="D6E0F4"/>
            <w:vAlign w:val="center"/>
            <w:hideMark/>
          </w:tcPr>
          <w:p w:rsidR="00624B02" w:rsidRPr="00322BD0" w:rsidRDefault="00624B02" w:rsidP="00D67262">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No.</w:t>
            </w:r>
          </w:p>
        </w:tc>
        <w:tc>
          <w:tcPr>
            <w:tcW w:w="1945" w:type="dxa"/>
            <w:vMerge w:val="restart"/>
            <w:shd w:val="clear" w:color="auto" w:fill="D6E0F4"/>
            <w:noWrap/>
            <w:vAlign w:val="center"/>
            <w:hideMark/>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Indicator</w:t>
            </w:r>
          </w:p>
        </w:tc>
        <w:tc>
          <w:tcPr>
            <w:tcW w:w="4689" w:type="dxa"/>
            <w:gridSpan w:val="5"/>
            <w:shd w:val="clear" w:color="auto" w:fill="D6E0F4"/>
          </w:tcPr>
          <w:p w:rsidR="00624B02" w:rsidRPr="00322BD0" w:rsidRDefault="00624B02" w:rsidP="003D1D94">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Achieved at 31 December</w:t>
            </w:r>
          </w:p>
        </w:tc>
        <w:tc>
          <w:tcPr>
            <w:tcW w:w="1020" w:type="dxa"/>
            <w:vMerge w:val="restart"/>
            <w:shd w:val="clear" w:color="auto" w:fill="D6E0F4"/>
            <w:vAlign w:val="center"/>
            <w:hideMark/>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Dynamics (%)</w:t>
            </w:r>
          </w:p>
        </w:tc>
      </w:tr>
      <w:tr w:rsidR="00624B02" w:rsidRPr="00322BD0" w:rsidTr="00716BFF">
        <w:trPr>
          <w:trHeight w:val="209"/>
          <w:tblHeader/>
          <w:tblCellSpacing w:w="20" w:type="dxa"/>
        </w:trPr>
        <w:tc>
          <w:tcPr>
            <w:tcW w:w="522" w:type="dxa"/>
            <w:vMerge/>
            <w:shd w:val="clear" w:color="auto" w:fill="D6E0F4"/>
            <w:vAlign w:val="center"/>
            <w:hideMark/>
          </w:tcPr>
          <w:p w:rsidR="00624B02" w:rsidRPr="00322BD0" w:rsidRDefault="00624B02" w:rsidP="00A74D4E">
            <w:pPr>
              <w:spacing w:after="0" w:line="240" w:lineRule="auto"/>
              <w:ind w:firstLine="0"/>
              <w:rPr>
                <w:rFonts w:asciiTheme="majorHAnsi" w:eastAsia="Times New Roman" w:hAnsiTheme="majorHAnsi" w:cs="Arial"/>
                <w:b/>
                <w:bCs/>
                <w:sz w:val="18"/>
                <w:szCs w:val="18"/>
                <w:lang w:val="en-GB" w:eastAsia="ro-RO"/>
              </w:rPr>
            </w:pPr>
          </w:p>
        </w:tc>
        <w:tc>
          <w:tcPr>
            <w:tcW w:w="1945" w:type="dxa"/>
            <w:vMerge/>
            <w:shd w:val="clear" w:color="auto" w:fill="D6E0F4"/>
            <w:vAlign w:val="center"/>
            <w:hideMark/>
          </w:tcPr>
          <w:p w:rsidR="00624B02" w:rsidRPr="00322BD0" w:rsidRDefault="00624B02" w:rsidP="00A74D4E">
            <w:pPr>
              <w:spacing w:after="0" w:line="240" w:lineRule="auto"/>
              <w:ind w:firstLine="0"/>
              <w:rPr>
                <w:rFonts w:asciiTheme="majorHAnsi" w:eastAsia="Times New Roman" w:hAnsiTheme="majorHAnsi" w:cs="Arial"/>
                <w:b/>
                <w:bCs/>
                <w:sz w:val="18"/>
                <w:szCs w:val="18"/>
                <w:lang w:val="en-GB" w:eastAsia="ro-RO"/>
              </w:rPr>
            </w:pPr>
          </w:p>
        </w:tc>
        <w:tc>
          <w:tcPr>
            <w:tcW w:w="909" w:type="dxa"/>
            <w:shd w:val="clear" w:color="auto" w:fill="D6E0F4"/>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Pr>
                <w:rFonts w:asciiTheme="majorHAnsi" w:eastAsia="Times New Roman" w:hAnsiTheme="majorHAnsi" w:cs="Arial"/>
                <w:b/>
                <w:bCs/>
                <w:sz w:val="18"/>
                <w:szCs w:val="18"/>
                <w:lang w:val="en-GB" w:eastAsia="ro-RO"/>
              </w:rPr>
              <w:t>2016</w:t>
            </w:r>
          </w:p>
        </w:tc>
        <w:tc>
          <w:tcPr>
            <w:tcW w:w="1220" w:type="dxa"/>
            <w:gridSpan w:val="2"/>
            <w:shd w:val="clear" w:color="auto" w:fill="D6E0F4"/>
            <w:vAlign w:val="center"/>
            <w:hideMark/>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Pr>
                <w:rFonts w:asciiTheme="majorHAnsi" w:eastAsia="Times New Roman" w:hAnsiTheme="majorHAnsi" w:cs="Arial"/>
                <w:b/>
                <w:bCs/>
                <w:sz w:val="18"/>
                <w:szCs w:val="18"/>
                <w:lang w:val="en-GB" w:eastAsia="ro-RO"/>
              </w:rPr>
              <w:t>2015</w:t>
            </w:r>
          </w:p>
        </w:tc>
        <w:tc>
          <w:tcPr>
            <w:tcW w:w="1220" w:type="dxa"/>
            <w:shd w:val="clear" w:color="auto" w:fill="D6E0F4"/>
            <w:vAlign w:val="center"/>
            <w:hideMark/>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2014</w:t>
            </w:r>
          </w:p>
        </w:tc>
        <w:tc>
          <w:tcPr>
            <w:tcW w:w="1220" w:type="dxa"/>
            <w:shd w:val="clear" w:color="auto" w:fill="D6E0F4"/>
            <w:vAlign w:val="center"/>
            <w:hideMark/>
          </w:tcPr>
          <w:p w:rsidR="00624B02" w:rsidRPr="00322BD0" w:rsidRDefault="00624B02" w:rsidP="00A74D4E">
            <w:pPr>
              <w:spacing w:after="0" w:line="240" w:lineRule="auto"/>
              <w:ind w:firstLine="0"/>
              <w:jc w:val="center"/>
              <w:rPr>
                <w:rFonts w:asciiTheme="majorHAnsi" w:eastAsia="Times New Roman" w:hAnsiTheme="majorHAnsi" w:cs="Arial"/>
                <w:b/>
                <w:bCs/>
                <w:sz w:val="18"/>
                <w:szCs w:val="18"/>
                <w:lang w:val="en-GB" w:eastAsia="ro-RO"/>
              </w:rPr>
            </w:pPr>
            <w:r>
              <w:rPr>
                <w:rFonts w:asciiTheme="majorHAnsi" w:eastAsia="Times New Roman" w:hAnsiTheme="majorHAnsi" w:cs="Arial"/>
                <w:b/>
                <w:bCs/>
                <w:sz w:val="18"/>
                <w:szCs w:val="18"/>
                <w:lang w:val="en-GB" w:eastAsia="ro-RO"/>
              </w:rPr>
              <w:t>2013</w:t>
            </w:r>
          </w:p>
        </w:tc>
        <w:tc>
          <w:tcPr>
            <w:tcW w:w="1020" w:type="dxa"/>
            <w:vMerge/>
            <w:shd w:val="clear" w:color="auto" w:fill="D6E0F4"/>
            <w:vAlign w:val="center"/>
            <w:hideMark/>
          </w:tcPr>
          <w:p w:rsidR="00624B02" w:rsidRPr="00322BD0" w:rsidRDefault="00624B02" w:rsidP="00A74D4E">
            <w:pPr>
              <w:spacing w:after="0" w:line="240" w:lineRule="auto"/>
              <w:ind w:firstLine="0"/>
              <w:rPr>
                <w:rFonts w:asciiTheme="majorHAnsi" w:eastAsia="Times New Roman" w:hAnsiTheme="majorHAnsi" w:cs="Arial"/>
                <w:b/>
                <w:bCs/>
                <w:sz w:val="18"/>
                <w:szCs w:val="18"/>
                <w:lang w:val="en-GB" w:eastAsia="ro-RO"/>
              </w:rPr>
            </w:pPr>
          </w:p>
        </w:tc>
      </w:tr>
      <w:tr w:rsidR="00716BFF" w:rsidRPr="00322BD0" w:rsidTr="00716BFF">
        <w:trPr>
          <w:trHeight w:val="248"/>
          <w:tblHeader/>
          <w:tblCellSpacing w:w="20" w:type="dxa"/>
        </w:trPr>
        <w:tc>
          <w:tcPr>
            <w:tcW w:w="522" w:type="dxa"/>
            <w:vMerge/>
            <w:shd w:val="clear" w:color="auto" w:fill="D6E0F4"/>
            <w:vAlign w:val="center"/>
            <w:hideMark/>
          </w:tcPr>
          <w:p w:rsidR="00716BFF" w:rsidRPr="00322BD0" w:rsidRDefault="00716BFF" w:rsidP="00CE200A">
            <w:pPr>
              <w:spacing w:after="0" w:line="240" w:lineRule="auto"/>
              <w:ind w:firstLine="0"/>
              <w:rPr>
                <w:rFonts w:asciiTheme="majorHAnsi" w:eastAsia="Times New Roman" w:hAnsiTheme="majorHAnsi" w:cs="Arial"/>
                <w:b/>
                <w:bCs/>
                <w:sz w:val="18"/>
                <w:szCs w:val="18"/>
                <w:lang w:val="en-GB" w:eastAsia="ro-RO"/>
              </w:rPr>
            </w:pPr>
          </w:p>
        </w:tc>
        <w:tc>
          <w:tcPr>
            <w:tcW w:w="1945" w:type="dxa"/>
            <w:shd w:val="clear" w:color="auto" w:fill="D6E0F4"/>
            <w:noWrap/>
            <w:vAlign w:val="center"/>
            <w:hideMark/>
          </w:tcPr>
          <w:p w:rsidR="00716BFF" w:rsidRPr="007D01EE" w:rsidRDefault="00716BFF" w:rsidP="00CE200A">
            <w:pPr>
              <w:spacing w:after="0" w:line="240" w:lineRule="auto"/>
              <w:ind w:firstLine="0"/>
              <w:jc w:val="center"/>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0</w:t>
            </w:r>
          </w:p>
        </w:tc>
        <w:tc>
          <w:tcPr>
            <w:tcW w:w="909" w:type="dxa"/>
            <w:shd w:val="clear" w:color="auto" w:fill="D6E0F4"/>
          </w:tcPr>
          <w:p w:rsidR="00716BFF" w:rsidRPr="007D01EE" w:rsidRDefault="00716BFF" w:rsidP="00CE200A">
            <w:pPr>
              <w:spacing w:after="0" w:line="240" w:lineRule="auto"/>
              <w:ind w:firstLine="0"/>
              <w:jc w:val="center"/>
              <w:rPr>
                <w:rFonts w:asciiTheme="majorHAnsi" w:eastAsia="Times New Roman" w:hAnsiTheme="majorHAnsi" w:cs="Arial"/>
                <w:sz w:val="18"/>
                <w:szCs w:val="18"/>
                <w:lang w:eastAsia="ro-RO"/>
              </w:rPr>
            </w:pPr>
            <w:r>
              <w:rPr>
                <w:rFonts w:asciiTheme="majorHAnsi" w:eastAsia="Times New Roman" w:hAnsiTheme="majorHAnsi" w:cs="Arial"/>
                <w:sz w:val="18"/>
                <w:szCs w:val="18"/>
                <w:lang w:eastAsia="ro-RO"/>
              </w:rPr>
              <w:t>1</w:t>
            </w:r>
          </w:p>
        </w:tc>
        <w:tc>
          <w:tcPr>
            <w:tcW w:w="1220" w:type="dxa"/>
            <w:gridSpan w:val="2"/>
            <w:shd w:val="clear" w:color="auto" w:fill="D6E0F4"/>
            <w:vAlign w:val="center"/>
            <w:hideMark/>
          </w:tcPr>
          <w:p w:rsidR="00716BFF" w:rsidRPr="007D01EE" w:rsidRDefault="00716BFF" w:rsidP="00CE200A">
            <w:pPr>
              <w:spacing w:after="0" w:line="240" w:lineRule="auto"/>
              <w:ind w:firstLine="0"/>
              <w:jc w:val="center"/>
              <w:rPr>
                <w:rFonts w:asciiTheme="majorHAnsi" w:eastAsia="Times New Roman" w:hAnsiTheme="majorHAnsi" w:cs="Arial"/>
                <w:sz w:val="18"/>
                <w:szCs w:val="18"/>
                <w:lang w:eastAsia="ro-RO"/>
              </w:rPr>
            </w:pPr>
            <w:r>
              <w:rPr>
                <w:rFonts w:asciiTheme="majorHAnsi" w:eastAsia="Times New Roman" w:hAnsiTheme="majorHAnsi" w:cs="Arial"/>
                <w:sz w:val="18"/>
                <w:szCs w:val="18"/>
                <w:lang w:eastAsia="ro-RO"/>
              </w:rPr>
              <w:t>2</w:t>
            </w:r>
          </w:p>
        </w:tc>
        <w:tc>
          <w:tcPr>
            <w:tcW w:w="1220" w:type="dxa"/>
            <w:shd w:val="clear" w:color="auto" w:fill="D6E0F4"/>
            <w:vAlign w:val="center"/>
            <w:hideMark/>
          </w:tcPr>
          <w:p w:rsidR="00716BFF" w:rsidRPr="007D01EE" w:rsidRDefault="00716BFF" w:rsidP="00CE200A">
            <w:pPr>
              <w:spacing w:after="0" w:line="240" w:lineRule="auto"/>
              <w:ind w:firstLine="0"/>
              <w:jc w:val="center"/>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3</w:t>
            </w:r>
          </w:p>
        </w:tc>
        <w:tc>
          <w:tcPr>
            <w:tcW w:w="1220" w:type="dxa"/>
            <w:shd w:val="clear" w:color="auto" w:fill="D6E0F4"/>
            <w:vAlign w:val="center"/>
            <w:hideMark/>
          </w:tcPr>
          <w:p w:rsidR="00716BFF" w:rsidRPr="007D01EE" w:rsidRDefault="00716BFF" w:rsidP="00CE200A">
            <w:pPr>
              <w:spacing w:after="0" w:line="240" w:lineRule="auto"/>
              <w:ind w:firstLine="0"/>
              <w:jc w:val="center"/>
              <w:rPr>
                <w:rFonts w:asciiTheme="majorHAnsi" w:eastAsia="Times New Roman" w:hAnsiTheme="majorHAnsi" w:cs="Arial"/>
                <w:sz w:val="18"/>
                <w:szCs w:val="18"/>
                <w:lang w:eastAsia="ro-RO"/>
              </w:rPr>
            </w:pPr>
            <w:r>
              <w:rPr>
                <w:rFonts w:asciiTheme="majorHAnsi" w:eastAsia="Times New Roman" w:hAnsiTheme="majorHAnsi" w:cs="Arial"/>
                <w:sz w:val="18"/>
                <w:szCs w:val="18"/>
                <w:lang w:eastAsia="ro-RO"/>
              </w:rPr>
              <w:t>4</w:t>
            </w:r>
          </w:p>
        </w:tc>
        <w:tc>
          <w:tcPr>
            <w:tcW w:w="1020" w:type="dxa"/>
            <w:shd w:val="clear" w:color="auto" w:fill="D6E0F4"/>
            <w:vAlign w:val="center"/>
            <w:hideMark/>
          </w:tcPr>
          <w:p w:rsidR="00716BFF" w:rsidRPr="00133F5D" w:rsidRDefault="00716BFF" w:rsidP="00CE200A">
            <w:pPr>
              <w:spacing w:after="0" w:line="240" w:lineRule="auto"/>
              <w:ind w:firstLine="0"/>
              <w:jc w:val="center"/>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5=1/2*100</w:t>
            </w:r>
          </w:p>
        </w:tc>
      </w:tr>
      <w:tr w:rsidR="00716BFF" w:rsidRPr="00322BD0" w:rsidTr="00716BFF">
        <w:trPr>
          <w:trHeight w:val="122"/>
          <w:tblCellSpacing w:w="20" w:type="dxa"/>
        </w:trPr>
        <w:tc>
          <w:tcPr>
            <w:tcW w:w="522" w:type="dxa"/>
            <w:shd w:val="clear" w:color="auto" w:fill="auto"/>
            <w:noWrap/>
            <w:vAlign w:val="center"/>
            <w:hideMark/>
          </w:tcPr>
          <w:p w:rsidR="00716BFF" w:rsidRPr="00322BD0" w:rsidRDefault="00716BFF" w:rsidP="00CE200A">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w:t>
            </w:r>
          </w:p>
        </w:tc>
        <w:tc>
          <w:tcPr>
            <w:tcW w:w="1945" w:type="dxa"/>
            <w:shd w:val="clear" w:color="auto" w:fill="auto"/>
            <w:noWrap/>
            <w:vAlign w:val="center"/>
            <w:hideMark/>
          </w:tcPr>
          <w:p w:rsidR="00716BFF" w:rsidRPr="00322BD0" w:rsidRDefault="00716BFF"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008" w:type="dxa"/>
            <w:gridSpan w:val="2"/>
            <w:vAlign w:val="center"/>
          </w:tcPr>
          <w:p w:rsidR="00716BFF" w:rsidRPr="00133F5D" w:rsidRDefault="00716BFF"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1.750.203</w:t>
            </w:r>
          </w:p>
        </w:tc>
        <w:tc>
          <w:tcPr>
            <w:tcW w:w="1121" w:type="dxa"/>
            <w:shd w:val="clear" w:color="auto" w:fill="auto"/>
            <w:vAlign w:val="center"/>
            <w:hideMark/>
          </w:tcPr>
          <w:p w:rsidR="00716BFF" w:rsidRPr="007D01EE" w:rsidRDefault="00716BFF"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1.581.470</w:t>
            </w:r>
          </w:p>
        </w:tc>
        <w:tc>
          <w:tcPr>
            <w:tcW w:w="1220" w:type="dxa"/>
            <w:shd w:val="clear" w:color="auto" w:fill="auto"/>
            <w:vAlign w:val="center"/>
            <w:hideMark/>
          </w:tcPr>
          <w:p w:rsidR="00716BFF" w:rsidRPr="007D01EE" w:rsidRDefault="00716BFF"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1.618.089</w:t>
            </w:r>
          </w:p>
        </w:tc>
        <w:tc>
          <w:tcPr>
            <w:tcW w:w="1220" w:type="dxa"/>
            <w:shd w:val="clear" w:color="auto" w:fill="auto"/>
            <w:vAlign w:val="center"/>
            <w:hideMark/>
          </w:tcPr>
          <w:p w:rsidR="00716BFF" w:rsidRPr="007D01EE" w:rsidRDefault="00716BFF"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1.484.714</w:t>
            </w:r>
          </w:p>
        </w:tc>
        <w:tc>
          <w:tcPr>
            <w:tcW w:w="1020" w:type="dxa"/>
            <w:shd w:val="clear" w:color="auto" w:fill="auto"/>
            <w:noWrap/>
            <w:vAlign w:val="center"/>
            <w:hideMark/>
          </w:tcPr>
          <w:p w:rsidR="00716BFF" w:rsidRPr="00133F5D" w:rsidRDefault="00716BFF"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110,67</w:t>
            </w:r>
          </w:p>
        </w:tc>
      </w:tr>
      <w:tr w:rsidR="00B8626F" w:rsidRPr="00322BD0" w:rsidTr="00716BFF">
        <w:trPr>
          <w:trHeight w:val="126"/>
          <w:tblCellSpacing w:w="20" w:type="dxa"/>
        </w:trPr>
        <w:tc>
          <w:tcPr>
            <w:tcW w:w="522" w:type="dxa"/>
            <w:shd w:val="clear" w:color="auto" w:fill="auto"/>
            <w:noWrap/>
            <w:vAlign w:val="center"/>
          </w:tcPr>
          <w:p w:rsidR="00B8626F" w:rsidRPr="00322BD0" w:rsidRDefault="00B8626F" w:rsidP="00B8626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w:t>
            </w:r>
          </w:p>
        </w:tc>
        <w:tc>
          <w:tcPr>
            <w:tcW w:w="1945" w:type="dxa"/>
            <w:shd w:val="clear" w:color="auto" w:fill="auto"/>
            <w:noWrap/>
            <w:vAlign w:val="center"/>
          </w:tcPr>
          <w:p w:rsidR="00B8626F" w:rsidRPr="00322BD0" w:rsidRDefault="00E82AC7" w:rsidP="00B8626F">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 xml:space="preserve">Operating revenue before </w:t>
            </w:r>
            <w:r w:rsidR="00B8626F" w:rsidRPr="00322BD0">
              <w:rPr>
                <w:rFonts w:asciiTheme="majorHAnsi" w:eastAsia="Times New Roman" w:hAnsiTheme="majorHAnsi" w:cs="Arial"/>
                <w:sz w:val="18"/>
                <w:szCs w:val="18"/>
                <w:lang w:val="en-GB" w:eastAsia="ro-RO"/>
              </w:rPr>
              <w:t xml:space="preserve"> </w:t>
            </w:r>
            <w:r w:rsidR="00B8626F">
              <w:rPr>
                <w:rFonts w:asciiTheme="majorHAnsi" w:eastAsia="Times New Roman" w:hAnsiTheme="majorHAnsi" w:cs="Arial"/>
                <w:sz w:val="18"/>
                <w:szCs w:val="18"/>
                <w:lang w:val="en-GB" w:eastAsia="ro-RO"/>
              </w:rPr>
              <w:t>balancing and</w:t>
            </w:r>
            <w:r>
              <w:rPr>
                <w:rFonts w:asciiTheme="majorHAnsi" w:eastAsia="Times New Roman" w:hAnsiTheme="majorHAnsi" w:cs="Arial"/>
                <w:sz w:val="18"/>
                <w:szCs w:val="18"/>
                <w:lang w:val="en-GB" w:eastAsia="ro-RO"/>
              </w:rPr>
              <w:t xml:space="preserve"> the </w:t>
            </w:r>
            <w:r w:rsidR="00B8626F">
              <w:rPr>
                <w:rFonts w:asciiTheme="majorHAnsi" w:eastAsia="Times New Roman" w:hAnsiTheme="majorHAnsi" w:cs="Arial"/>
                <w:sz w:val="18"/>
                <w:szCs w:val="18"/>
                <w:lang w:val="en-GB" w:eastAsia="ro-RO"/>
              </w:rPr>
              <w:t xml:space="preserve"> </w:t>
            </w:r>
            <w:r w:rsidR="00B8626F" w:rsidRPr="00322BD0">
              <w:rPr>
                <w:rFonts w:asciiTheme="majorHAnsi" w:eastAsia="Times New Roman" w:hAnsiTheme="majorHAnsi" w:cs="Arial"/>
                <w:sz w:val="18"/>
                <w:szCs w:val="18"/>
                <w:lang w:val="en-GB" w:eastAsia="ro-RO"/>
              </w:rPr>
              <w:t>construction activity acc. to IFRIC12</w:t>
            </w:r>
          </w:p>
        </w:tc>
        <w:tc>
          <w:tcPr>
            <w:tcW w:w="1008" w:type="dxa"/>
            <w:gridSpan w:val="2"/>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1.815.385</w:t>
            </w:r>
          </w:p>
        </w:tc>
        <w:tc>
          <w:tcPr>
            <w:tcW w:w="1121"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1.663.398</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1.655.319</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1.516.640</w:t>
            </w:r>
          </w:p>
        </w:tc>
        <w:tc>
          <w:tcPr>
            <w:tcW w:w="1020" w:type="dxa"/>
            <w:shd w:val="clear" w:color="auto" w:fill="auto"/>
            <w:noWrap/>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109,14</w:t>
            </w:r>
          </w:p>
        </w:tc>
      </w:tr>
      <w:tr w:rsidR="00B8626F" w:rsidRPr="00322BD0" w:rsidTr="00716BFF">
        <w:trPr>
          <w:trHeight w:val="126"/>
          <w:tblCellSpacing w:w="20" w:type="dxa"/>
        </w:trPr>
        <w:tc>
          <w:tcPr>
            <w:tcW w:w="522" w:type="dxa"/>
            <w:shd w:val="clear" w:color="auto" w:fill="auto"/>
            <w:noWrap/>
            <w:vAlign w:val="center"/>
          </w:tcPr>
          <w:p w:rsidR="00B8626F" w:rsidRPr="00322BD0" w:rsidRDefault="00B8626F" w:rsidP="00B8626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w:t>
            </w:r>
          </w:p>
        </w:tc>
        <w:tc>
          <w:tcPr>
            <w:tcW w:w="1945" w:type="dxa"/>
            <w:shd w:val="clear" w:color="auto" w:fill="auto"/>
            <w:noWrap/>
            <w:vAlign w:val="center"/>
          </w:tcPr>
          <w:p w:rsidR="00B8626F" w:rsidRPr="00322BD0" w:rsidRDefault="00B8626F" w:rsidP="00B8626F">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 xml:space="preserve">Balancing activity revenue </w:t>
            </w:r>
          </w:p>
        </w:tc>
        <w:tc>
          <w:tcPr>
            <w:tcW w:w="1008" w:type="dxa"/>
            <w:gridSpan w:val="2"/>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57.404</w:t>
            </w:r>
          </w:p>
        </w:tc>
        <w:tc>
          <w:tcPr>
            <w:tcW w:w="1121"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020" w:type="dxa"/>
            <w:shd w:val="clear" w:color="auto" w:fill="auto"/>
            <w:noWrap/>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r>
      <w:tr w:rsidR="00F803F6" w:rsidRPr="00322BD0" w:rsidTr="00716BFF">
        <w:trPr>
          <w:trHeight w:val="126"/>
          <w:tblCellSpacing w:w="20" w:type="dxa"/>
        </w:trPr>
        <w:tc>
          <w:tcPr>
            <w:tcW w:w="522" w:type="dxa"/>
            <w:shd w:val="clear" w:color="auto" w:fill="auto"/>
            <w:noWrap/>
            <w:vAlign w:val="center"/>
          </w:tcPr>
          <w:p w:rsidR="00F803F6" w:rsidRPr="00322BD0" w:rsidRDefault="00F803F6"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lastRenderedPageBreak/>
              <w:t>4</w:t>
            </w:r>
          </w:p>
        </w:tc>
        <w:tc>
          <w:tcPr>
            <w:tcW w:w="1945" w:type="dxa"/>
            <w:shd w:val="clear" w:color="auto" w:fill="auto"/>
            <w:noWrap/>
            <w:vAlign w:val="center"/>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Revenue from the construction activity acc. to IFRIC12</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118.504</w:t>
            </w:r>
          </w:p>
        </w:tc>
        <w:tc>
          <w:tcPr>
            <w:tcW w:w="1121"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211.125</w:t>
            </w:r>
          </w:p>
        </w:tc>
        <w:tc>
          <w:tcPr>
            <w:tcW w:w="1220"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136.635</w:t>
            </w:r>
          </w:p>
        </w:tc>
        <w:tc>
          <w:tcPr>
            <w:tcW w:w="1220"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161.741</w:t>
            </w:r>
          </w:p>
        </w:tc>
        <w:tc>
          <w:tcPr>
            <w:tcW w:w="1020" w:type="dxa"/>
            <w:shd w:val="clear" w:color="auto" w:fill="auto"/>
            <w:noWrap/>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56,13</w:t>
            </w:r>
          </w:p>
        </w:tc>
      </w:tr>
      <w:tr w:rsidR="00F803F6" w:rsidRPr="00322BD0" w:rsidTr="00716BFF">
        <w:trPr>
          <w:trHeight w:val="126"/>
          <w:tblCellSpacing w:w="20" w:type="dxa"/>
        </w:trPr>
        <w:tc>
          <w:tcPr>
            <w:tcW w:w="522" w:type="dxa"/>
            <w:shd w:val="clear" w:color="auto" w:fill="auto"/>
            <w:noWrap/>
            <w:vAlign w:val="center"/>
          </w:tcPr>
          <w:p w:rsidR="00F803F6" w:rsidRPr="00322BD0" w:rsidRDefault="00F803F6"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5</w:t>
            </w:r>
          </w:p>
        </w:tc>
        <w:tc>
          <w:tcPr>
            <w:tcW w:w="1945" w:type="dxa"/>
            <w:shd w:val="clear" w:color="auto" w:fill="auto"/>
            <w:noWrap/>
            <w:vAlign w:val="center"/>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Financial income</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32.231</w:t>
            </w:r>
          </w:p>
        </w:tc>
        <w:tc>
          <w:tcPr>
            <w:tcW w:w="1121"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43.237</w:t>
            </w:r>
          </w:p>
        </w:tc>
        <w:tc>
          <w:tcPr>
            <w:tcW w:w="1220"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33.375</w:t>
            </w:r>
          </w:p>
        </w:tc>
        <w:tc>
          <w:tcPr>
            <w:tcW w:w="1220" w:type="dxa"/>
            <w:shd w:val="clear" w:color="auto" w:fill="auto"/>
            <w:vAlign w:val="center"/>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40.721</w:t>
            </w:r>
          </w:p>
        </w:tc>
        <w:tc>
          <w:tcPr>
            <w:tcW w:w="1020" w:type="dxa"/>
            <w:shd w:val="clear" w:color="auto" w:fill="auto"/>
            <w:noWrap/>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74,54</w:t>
            </w:r>
          </w:p>
        </w:tc>
      </w:tr>
      <w:tr w:rsidR="00B8626F" w:rsidRPr="00322BD0" w:rsidTr="00716BFF">
        <w:trPr>
          <w:trHeight w:val="126"/>
          <w:tblCellSpacing w:w="20" w:type="dxa"/>
        </w:trPr>
        <w:tc>
          <w:tcPr>
            <w:tcW w:w="522" w:type="dxa"/>
            <w:shd w:val="clear" w:color="auto" w:fill="auto"/>
            <w:noWrap/>
            <w:vAlign w:val="center"/>
          </w:tcPr>
          <w:p w:rsidR="00B8626F" w:rsidRPr="00322BD0" w:rsidRDefault="00B8626F" w:rsidP="00B8626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6</w:t>
            </w:r>
          </w:p>
        </w:tc>
        <w:tc>
          <w:tcPr>
            <w:tcW w:w="1945" w:type="dxa"/>
            <w:shd w:val="clear" w:color="auto" w:fill="auto"/>
            <w:noWrap/>
            <w:vAlign w:val="center"/>
          </w:tcPr>
          <w:p w:rsidR="00B8626F" w:rsidRPr="00322BD0" w:rsidRDefault="00B8626F" w:rsidP="00E82AC7">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Operating revenue before </w:t>
            </w:r>
            <w:r>
              <w:rPr>
                <w:rFonts w:asciiTheme="majorHAnsi" w:eastAsia="Times New Roman" w:hAnsiTheme="majorHAnsi" w:cs="Arial"/>
                <w:sz w:val="18"/>
                <w:szCs w:val="18"/>
                <w:lang w:val="en-GB" w:eastAsia="ro-RO"/>
              </w:rPr>
              <w:t>balancing and</w:t>
            </w:r>
            <w:r w:rsidR="00E82AC7">
              <w:rPr>
                <w:rFonts w:asciiTheme="majorHAnsi" w:eastAsia="Times New Roman" w:hAnsiTheme="majorHAnsi" w:cs="Arial"/>
                <w:sz w:val="18"/>
                <w:szCs w:val="18"/>
                <w:lang w:val="en-GB" w:eastAsia="ro-RO"/>
              </w:rPr>
              <w:t xml:space="preserve"> the </w:t>
            </w:r>
            <w:r>
              <w:rPr>
                <w:rFonts w:asciiTheme="majorHAnsi" w:eastAsia="Times New Roman" w:hAnsiTheme="majorHAnsi" w:cs="Arial"/>
                <w:sz w:val="18"/>
                <w:szCs w:val="18"/>
                <w:lang w:val="en-GB" w:eastAsia="ro-RO"/>
              </w:rPr>
              <w:t xml:space="preserve"> </w:t>
            </w:r>
            <w:r w:rsidRPr="00322BD0">
              <w:rPr>
                <w:rFonts w:asciiTheme="majorHAnsi" w:eastAsia="Times New Roman" w:hAnsiTheme="majorHAnsi" w:cs="Arial"/>
                <w:sz w:val="18"/>
                <w:szCs w:val="18"/>
                <w:lang w:val="en-GB" w:eastAsia="ro-RO"/>
              </w:rPr>
              <w:t>construction activity acc. to IFRIC12</w:t>
            </w:r>
          </w:p>
        </w:tc>
        <w:tc>
          <w:tcPr>
            <w:tcW w:w="1008" w:type="dxa"/>
            <w:gridSpan w:val="2"/>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1.125.268</w:t>
            </w:r>
          </w:p>
        </w:tc>
        <w:tc>
          <w:tcPr>
            <w:tcW w:w="1121"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1.077.219</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1.063.751</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981.647</w:t>
            </w:r>
          </w:p>
        </w:tc>
        <w:tc>
          <w:tcPr>
            <w:tcW w:w="1020" w:type="dxa"/>
            <w:shd w:val="clear" w:color="auto" w:fill="auto"/>
            <w:noWrap/>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104,46</w:t>
            </w:r>
          </w:p>
        </w:tc>
      </w:tr>
      <w:tr w:rsidR="00B8626F" w:rsidRPr="00322BD0" w:rsidTr="00F803F6">
        <w:trPr>
          <w:trHeight w:val="126"/>
          <w:tblCellSpacing w:w="20" w:type="dxa"/>
        </w:trPr>
        <w:tc>
          <w:tcPr>
            <w:tcW w:w="522" w:type="dxa"/>
            <w:shd w:val="clear" w:color="auto" w:fill="auto"/>
            <w:noWrap/>
            <w:vAlign w:val="center"/>
          </w:tcPr>
          <w:p w:rsidR="00B8626F" w:rsidRPr="00322BD0" w:rsidRDefault="00B8626F" w:rsidP="00B8626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7</w:t>
            </w:r>
          </w:p>
        </w:tc>
        <w:tc>
          <w:tcPr>
            <w:tcW w:w="1945" w:type="dxa"/>
            <w:shd w:val="clear" w:color="auto" w:fill="auto"/>
            <w:noWrap/>
            <w:vAlign w:val="center"/>
          </w:tcPr>
          <w:p w:rsidR="00B8626F" w:rsidRPr="00322BD0" w:rsidRDefault="00BF70ED" w:rsidP="00B8626F">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Expenses</w:t>
            </w:r>
            <w:r w:rsidR="00B8626F">
              <w:rPr>
                <w:rFonts w:asciiTheme="majorHAnsi" w:eastAsia="Times New Roman" w:hAnsiTheme="majorHAnsi" w:cs="Arial"/>
                <w:sz w:val="18"/>
                <w:szCs w:val="18"/>
                <w:lang w:val="en-GB" w:eastAsia="ro-RO"/>
              </w:rPr>
              <w:t xml:space="preserve"> with balancing gas</w:t>
            </w:r>
          </w:p>
        </w:tc>
        <w:tc>
          <w:tcPr>
            <w:tcW w:w="1008" w:type="dxa"/>
            <w:gridSpan w:val="2"/>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56.093</w:t>
            </w:r>
          </w:p>
        </w:tc>
        <w:tc>
          <w:tcPr>
            <w:tcW w:w="1121"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220" w:type="dxa"/>
            <w:shd w:val="clear" w:color="auto" w:fill="auto"/>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c>
          <w:tcPr>
            <w:tcW w:w="1020" w:type="dxa"/>
            <w:shd w:val="clear" w:color="auto" w:fill="auto"/>
            <w:noWrap/>
            <w:vAlign w:val="center"/>
          </w:tcPr>
          <w:p w:rsidR="00B8626F" w:rsidRPr="007D6B1F" w:rsidRDefault="00B8626F" w:rsidP="00B8626F">
            <w:pPr>
              <w:spacing w:after="0" w:line="240" w:lineRule="auto"/>
              <w:ind w:firstLine="0"/>
              <w:jc w:val="right"/>
              <w:rPr>
                <w:rFonts w:asciiTheme="majorHAnsi" w:eastAsia="Times New Roman" w:hAnsiTheme="majorHAnsi" w:cs="Arial"/>
                <w:sz w:val="16"/>
                <w:szCs w:val="16"/>
                <w:lang w:eastAsia="ro-RO"/>
              </w:rPr>
            </w:pPr>
            <w:r w:rsidRPr="007D6B1F">
              <w:rPr>
                <w:rFonts w:asciiTheme="majorHAnsi" w:eastAsia="Times New Roman" w:hAnsiTheme="majorHAnsi" w:cs="Arial"/>
                <w:sz w:val="16"/>
                <w:szCs w:val="16"/>
                <w:lang w:eastAsia="ro-RO"/>
              </w:rPr>
              <w:t>x</w:t>
            </w:r>
          </w:p>
        </w:tc>
      </w:tr>
      <w:tr w:rsidR="00F803F6" w:rsidRPr="00322BD0" w:rsidTr="00F803F6">
        <w:trPr>
          <w:trHeight w:val="126"/>
          <w:tblCellSpacing w:w="20" w:type="dxa"/>
        </w:trPr>
        <w:tc>
          <w:tcPr>
            <w:tcW w:w="522" w:type="dxa"/>
            <w:shd w:val="clear" w:color="auto" w:fill="auto"/>
            <w:noWrap/>
            <w:vAlign w:val="center"/>
          </w:tcPr>
          <w:p w:rsidR="00F803F6" w:rsidRPr="00322BD0" w:rsidRDefault="00F803F6"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8</w:t>
            </w:r>
          </w:p>
        </w:tc>
        <w:tc>
          <w:tcPr>
            <w:tcW w:w="1945" w:type="dxa"/>
            <w:shd w:val="clear" w:color="auto" w:fill="auto"/>
            <w:noWrap/>
            <w:vAlign w:val="center"/>
            <w:hideMark/>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Cost of assets built acc. to IFRIC12</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118.504</w:t>
            </w:r>
          </w:p>
        </w:tc>
        <w:tc>
          <w:tcPr>
            <w:tcW w:w="1121"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211.125</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136.635</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161.741</w:t>
            </w:r>
          </w:p>
        </w:tc>
        <w:tc>
          <w:tcPr>
            <w:tcW w:w="1020" w:type="dxa"/>
            <w:shd w:val="clear" w:color="auto" w:fill="auto"/>
            <w:noWrap/>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56,13</w:t>
            </w:r>
          </w:p>
        </w:tc>
      </w:tr>
      <w:tr w:rsidR="00F803F6" w:rsidRPr="00322BD0" w:rsidTr="00F803F6">
        <w:trPr>
          <w:trHeight w:val="130"/>
          <w:tblCellSpacing w:w="20" w:type="dxa"/>
        </w:trPr>
        <w:tc>
          <w:tcPr>
            <w:tcW w:w="522" w:type="dxa"/>
            <w:shd w:val="clear" w:color="auto" w:fill="auto"/>
            <w:noWrap/>
            <w:vAlign w:val="center"/>
          </w:tcPr>
          <w:p w:rsidR="00F803F6" w:rsidRPr="00322BD0" w:rsidRDefault="00F803F6"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9</w:t>
            </w:r>
          </w:p>
        </w:tc>
        <w:tc>
          <w:tcPr>
            <w:tcW w:w="1945" w:type="dxa"/>
            <w:shd w:val="clear" w:color="auto" w:fill="auto"/>
            <w:noWrap/>
            <w:vAlign w:val="center"/>
            <w:hideMark/>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Financial expenses</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9.683</w:t>
            </w:r>
          </w:p>
        </w:tc>
        <w:tc>
          <w:tcPr>
            <w:tcW w:w="1121"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22.315</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14.356</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148.957</w:t>
            </w:r>
          </w:p>
        </w:tc>
        <w:tc>
          <w:tcPr>
            <w:tcW w:w="1020" w:type="dxa"/>
            <w:shd w:val="clear" w:color="auto" w:fill="auto"/>
            <w:noWrap/>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43,39</w:t>
            </w:r>
          </w:p>
        </w:tc>
      </w:tr>
      <w:tr w:rsidR="00FC0A83" w:rsidRPr="00322BD0" w:rsidTr="00F803F6">
        <w:trPr>
          <w:trHeight w:val="134"/>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10</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Gross profit</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713.975</w:t>
            </w:r>
          </w:p>
        </w:tc>
        <w:tc>
          <w:tcPr>
            <w:tcW w:w="1121"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607.101</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610.587</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426.758</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117,97</w:t>
            </w:r>
          </w:p>
        </w:tc>
      </w:tr>
      <w:tr w:rsidR="00FC0A83" w:rsidRPr="00322BD0" w:rsidTr="00F803F6">
        <w:trPr>
          <w:trHeight w:val="124"/>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11</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Tax on profit</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125.079</w:t>
            </w:r>
          </w:p>
        </w:tc>
        <w:tc>
          <w:tcPr>
            <w:tcW w:w="1121"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120.772</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115.377</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99.954</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103,57</w:t>
            </w:r>
          </w:p>
        </w:tc>
      </w:tr>
      <w:tr w:rsidR="00FC0A83" w:rsidRPr="00322BD0" w:rsidTr="00FC0A83">
        <w:trPr>
          <w:trHeight w:val="426"/>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12</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Revenue from deferred tax on profit</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5.669</w:t>
            </w:r>
          </w:p>
        </w:tc>
        <w:tc>
          <w:tcPr>
            <w:tcW w:w="1121"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2.350</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7.306</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4.604</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241,23</w:t>
            </w:r>
          </w:p>
        </w:tc>
      </w:tr>
      <w:tr w:rsidR="00FC0A83" w:rsidRPr="00322BD0" w:rsidTr="00FC0A83">
        <w:trPr>
          <w:trHeight w:val="206"/>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13</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Net profit</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594.565</w:t>
            </w:r>
          </w:p>
        </w:tc>
        <w:tc>
          <w:tcPr>
            <w:tcW w:w="1121"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488.729</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502.516</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331.408</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121,66</w:t>
            </w:r>
          </w:p>
        </w:tc>
      </w:tr>
      <w:tr w:rsidR="00FC0A83" w:rsidRPr="00322BD0" w:rsidTr="00FC0A83">
        <w:trPr>
          <w:trHeight w:val="255"/>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14</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Total comprehensive revenue of the period</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593.539</w:t>
            </w:r>
          </w:p>
        </w:tc>
        <w:tc>
          <w:tcPr>
            <w:tcW w:w="1121"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498.940</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486.385</w:t>
            </w:r>
          </w:p>
        </w:tc>
        <w:tc>
          <w:tcPr>
            <w:tcW w:w="1220"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335.240</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118,96</w:t>
            </w:r>
          </w:p>
        </w:tc>
      </w:tr>
      <w:tr w:rsidR="00FC0A83" w:rsidRPr="00322BD0" w:rsidTr="00FC0A83">
        <w:trPr>
          <w:trHeight w:val="146"/>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15</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Gas transmitted</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12.074.677</w:t>
            </w:r>
          </w:p>
        </w:tc>
        <w:tc>
          <w:tcPr>
            <w:tcW w:w="1121"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12.294.693</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11.883.713</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11.258.941</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98,21</w:t>
            </w:r>
          </w:p>
        </w:tc>
      </w:tr>
      <w:tr w:rsidR="00FC0A83" w:rsidRPr="00322BD0" w:rsidTr="00FC0A83">
        <w:trPr>
          <w:trHeight w:val="255"/>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16</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Investment costs</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140.179</w:t>
            </w:r>
          </w:p>
        </w:tc>
        <w:tc>
          <w:tcPr>
            <w:tcW w:w="1121" w:type="dxa"/>
            <w:shd w:val="clear" w:color="auto" w:fill="auto"/>
            <w:noWrap/>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239.554</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151.776</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203.763</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58,52</w:t>
            </w:r>
          </w:p>
        </w:tc>
      </w:tr>
      <w:tr w:rsidR="00FC0A83" w:rsidRPr="00322BD0" w:rsidTr="00FC0A83">
        <w:trPr>
          <w:trHeight w:val="255"/>
          <w:tblCellSpacing w:w="20" w:type="dxa"/>
        </w:trPr>
        <w:tc>
          <w:tcPr>
            <w:tcW w:w="522" w:type="dxa"/>
            <w:shd w:val="clear" w:color="auto" w:fill="auto"/>
            <w:noWrap/>
            <w:vAlign w:val="center"/>
          </w:tcPr>
          <w:p w:rsidR="00FC0A83" w:rsidRPr="00322BD0" w:rsidRDefault="00FC0A83" w:rsidP="00506197">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17</w:t>
            </w:r>
          </w:p>
        </w:tc>
        <w:tc>
          <w:tcPr>
            <w:tcW w:w="1945" w:type="dxa"/>
            <w:shd w:val="clear" w:color="auto" w:fill="auto"/>
            <w:noWrap/>
            <w:vAlign w:val="center"/>
            <w:hideMark/>
          </w:tcPr>
          <w:p w:rsidR="00FC0A83" w:rsidRPr="00322BD0" w:rsidRDefault="00FC0A83"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Rehabilitation costs</w:t>
            </w:r>
          </w:p>
        </w:tc>
        <w:tc>
          <w:tcPr>
            <w:tcW w:w="1008" w:type="dxa"/>
            <w:gridSpan w:val="2"/>
            <w:vAlign w:val="center"/>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16.547</w:t>
            </w:r>
          </w:p>
        </w:tc>
        <w:tc>
          <w:tcPr>
            <w:tcW w:w="1121"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20.020</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51.752</w:t>
            </w:r>
          </w:p>
        </w:tc>
        <w:tc>
          <w:tcPr>
            <w:tcW w:w="1220" w:type="dxa"/>
            <w:shd w:val="clear" w:color="auto" w:fill="auto"/>
            <w:vAlign w:val="center"/>
            <w:hideMark/>
          </w:tcPr>
          <w:p w:rsidR="00FC0A83" w:rsidRPr="007D01EE" w:rsidRDefault="00FC0A83"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61.176</w:t>
            </w:r>
          </w:p>
        </w:tc>
        <w:tc>
          <w:tcPr>
            <w:tcW w:w="1020" w:type="dxa"/>
            <w:shd w:val="clear" w:color="auto" w:fill="auto"/>
            <w:noWrap/>
            <w:vAlign w:val="center"/>
            <w:hideMark/>
          </w:tcPr>
          <w:p w:rsidR="00FC0A83" w:rsidRPr="00133F5D" w:rsidRDefault="00FC0A83" w:rsidP="00CE200A">
            <w:pPr>
              <w:spacing w:after="0" w:line="240" w:lineRule="auto"/>
              <w:ind w:firstLine="0"/>
              <w:jc w:val="right"/>
              <w:rPr>
                <w:rFonts w:asciiTheme="majorHAnsi" w:eastAsia="Times New Roman" w:hAnsiTheme="majorHAnsi" w:cs="Arial"/>
                <w:sz w:val="16"/>
                <w:szCs w:val="16"/>
                <w:lang w:eastAsia="ro-RO"/>
              </w:rPr>
            </w:pPr>
            <w:r w:rsidRPr="00133F5D">
              <w:rPr>
                <w:rFonts w:asciiTheme="majorHAnsi" w:eastAsia="Times New Roman" w:hAnsiTheme="majorHAnsi" w:cs="Arial"/>
                <w:sz w:val="16"/>
                <w:szCs w:val="16"/>
                <w:lang w:eastAsia="ro-RO"/>
              </w:rPr>
              <w:t>82,65</w:t>
            </w:r>
          </w:p>
        </w:tc>
      </w:tr>
      <w:tr w:rsidR="00F803F6" w:rsidRPr="00322BD0" w:rsidTr="00FC0A83">
        <w:trPr>
          <w:trHeight w:val="176"/>
          <w:tblCellSpacing w:w="20" w:type="dxa"/>
        </w:trPr>
        <w:tc>
          <w:tcPr>
            <w:tcW w:w="522" w:type="dxa"/>
            <w:shd w:val="clear" w:color="auto" w:fill="auto"/>
            <w:noWrap/>
            <w:vAlign w:val="center"/>
          </w:tcPr>
          <w:p w:rsidR="00F803F6" w:rsidRPr="00322BD0" w:rsidRDefault="00FC0A83" w:rsidP="00CE200A">
            <w:pPr>
              <w:spacing w:after="0" w:line="240" w:lineRule="auto"/>
              <w:ind w:firstLine="0"/>
              <w:jc w:val="center"/>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18</w:t>
            </w:r>
          </w:p>
        </w:tc>
        <w:tc>
          <w:tcPr>
            <w:tcW w:w="1945" w:type="dxa"/>
            <w:shd w:val="clear" w:color="auto" w:fill="auto"/>
            <w:noWrap/>
            <w:vAlign w:val="center"/>
            <w:hideMark/>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Technological consumption</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Pr>
                <w:rFonts w:asciiTheme="majorHAnsi" w:eastAsia="Times New Roman" w:hAnsiTheme="majorHAnsi" w:cs="Arial"/>
                <w:sz w:val="16"/>
                <w:szCs w:val="16"/>
                <w:lang w:eastAsia="ro-RO"/>
              </w:rPr>
              <w:t>84.406</w:t>
            </w:r>
          </w:p>
        </w:tc>
        <w:tc>
          <w:tcPr>
            <w:tcW w:w="1121"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83.146</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92.124</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95.500</w:t>
            </w:r>
          </w:p>
        </w:tc>
        <w:tc>
          <w:tcPr>
            <w:tcW w:w="1020" w:type="dxa"/>
            <w:shd w:val="clear" w:color="auto" w:fill="auto"/>
            <w:noWrap/>
            <w:vAlign w:val="center"/>
            <w:hideMark/>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Pr>
                <w:rFonts w:asciiTheme="majorHAnsi" w:eastAsia="Times New Roman" w:hAnsiTheme="majorHAnsi" w:cs="Arial"/>
                <w:sz w:val="16"/>
                <w:szCs w:val="16"/>
                <w:lang w:eastAsia="ro-RO"/>
              </w:rPr>
              <w:t>101,52</w:t>
            </w:r>
          </w:p>
        </w:tc>
      </w:tr>
      <w:tr w:rsidR="00F803F6" w:rsidRPr="00322BD0" w:rsidTr="00FC0A83">
        <w:trPr>
          <w:trHeight w:val="263"/>
          <w:tblCellSpacing w:w="20" w:type="dxa"/>
        </w:trPr>
        <w:tc>
          <w:tcPr>
            <w:tcW w:w="522" w:type="dxa"/>
            <w:shd w:val="clear" w:color="auto" w:fill="auto"/>
            <w:noWrap/>
            <w:vAlign w:val="center"/>
          </w:tcPr>
          <w:p w:rsidR="00F803F6" w:rsidRPr="00322BD0" w:rsidRDefault="00FC0A83" w:rsidP="00CE200A">
            <w:pPr>
              <w:spacing w:after="0" w:line="240" w:lineRule="auto"/>
              <w:ind w:firstLine="0"/>
              <w:jc w:val="center"/>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19</w:t>
            </w:r>
          </w:p>
        </w:tc>
        <w:tc>
          <w:tcPr>
            <w:tcW w:w="1945" w:type="dxa"/>
            <w:shd w:val="clear" w:color="auto" w:fill="auto"/>
            <w:noWrap/>
            <w:vAlign w:val="center"/>
            <w:hideMark/>
          </w:tcPr>
          <w:p w:rsidR="00F803F6" w:rsidRPr="00322BD0" w:rsidRDefault="00F803F6" w:rsidP="00CE200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Technological consumption</w:t>
            </w:r>
          </w:p>
        </w:tc>
        <w:tc>
          <w:tcPr>
            <w:tcW w:w="1008" w:type="dxa"/>
            <w:gridSpan w:val="2"/>
            <w:vAlign w:val="center"/>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sidRPr="005A6A16">
              <w:rPr>
                <w:rFonts w:asciiTheme="majorHAnsi" w:eastAsia="Times New Roman" w:hAnsiTheme="majorHAnsi" w:cs="Arial"/>
                <w:sz w:val="16"/>
                <w:szCs w:val="16"/>
                <w:lang w:eastAsia="ro-RO"/>
              </w:rPr>
              <w:t>108.874</w:t>
            </w:r>
          </w:p>
        </w:tc>
        <w:tc>
          <w:tcPr>
            <w:tcW w:w="1121"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88.103</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96.940</w:t>
            </w:r>
          </w:p>
        </w:tc>
        <w:tc>
          <w:tcPr>
            <w:tcW w:w="1220" w:type="dxa"/>
            <w:shd w:val="clear" w:color="auto" w:fill="auto"/>
            <w:vAlign w:val="center"/>
            <w:hideMark/>
          </w:tcPr>
          <w:p w:rsidR="00F803F6" w:rsidRPr="007D01EE" w:rsidRDefault="00F803F6" w:rsidP="00CE200A">
            <w:pPr>
              <w:spacing w:after="0" w:line="240" w:lineRule="auto"/>
              <w:ind w:firstLine="0"/>
              <w:jc w:val="right"/>
              <w:rPr>
                <w:rFonts w:asciiTheme="majorHAnsi" w:eastAsia="Times New Roman" w:hAnsiTheme="majorHAnsi" w:cs="Arial"/>
                <w:sz w:val="18"/>
                <w:szCs w:val="18"/>
                <w:lang w:eastAsia="ro-RO"/>
              </w:rPr>
            </w:pPr>
            <w:r w:rsidRPr="007D01EE">
              <w:rPr>
                <w:rFonts w:asciiTheme="majorHAnsi" w:eastAsia="Times New Roman" w:hAnsiTheme="majorHAnsi" w:cs="Arial"/>
                <w:sz w:val="18"/>
                <w:szCs w:val="18"/>
                <w:lang w:eastAsia="ro-RO"/>
              </w:rPr>
              <w:t>160.140</w:t>
            </w:r>
          </w:p>
        </w:tc>
        <w:tc>
          <w:tcPr>
            <w:tcW w:w="1020" w:type="dxa"/>
            <w:shd w:val="clear" w:color="auto" w:fill="auto"/>
            <w:noWrap/>
            <w:vAlign w:val="center"/>
            <w:hideMark/>
          </w:tcPr>
          <w:p w:rsidR="00F803F6" w:rsidRPr="00133F5D" w:rsidRDefault="00F803F6" w:rsidP="00CE200A">
            <w:pPr>
              <w:spacing w:after="0" w:line="240" w:lineRule="auto"/>
              <w:ind w:firstLine="0"/>
              <w:jc w:val="right"/>
              <w:rPr>
                <w:rFonts w:asciiTheme="majorHAnsi" w:eastAsia="Times New Roman" w:hAnsiTheme="majorHAnsi" w:cs="Arial"/>
                <w:sz w:val="16"/>
                <w:szCs w:val="16"/>
                <w:lang w:eastAsia="ro-RO"/>
              </w:rPr>
            </w:pPr>
            <w:r>
              <w:rPr>
                <w:rFonts w:asciiTheme="majorHAnsi" w:eastAsia="Times New Roman" w:hAnsiTheme="majorHAnsi" w:cs="Arial"/>
                <w:sz w:val="16"/>
                <w:szCs w:val="16"/>
                <w:lang w:eastAsia="ro-RO"/>
              </w:rPr>
              <w:t>123,58</w:t>
            </w:r>
          </w:p>
        </w:tc>
      </w:tr>
    </w:tbl>
    <w:p w:rsidR="00D67262" w:rsidRPr="00322BD0" w:rsidRDefault="00D67262" w:rsidP="00806D36">
      <w:pPr>
        <w:spacing w:after="0" w:line="240" w:lineRule="auto"/>
        <w:ind w:firstLine="0"/>
        <w:jc w:val="both"/>
        <w:rPr>
          <w:rFonts w:ascii="Cambria" w:eastAsia="Times New Roman" w:hAnsi="Cambria" w:cs="Times New Roman"/>
          <w:sz w:val="24"/>
          <w:szCs w:val="24"/>
          <w:lang w:val="en-GB" w:eastAsia="ro-RO"/>
        </w:rPr>
      </w:pPr>
    </w:p>
    <w:p w:rsidR="00806D36" w:rsidRPr="00322BD0" w:rsidRDefault="00BB6897" w:rsidP="00CE1243">
      <w:pPr>
        <w:spacing w:after="0" w:line="240" w:lineRule="auto"/>
        <w:ind w:firstLine="0"/>
        <w:jc w:val="both"/>
        <w:rPr>
          <w:rFonts w:ascii="Cambria" w:eastAsia="Times New Roman" w:hAnsi="Cambria" w:cs="Times New Roman"/>
          <w:b/>
          <w:i/>
          <w:sz w:val="16"/>
          <w:szCs w:val="16"/>
          <w:lang w:val="en-GB" w:eastAsia="ro-RO"/>
        </w:rPr>
      </w:pPr>
      <w:r w:rsidRPr="00322BD0">
        <w:rPr>
          <w:rFonts w:ascii="Cambria" w:eastAsia="Times New Roman" w:hAnsi="Cambria" w:cs="Times New Roman"/>
          <w:i/>
          <w:sz w:val="20"/>
          <w:szCs w:val="20"/>
          <w:vertAlign w:val="superscript"/>
          <w:lang w:val="en-GB" w:eastAsia="ro-RO"/>
        </w:rPr>
        <w:t xml:space="preserve"> </w:t>
      </w:r>
      <w:r w:rsidR="00806D36" w:rsidRPr="00322BD0">
        <w:rPr>
          <w:rFonts w:ascii="Cambria" w:eastAsia="Times New Roman" w:hAnsi="Cambria" w:cs="Times New Roman"/>
          <w:i/>
          <w:sz w:val="20"/>
          <w:szCs w:val="20"/>
          <w:vertAlign w:val="superscript"/>
          <w:lang w:val="en-GB" w:eastAsia="ro-RO"/>
        </w:rPr>
        <w:t xml:space="preserve"> </w:t>
      </w:r>
      <w:r w:rsidR="00CE1243" w:rsidRPr="00322BD0">
        <w:rPr>
          <w:rFonts w:ascii="Cambria" w:eastAsia="Times New Roman" w:hAnsi="Cambria" w:cs="Times New Roman"/>
          <w:i/>
          <w:sz w:val="20"/>
          <w:szCs w:val="20"/>
          <w:vertAlign w:val="superscript"/>
          <w:lang w:val="en-GB" w:eastAsia="ro-RO"/>
        </w:rPr>
        <w:t xml:space="preserve">       </w:t>
      </w:r>
      <w:r w:rsidR="00CE1243" w:rsidRPr="00322BD0">
        <w:rPr>
          <w:rFonts w:ascii="Cambria" w:eastAsia="Times New Roman" w:hAnsi="Cambria" w:cs="Times New Roman"/>
          <w:i/>
          <w:sz w:val="20"/>
          <w:szCs w:val="20"/>
          <w:vertAlign w:val="superscript"/>
          <w:lang w:val="en-GB" w:eastAsia="ro-RO"/>
        </w:rPr>
        <w:tab/>
      </w:r>
      <w:r w:rsidR="00CE1243" w:rsidRPr="00322BD0">
        <w:rPr>
          <w:rFonts w:ascii="Cambria" w:eastAsia="Times New Roman" w:hAnsi="Cambria" w:cs="Times New Roman"/>
          <w:i/>
          <w:sz w:val="20"/>
          <w:szCs w:val="20"/>
          <w:vertAlign w:val="superscript"/>
          <w:lang w:val="en-GB" w:eastAsia="ro-RO"/>
        </w:rPr>
        <w:tab/>
      </w:r>
      <w:r w:rsidR="009E518F" w:rsidRPr="00322BD0">
        <w:rPr>
          <w:rFonts w:ascii="Cambria" w:eastAsia="Times New Roman" w:hAnsi="Cambria" w:cs="Times New Roman"/>
          <w:b/>
          <w:i/>
          <w:sz w:val="16"/>
          <w:szCs w:val="16"/>
          <w:lang w:val="en-GB" w:eastAsia="ro-RO"/>
        </w:rPr>
        <w:t>Table</w:t>
      </w:r>
      <w:r w:rsidR="00806D36" w:rsidRPr="00322BD0">
        <w:rPr>
          <w:rFonts w:ascii="Cambria" w:eastAsia="Times New Roman" w:hAnsi="Cambria" w:cs="Times New Roman"/>
          <w:b/>
          <w:i/>
          <w:sz w:val="16"/>
          <w:szCs w:val="16"/>
          <w:lang w:val="en-GB" w:eastAsia="ro-RO"/>
        </w:rPr>
        <w:t xml:space="preserve"> </w:t>
      </w:r>
      <w:r w:rsidR="00624B02">
        <w:rPr>
          <w:rFonts w:ascii="Cambria" w:eastAsia="Times New Roman" w:hAnsi="Cambria" w:cs="Times New Roman"/>
          <w:b/>
          <w:i/>
          <w:sz w:val="16"/>
          <w:szCs w:val="16"/>
          <w:lang w:val="en-GB" w:eastAsia="ro-RO"/>
        </w:rPr>
        <w:t>10</w:t>
      </w:r>
      <w:r w:rsidR="00806D36" w:rsidRPr="00322BD0">
        <w:rPr>
          <w:rFonts w:ascii="Cambria" w:eastAsia="Times New Roman" w:hAnsi="Cambria" w:cs="Times New Roman"/>
          <w:b/>
          <w:i/>
          <w:sz w:val="16"/>
          <w:szCs w:val="16"/>
          <w:lang w:val="en-GB" w:eastAsia="ro-RO"/>
        </w:rPr>
        <w:t xml:space="preserve"> –</w:t>
      </w:r>
      <w:r w:rsidR="00F104EB" w:rsidRPr="00322BD0">
        <w:rPr>
          <w:rFonts w:ascii="Cambria" w:eastAsia="Times New Roman" w:hAnsi="Cambria" w:cs="Cambria"/>
          <w:b/>
          <w:bCs/>
          <w:i/>
          <w:iCs/>
          <w:sz w:val="16"/>
          <w:szCs w:val="16"/>
          <w:lang w:val="en-GB"/>
        </w:rPr>
        <w:t xml:space="preserve"> Evolution of the main economic</w:t>
      </w:r>
      <w:r w:rsidR="004E4179" w:rsidRPr="00322BD0">
        <w:rPr>
          <w:rFonts w:ascii="Cambria" w:eastAsia="Times New Roman" w:hAnsi="Cambria" w:cs="Cambria"/>
          <w:b/>
          <w:bCs/>
          <w:i/>
          <w:iCs/>
          <w:sz w:val="16"/>
          <w:szCs w:val="16"/>
          <w:lang w:val="en-GB"/>
        </w:rPr>
        <w:t xml:space="preserve"> and </w:t>
      </w:r>
      <w:r w:rsidR="00F104EB" w:rsidRPr="00322BD0">
        <w:rPr>
          <w:rFonts w:ascii="Cambria" w:eastAsia="Times New Roman" w:hAnsi="Cambria" w:cs="Cambria"/>
          <w:b/>
          <w:bCs/>
          <w:i/>
          <w:iCs/>
          <w:sz w:val="16"/>
          <w:szCs w:val="16"/>
          <w:lang w:val="en-GB"/>
        </w:rPr>
        <w:t xml:space="preserve">financial indicators for the </w:t>
      </w:r>
      <w:r w:rsidR="00F104EB" w:rsidRPr="00322BD0">
        <w:rPr>
          <w:rFonts w:ascii="Cambria" w:eastAsia="Times New Roman" w:hAnsi="Cambria" w:cs="Times New Roman"/>
          <w:b/>
          <w:i/>
          <w:sz w:val="16"/>
          <w:szCs w:val="16"/>
          <w:lang w:val="en-GB" w:eastAsia="ro-RO"/>
        </w:rPr>
        <w:t>period</w:t>
      </w:r>
      <w:r w:rsidR="00462665" w:rsidRPr="00322BD0">
        <w:rPr>
          <w:rFonts w:ascii="Cambria" w:eastAsia="Times New Roman" w:hAnsi="Cambria" w:cs="Times New Roman"/>
          <w:b/>
          <w:i/>
          <w:sz w:val="16"/>
          <w:szCs w:val="16"/>
          <w:lang w:val="en-GB" w:eastAsia="ro-RO"/>
        </w:rPr>
        <w:t xml:space="preserve"> 201</w:t>
      </w:r>
      <w:r w:rsidR="00624B02">
        <w:rPr>
          <w:rFonts w:ascii="Cambria" w:eastAsia="Times New Roman" w:hAnsi="Cambria" w:cs="Times New Roman"/>
          <w:b/>
          <w:i/>
          <w:sz w:val="16"/>
          <w:szCs w:val="16"/>
          <w:lang w:val="en-GB" w:eastAsia="ro-RO"/>
        </w:rPr>
        <w:t>3-2016</w:t>
      </w:r>
    </w:p>
    <w:p w:rsidR="008C70D7" w:rsidRPr="00322BD0" w:rsidRDefault="008C70D7" w:rsidP="00CE1243">
      <w:pPr>
        <w:spacing w:after="0" w:line="240" w:lineRule="auto"/>
        <w:ind w:firstLine="0"/>
        <w:jc w:val="both"/>
        <w:rPr>
          <w:rFonts w:ascii="Cambria" w:eastAsia="Times New Roman" w:hAnsi="Cambria" w:cs="Times New Roman"/>
          <w:b/>
          <w:i/>
          <w:sz w:val="16"/>
          <w:szCs w:val="16"/>
          <w:lang w:val="en-GB" w:eastAsia="ro-RO"/>
        </w:rPr>
      </w:pPr>
    </w:p>
    <w:p w:rsidR="008C70D7" w:rsidRPr="00322BD0" w:rsidRDefault="00E64015" w:rsidP="00CE1243">
      <w:pPr>
        <w:spacing w:after="0" w:line="240" w:lineRule="auto"/>
        <w:ind w:firstLine="0"/>
        <w:jc w:val="both"/>
        <w:rPr>
          <w:rFonts w:ascii="Cambria" w:eastAsia="Times New Roman" w:hAnsi="Cambria" w:cs="Times New Roman"/>
          <w:sz w:val="24"/>
          <w:szCs w:val="24"/>
          <w:lang w:val="en-GB" w:eastAsia="ro-RO"/>
        </w:rPr>
      </w:pPr>
      <w:r w:rsidRPr="00715E6E">
        <w:rPr>
          <w:rFonts w:ascii="Cambria" w:eastAsia="Calibri" w:hAnsi="Cambria" w:cs="Times New Roman"/>
          <w:noProof/>
          <w:color w:val="FF0000"/>
          <w:lang w:val="ro-RO" w:eastAsia="ro-RO"/>
        </w:rPr>
        <w:drawing>
          <wp:inline distT="0" distB="0" distL="0" distR="0" wp14:anchorId="57D3EE42" wp14:editId="78683756">
            <wp:extent cx="5829300" cy="2114550"/>
            <wp:effectExtent l="0" t="0" r="0" b="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0397A" w:rsidRPr="00322BD0" w:rsidRDefault="00624B02" w:rsidP="00F0397A">
      <w:pPr>
        <w:spacing w:after="0" w:line="240" w:lineRule="auto"/>
        <w:ind w:firstLine="0"/>
        <w:jc w:val="center"/>
        <w:rPr>
          <w:rFonts w:ascii="Cambria" w:hAnsi="Cambria"/>
          <w:color w:val="FF0000"/>
          <w:sz w:val="24"/>
          <w:szCs w:val="24"/>
          <w:lang w:val="en-GB"/>
        </w:rPr>
      </w:pPr>
      <w:r>
        <w:rPr>
          <w:rFonts w:ascii="Cambria" w:eastAsia="Times New Roman" w:hAnsi="Cambria" w:cs="Times New Roman"/>
          <w:b/>
          <w:i/>
          <w:sz w:val="16"/>
          <w:szCs w:val="16"/>
          <w:lang w:val="en-GB" w:eastAsia="ro-RO"/>
        </w:rPr>
        <w:t>Chart 17</w:t>
      </w:r>
      <w:r w:rsidR="00F0397A" w:rsidRPr="00322BD0">
        <w:rPr>
          <w:rFonts w:ascii="Cambria" w:eastAsia="Times New Roman" w:hAnsi="Cambria" w:cs="Times New Roman"/>
          <w:b/>
          <w:i/>
          <w:sz w:val="16"/>
          <w:szCs w:val="16"/>
          <w:lang w:val="en-GB" w:eastAsia="ro-RO"/>
        </w:rPr>
        <w:t>–</w:t>
      </w:r>
      <w:r w:rsidR="00F0397A" w:rsidRPr="00322BD0">
        <w:rPr>
          <w:rFonts w:ascii="Cambria" w:eastAsia="Times New Roman" w:hAnsi="Cambria" w:cs="Cambria"/>
          <w:b/>
          <w:bCs/>
          <w:i/>
          <w:iCs/>
          <w:sz w:val="16"/>
          <w:szCs w:val="16"/>
          <w:lang w:val="en-GB"/>
        </w:rPr>
        <w:t xml:space="preserve"> Evolution of the main economic and financial indicators for the </w:t>
      </w:r>
      <w:r>
        <w:rPr>
          <w:rFonts w:ascii="Cambria" w:eastAsia="Times New Roman" w:hAnsi="Cambria" w:cs="Times New Roman"/>
          <w:b/>
          <w:i/>
          <w:sz w:val="16"/>
          <w:szCs w:val="16"/>
          <w:lang w:val="en-GB" w:eastAsia="ro-RO"/>
        </w:rPr>
        <w:t>period 2013-2016</w:t>
      </w:r>
      <w:r w:rsidR="00F0397A" w:rsidRPr="00322BD0">
        <w:rPr>
          <w:rFonts w:ascii="Cambria" w:eastAsia="Times New Roman" w:hAnsi="Cambria" w:cs="Times New Roman"/>
          <w:b/>
          <w:i/>
          <w:sz w:val="16"/>
          <w:szCs w:val="16"/>
          <w:lang w:val="en-GB" w:eastAsia="ro-RO"/>
        </w:rPr>
        <w:t xml:space="preserve"> – RON thousand</w:t>
      </w:r>
    </w:p>
    <w:p w:rsidR="00F0397A" w:rsidRPr="00322BD0" w:rsidRDefault="00F0397A" w:rsidP="00F104EB">
      <w:pPr>
        <w:spacing w:after="0" w:line="240" w:lineRule="auto"/>
        <w:ind w:firstLine="0"/>
        <w:jc w:val="both"/>
        <w:rPr>
          <w:rFonts w:ascii="Cambria" w:eastAsia="Times New Roman" w:hAnsi="Cambria" w:cs="Cambria"/>
          <w:sz w:val="24"/>
          <w:szCs w:val="24"/>
          <w:lang w:val="en-GB"/>
        </w:rPr>
      </w:pPr>
    </w:p>
    <w:p w:rsidR="00F0397A" w:rsidRPr="00322BD0" w:rsidRDefault="00F0397A" w:rsidP="00F104EB">
      <w:pPr>
        <w:spacing w:after="0" w:line="240" w:lineRule="auto"/>
        <w:ind w:firstLine="0"/>
        <w:jc w:val="both"/>
        <w:rPr>
          <w:rFonts w:ascii="Cambria" w:eastAsia="Times New Roman" w:hAnsi="Cambria" w:cs="Cambria"/>
          <w:sz w:val="24"/>
          <w:szCs w:val="24"/>
          <w:lang w:val="en-GB"/>
        </w:rPr>
      </w:pPr>
    </w:p>
    <w:p w:rsidR="003309E3" w:rsidRPr="00322BD0" w:rsidRDefault="00F104EB" w:rsidP="003309E3">
      <w:pPr>
        <w:spacing w:after="0" w:line="240" w:lineRule="auto"/>
        <w:ind w:firstLine="0"/>
        <w:jc w:val="both"/>
        <w:rPr>
          <w:rFonts w:ascii="Cambria" w:eastAsia="Calibri" w:hAnsi="Cambria" w:cs="Times New Roman"/>
          <w:sz w:val="24"/>
          <w:szCs w:val="24"/>
          <w:lang w:val="en-GB" w:eastAsia="en-US"/>
        </w:rPr>
      </w:pPr>
      <w:r w:rsidRPr="00322BD0">
        <w:rPr>
          <w:rFonts w:ascii="Cambria" w:eastAsia="Times New Roman" w:hAnsi="Cambria" w:cs="Cambria"/>
          <w:sz w:val="24"/>
          <w:szCs w:val="24"/>
          <w:lang w:val="en-GB"/>
        </w:rPr>
        <w:t xml:space="preserve"> Transgaz holds the monopoly status in Romania in terms of natural gas transmission and circulates around 90% of the total consumed natural gas</w:t>
      </w:r>
      <w:r w:rsidRPr="00322BD0">
        <w:rPr>
          <w:rFonts w:ascii="Cambria" w:eastAsia="Times New Roman" w:hAnsi="Cambria" w:cs="Times New Roman"/>
          <w:sz w:val="24"/>
          <w:szCs w:val="24"/>
          <w:lang w:val="en-GB" w:eastAsia="ro-RO"/>
        </w:rPr>
        <w:t xml:space="preserve">. </w:t>
      </w:r>
      <w:r w:rsidR="003309E3" w:rsidRPr="00322BD0">
        <w:rPr>
          <w:rFonts w:ascii="Cambria" w:eastAsia="Times New Roman" w:hAnsi="Cambria" w:cs="Times New Roman"/>
          <w:sz w:val="24"/>
          <w:szCs w:val="24"/>
          <w:lang w:val="en-GB" w:eastAsia="ro-RO"/>
        </w:rPr>
        <w:t xml:space="preserve">Of the total </w:t>
      </w:r>
      <w:r w:rsidR="009E518F" w:rsidRPr="00322BD0">
        <w:rPr>
          <w:rFonts w:ascii="Cambria" w:eastAsia="Times New Roman" w:hAnsi="Cambria" w:cs="Times New Roman"/>
          <w:sz w:val="24"/>
          <w:szCs w:val="24"/>
          <w:lang w:val="en-GB" w:eastAsia="ro-RO"/>
        </w:rPr>
        <w:t>revenue achieved</w:t>
      </w:r>
      <w:r w:rsidR="00624B02">
        <w:rPr>
          <w:rFonts w:ascii="Cambria" w:eastAsia="Times New Roman" w:hAnsi="Cambria" w:cs="Times New Roman"/>
          <w:sz w:val="24"/>
          <w:szCs w:val="24"/>
          <w:lang w:val="en-GB" w:eastAsia="ro-RO"/>
        </w:rPr>
        <w:t xml:space="preserve"> in 2016</w:t>
      </w:r>
      <w:r w:rsidR="003309E3" w:rsidRPr="00322BD0">
        <w:rPr>
          <w:rFonts w:ascii="Cambria" w:eastAsia="Times New Roman" w:hAnsi="Cambria" w:cs="Times New Roman"/>
          <w:sz w:val="24"/>
          <w:szCs w:val="24"/>
          <w:lang w:val="en-GB" w:eastAsia="ro-RO"/>
        </w:rPr>
        <w:t xml:space="preserve"> approximately</w:t>
      </w:r>
      <w:r w:rsidR="009003BD">
        <w:rPr>
          <w:rFonts w:ascii="Cambria" w:eastAsia="Calibri" w:hAnsi="Cambria" w:cs="Times New Roman"/>
          <w:sz w:val="24"/>
          <w:szCs w:val="24"/>
          <w:lang w:val="en-GB" w:eastAsia="en-US"/>
        </w:rPr>
        <w:t xml:space="preserve"> 17,25%</w:t>
      </w:r>
      <w:r w:rsidR="003309E3" w:rsidRPr="00624B02">
        <w:rPr>
          <w:rFonts w:ascii="Cambria" w:eastAsia="Calibri" w:hAnsi="Cambria" w:cs="Times New Roman"/>
          <w:color w:val="FF0000"/>
          <w:sz w:val="24"/>
          <w:szCs w:val="24"/>
          <w:lang w:val="en-GB" w:eastAsia="en-US"/>
        </w:rPr>
        <w:t xml:space="preserve"> </w:t>
      </w:r>
      <w:r w:rsidR="003309E3" w:rsidRPr="00322BD0">
        <w:rPr>
          <w:rFonts w:ascii="Cambria" w:eastAsia="Calibri" w:hAnsi="Cambria" w:cs="Times New Roman"/>
          <w:sz w:val="24"/>
          <w:szCs w:val="24"/>
          <w:lang w:val="en-GB" w:eastAsia="en-US"/>
        </w:rPr>
        <w:t>are in foreign currency and are achieved from the international gas transmission activity.</w:t>
      </w:r>
    </w:p>
    <w:p w:rsidR="00F104EB" w:rsidRPr="00322BD0" w:rsidRDefault="00F104EB" w:rsidP="00F104EB">
      <w:pPr>
        <w:spacing w:after="0" w:line="240" w:lineRule="auto"/>
        <w:ind w:firstLine="0"/>
        <w:jc w:val="both"/>
        <w:rPr>
          <w:rFonts w:ascii="Cambria" w:eastAsia="Times New Roman" w:hAnsi="Cambria" w:cs="Times New Roman"/>
          <w:sz w:val="24"/>
          <w:szCs w:val="24"/>
          <w:lang w:val="en-GB" w:eastAsia="ro-RO"/>
        </w:rPr>
      </w:pPr>
    </w:p>
    <w:p w:rsidR="00F104EB" w:rsidRPr="00C11ACB" w:rsidRDefault="00AB69B3" w:rsidP="00806D36">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lastRenderedPageBreak/>
        <w:t>A</w:t>
      </w:r>
      <w:r w:rsidR="00F104EB" w:rsidRPr="00322BD0">
        <w:rPr>
          <w:rFonts w:ascii="Cambria" w:eastAsia="Times New Roman" w:hAnsi="Cambria" w:cs="Times New Roman"/>
          <w:sz w:val="24"/>
          <w:szCs w:val="24"/>
          <w:lang w:val="en-GB"/>
        </w:rPr>
        <w:t xml:space="preserve">t </w:t>
      </w:r>
      <w:r w:rsidRPr="00322BD0">
        <w:rPr>
          <w:rFonts w:ascii="Cambria" w:eastAsia="Times New Roman" w:hAnsi="Cambria" w:cs="Times New Roman"/>
          <w:sz w:val="24"/>
          <w:szCs w:val="24"/>
          <w:lang w:val="en-GB"/>
        </w:rPr>
        <w:t xml:space="preserve">31 </w:t>
      </w:r>
      <w:r w:rsidR="00F104EB" w:rsidRPr="00322BD0">
        <w:rPr>
          <w:rFonts w:ascii="Cambria" w:eastAsia="Times New Roman" w:hAnsi="Cambria" w:cs="Times New Roman"/>
          <w:sz w:val="24"/>
          <w:szCs w:val="24"/>
          <w:lang w:val="en-GB"/>
        </w:rPr>
        <w:t>December 201</w:t>
      </w:r>
      <w:r w:rsidR="002513E8">
        <w:rPr>
          <w:rFonts w:ascii="Cambria" w:eastAsia="Times New Roman" w:hAnsi="Cambria" w:cs="Times New Roman"/>
          <w:sz w:val="24"/>
          <w:szCs w:val="24"/>
          <w:lang w:val="en-GB"/>
        </w:rPr>
        <w:t>6</w:t>
      </w:r>
      <w:r w:rsidR="00F104EB" w:rsidRPr="00322BD0">
        <w:rPr>
          <w:rFonts w:ascii="Cambria" w:eastAsia="Times New Roman" w:hAnsi="Cambria" w:cs="Times New Roman"/>
          <w:sz w:val="24"/>
          <w:szCs w:val="24"/>
          <w:lang w:val="en-GB"/>
        </w:rPr>
        <w:t xml:space="preserve">, </w:t>
      </w:r>
      <w:r w:rsidR="00F104EB" w:rsidRPr="00322BD0">
        <w:rPr>
          <w:rFonts w:ascii="Cambria" w:eastAsia="Times New Roman" w:hAnsi="Cambria" w:cs="Cambria"/>
          <w:sz w:val="24"/>
          <w:szCs w:val="24"/>
          <w:lang w:val="en-GB"/>
        </w:rPr>
        <w:t xml:space="preserve">the company's </w:t>
      </w:r>
      <w:r w:rsidR="005A5DBE" w:rsidRPr="00322BD0">
        <w:rPr>
          <w:rFonts w:ascii="Cambria" w:eastAsia="Times New Roman" w:hAnsi="Cambria" w:cs="Cambria"/>
          <w:sz w:val="24"/>
          <w:szCs w:val="24"/>
          <w:lang w:val="en-GB"/>
        </w:rPr>
        <w:t xml:space="preserve">cash and cash equivalents amounted to </w:t>
      </w:r>
      <w:r w:rsidR="00443B8B" w:rsidRPr="00322BD0">
        <w:rPr>
          <w:rFonts w:ascii="Cambria" w:hAnsi="Cambria"/>
          <w:sz w:val="24"/>
          <w:szCs w:val="24"/>
          <w:lang w:val="en-GB"/>
        </w:rPr>
        <w:t>RON</w:t>
      </w:r>
      <w:r w:rsidR="005A5DBE" w:rsidRPr="00322BD0">
        <w:rPr>
          <w:rFonts w:ascii="Cambria" w:hAnsi="Cambria"/>
          <w:sz w:val="24"/>
          <w:szCs w:val="24"/>
          <w:lang w:val="en-GB"/>
        </w:rPr>
        <w:t xml:space="preserve"> </w:t>
      </w:r>
      <w:r w:rsidR="009003BD" w:rsidRPr="009003BD">
        <w:rPr>
          <w:rFonts w:ascii="Cambria" w:eastAsia="Calibri" w:hAnsi="Cambria" w:cs="Times New Roman"/>
          <w:sz w:val="24"/>
          <w:szCs w:val="24"/>
          <w:lang w:val="en-GB" w:eastAsia="en-US"/>
        </w:rPr>
        <w:t>949.293.236</w:t>
      </w:r>
      <w:r w:rsidR="00F104EB" w:rsidRPr="009003BD">
        <w:rPr>
          <w:rFonts w:ascii="Cambria" w:eastAsia="Times New Roman" w:hAnsi="Cambria" w:cs="Times New Roman"/>
          <w:sz w:val="24"/>
          <w:szCs w:val="24"/>
          <w:lang w:val="en-GB"/>
        </w:rPr>
        <w:t xml:space="preserve">, </w:t>
      </w:r>
      <w:r w:rsidR="00F104EB" w:rsidRPr="00322BD0">
        <w:rPr>
          <w:rFonts w:ascii="Cambria" w:eastAsia="Times New Roman" w:hAnsi="Cambria" w:cs="Times New Roman"/>
          <w:sz w:val="24"/>
          <w:szCs w:val="24"/>
          <w:lang w:val="en-GB"/>
        </w:rPr>
        <w:t xml:space="preserve">out of which </w:t>
      </w:r>
      <w:r w:rsidR="009003BD" w:rsidRPr="006524CC">
        <w:rPr>
          <w:rFonts w:asciiTheme="majorHAnsi" w:eastAsia="Calibri" w:hAnsiTheme="majorHAnsi" w:cs="Times New Roman"/>
          <w:sz w:val="24"/>
          <w:szCs w:val="24"/>
          <w:lang w:eastAsia="en-US"/>
        </w:rPr>
        <w:t>17,12</w:t>
      </w:r>
      <w:r w:rsidR="00F104EB" w:rsidRPr="009003BD">
        <w:rPr>
          <w:rFonts w:ascii="Cambria" w:hAnsi="Cambria"/>
          <w:sz w:val="24"/>
          <w:szCs w:val="24"/>
          <w:lang w:val="en-GB"/>
        </w:rPr>
        <w:t>%</w:t>
      </w:r>
      <w:r w:rsidR="00F104EB" w:rsidRPr="002513E8">
        <w:rPr>
          <w:rFonts w:ascii="Cambria" w:hAnsi="Cambria"/>
          <w:color w:val="FF0000"/>
          <w:sz w:val="24"/>
          <w:szCs w:val="24"/>
          <w:lang w:val="en-GB"/>
        </w:rPr>
        <w:t xml:space="preserve"> </w:t>
      </w:r>
      <w:r w:rsidR="00443B8B" w:rsidRPr="00322BD0">
        <w:rPr>
          <w:rFonts w:ascii="Cambria" w:hAnsi="Cambria"/>
          <w:sz w:val="24"/>
          <w:szCs w:val="24"/>
          <w:lang w:val="en-GB"/>
        </w:rPr>
        <w:t xml:space="preserve">are </w:t>
      </w:r>
      <w:r w:rsidR="00F104EB" w:rsidRPr="00322BD0">
        <w:rPr>
          <w:rFonts w:ascii="Cambria" w:eastAsia="Times New Roman" w:hAnsi="Cambria" w:cs="Cambria"/>
          <w:sz w:val="24"/>
          <w:szCs w:val="24"/>
          <w:lang w:val="en-GB"/>
        </w:rPr>
        <w:t>liquid assets denominated in foreign currency, most of it in</w:t>
      </w:r>
      <w:r w:rsidR="00F104EB" w:rsidRPr="00322BD0">
        <w:rPr>
          <w:rFonts w:ascii="Cambria" w:eastAsia="Times New Roman" w:hAnsi="Cambria" w:cs="Times New Roman"/>
          <w:sz w:val="24"/>
          <w:szCs w:val="24"/>
          <w:lang w:val="en-GB"/>
        </w:rPr>
        <w:t xml:space="preserve"> </w:t>
      </w:r>
      <w:r w:rsidR="00443B8B" w:rsidRPr="00322BD0">
        <w:rPr>
          <w:rFonts w:ascii="Cambria" w:eastAsia="Times New Roman" w:hAnsi="Cambria" w:cs="Times New Roman"/>
          <w:sz w:val="24"/>
          <w:szCs w:val="24"/>
          <w:lang w:val="en-GB"/>
        </w:rPr>
        <w:t>EUR</w:t>
      </w:r>
      <w:r w:rsidR="00C11ACB">
        <w:rPr>
          <w:rFonts w:ascii="Cambria" w:eastAsia="Times New Roman" w:hAnsi="Cambria" w:cs="Times New Roman"/>
          <w:sz w:val="24"/>
          <w:szCs w:val="24"/>
          <w:lang w:val="en-GB"/>
        </w:rPr>
        <w:t>.</w:t>
      </w:r>
    </w:p>
    <w:p w:rsidR="00222329" w:rsidRPr="00322BD0" w:rsidRDefault="001C588E" w:rsidP="00806D36">
      <w:pPr>
        <w:spacing w:after="0" w:line="240" w:lineRule="auto"/>
        <w:ind w:firstLine="0"/>
        <w:jc w:val="both"/>
        <w:rPr>
          <w:rFonts w:ascii="Cambria" w:hAnsi="Cambria"/>
          <w:sz w:val="24"/>
          <w:szCs w:val="24"/>
          <w:lang w:val="en-GB"/>
        </w:rPr>
      </w:pPr>
      <w:r w:rsidRPr="006524CC">
        <w:rPr>
          <w:rFonts w:ascii="Cambria" w:eastAsia="Times New Roman" w:hAnsi="Cambria" w:cs="Times New Roman"/>
          <w:noProof/>
          <w:sz w:val="24"/>
          <w:szCs w:val="24"/>
          <w:lang w:val="ro-RO" w:eastAsia="ro-RO"/>
        </w:rPr>
        <w:drawing>
          <wp:inline distT="0" distB="0" distL="0" distR="0" wp14:anchorId="511FC485" wp14:editId="4AC2F9E8">
            <wp:extent cx="5534025" cy="188595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B0573" w:rsidRPr="00322BD0" w:rsidRDefault="005B0573" w:rsidP="00806D36">
      <w:pPr>
        <w:spacing w:after="0" w:line="240" w:lineRule="auto"/>
        <w:ind w:firstLine="0"/>
        <w:jc w:val="both"/>
        <w:rPr>
          <w:rFonts w:ascii="Cambria" w:hAnsi="Cambria"/>
          <w:sz w:val="24"/>
          <w:szCs w:val="24"/>
          <w:lang w:val="en-GB"/>
        </w:rPr>
      </w:pPr>
    </w:p>
    <w:p w:rsidR="001B3D27" w:rsidRPr="009003BD" w:rsidRDefault="00F104EB" w:rsidP="009003BD">
      <w:pPr>
        <w:spacing w:after="0" w:line="240" w:lineRule="auto"/>
        <w:ind w:firstLine="0"/>
        <w:jc w:val="center"/>
        <w:rPr>
          <w:rFonts w:ascii="Cambria" w:eastAsia="Times New Roman" w:hAnsi="Cambria" w:cs="Times New Roman"/>
          <w:sz w:val="24"/>
          <w:szCs w:val="24"/>
          <w:lang w:val="en-GB" w:eastAsia="ro-RO"/>
        </w:rPr>
      </w:pPr>
      <w:r w:rsidRPr="00322BD0">
        <w:rPr>
          <w:rFonts w:ascii="Cambria" w:eastAsia="Times New Roman" w:hAnsi="Cambria" w:cs="Times New Roman"/>
          <w:b/>
          <w:i/>
          <w:sz w:val="16"/>
          <w:szCs w:val="16"/>
          <w:lang w:val="en-GB" w:eastAsia="ro-RO"/>
        </w:rPr>
        <w:t>Chart 1</w:t>
      </w:r>
      <w:r w:rsidR="002513E8">
        <w:rPr>
          <w:rFonts w:ascii="Cambria" w:eastAsia="Times New Roman" w:hAnsi="Cambria" w:cs="Times New Roman"/>
          <w:b/>
          <w:i/>
          <w:sz w:val="16"/>
          <w:szCs w:val="16"/>
          <w:lang w:val="en-GB" w:eastAsia="ro-RO"/>
        </w:rPr>
        <w:t>8</w:t>
      </w:r>
      <w:r w:rsidRPr="00322BD0">
        <w:rPr>
          <w:rFonts w:ascii="Cambria" w:eastAsia="Times New Roman" w:hAnsi="Cambria" w:cs="Times New Roman"/>
          <w:b/>
          <w:i/>
          <w:sz w:val="16"/>
          <w:szCs w:val="16"/>
          <w:lang w:val="en-GB" w:eastAsia="ro-RO"/>
        </w:rPr>
        <w:t xml:space="preserve">–The evolution of the investments and rehabilitation </w:t>
      </w:r>
      <w:r w:rsidR="009E518F" w:rsidRPr="00322BD0">
        <w:rPr>
          <w:rFonts w:ascii="Cambria" w:eastAsia="Times New Roman" w:hAnsi="Cambria" w:cs="Times New Roman"/>
          <w:b/>
          <w:i/>
          <w:sz w:val="16"/>
          <w:szCs w:val="16"/>
          <w:lang w:val="en-GB" w:eastAsia="ro-RO"/>
        </w:rPr>
        <w:t>costs</w:t>
      </w:r>
      <w:r w:rsidRPr="00322BD0">
        <w:rPr>
          <w:rFonts w:ascii="Cambria" w:eastAsia="Times New Roman" w:hAnsi="Cambria" w:cs="Times New Roman"/>
          <w:b/>
          <w:i/>
          <w:sz w:val="16"/>
          <w:szCs w:val="16"/>
          <w:lang w:val="en-GB" w:eastAsia="ro-RO"/>
        </w:rPr>
        <w:t xml:space="preserve"> for the period </w:t>
      </w:r>
      <w:r w:rsidR="00480C96" w:rsidRPr="00322BD0">
        <w:rPr>
          <w:rFonts w:ascii="Cambria" w:eastAsia="Times New Roman" w:hAnsi="Cambria" w:cs="Times New Roman"/>
          <w:b/>
          <w:i/>
          <w:sz w:val="16"/>
          <w:szCs w:val="16"/>
          <w:lang w:val="en-GB" w:eastAsia="ro-RO"/>
        </w:rPr>
        <w:t>201</w:t>
      </w:r>
      <w:r w:rsidR="00222329" w:rsidRPr="00322BD0">
        <w:rPr>
          <w:rFonts w:ascii="Cambria" w:eastAsia="Times New Roman" w:hAnsi="Cambria" w:cs="Times New Roman"/>
          <w:b/>
          <w:i/>
          <w:sz w:val="16"/>
          <w:szCs w:val="16"/>
          <w:lang w:val="en-GB" w:eastAsia="ro-RO"/>
        </w:rPr>
        <w:t>3</w:t>
      </w:r>
      <w:r w:rsidR="00480C96" w:rsidRPr="00322BD0">
        <w:rPr>
          <w:rFonts w:ascii="Cambria" w:eastAsia="Times New Roman" w:hAnsi="Cambria" w:cs="Times New Roman"/>
          <w:b/>
          <w:i/>
          <w:sz w:val="16"/>
          <w:szCs w:val="16"/>
          <w:lang w:val="en-GB" w:eastAsia="ro-RO"/>
        </w:rPr>
        <w:t>-201</w:t>
      </w:r>
      <w:r w:rsidR="002513E8">
        <w:rPr>
          <w:rFonts w:ascii="Cambria" w:eastAsia="Times New Roman" w:hAnsi="Cambria" w:cs="Times New Roman"/>
          <w:b/>
          <w:i/>
          <w:sz w:val="16"/>
          <w:szCs w:val="16"/>
          <w:lang w:val="en-GB" w:eastAsia="ro-RO"/>
        </w:rPr>
        <w:t>6</w:t>
      </w:r>
      <w:r w:rsidR="00222329" w:rsidRPr="00322BD0">
        <w:rPr>
          <w:rFonts w:ascii="Cambria" w:eastAsia="Times New Roman" w:hAnsi="Cambria" w:cs="Times New Roman"/>
          <w:b/>
          <w:i/>
          <w:sz w:val="16"/>
          <w:szCs w:val="16"/>
          <w:lang w:val="en-GB" w:eastAsia="ro-RO"/>
        </w:rPr>
        <w:t xml:space="preserve"> – RON thousand </w:t>
      </w:r>
    </w:p>
    <w:p w:rsidR="001B3D27" w:rsidRPr="00322BD0" w:rsidRDefault="001B3D27" w:rsidP="00F104EB">
      <w:pPr>
        <w:spacing w:after="0" w:line="240" w:lineRule="auto"/>
        <w:ind w:firstLine="0"/>
        <w:jc w:val="both"/>
        <w:rPr>
          <w:rFonts w:ascii="Cambria" w:eastAsia="Times New Roman" w:hAnsi="Cambria" w:cs="Cambria"/>
          <w:sz w:val="24"/>
          <w:szCs w:val="24"/>
          <w:lang w:val="en-GB"/>
        </w:rPr>
      </w:pPr>
    </w:p>
    <w:p w:rsidR="00E22A8D" w:rsidRPr="00322BD0" w:rsidRDefault="00F104EB" w:rsidP="00F104EB">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Transgaz</w:t>
      </w:r>
      <w:r w:rsidR="009003BD">
        <w:rPr>
          <w:rFonts w:ascii="Cambria" w:eastAsia="Times New Roman" w:hAnsi="Cambria" w:cs="Cambria"/>
          <w:sz w:val="24"/>
          <w:szCs w:val="24"/>
          <w:lang w:val="en-GB"/>
        </w:rPr>
        <w:t>’</w:t>
      </w:r>
      <w:r w:rsidRPr="00322BD0">
        <w:rPr>
          <w:rFonts w:ascii="Cambria" w:eastAsia="Times New Roman" w:hAnsi="Cambria" w:cs="Cambria"/>
          <w:sz w:val="24"/>
          <w:szCs w:val="24"/>
          <w:lang w:val="en-GB"/>
        </w:rPr>
        <w:t xml:space="preserve"> performance in </w:t>
      </w:r>
      <w:r w:rsidR="002513E8">
        <w:rPr>
          <w:rFonts w:ascii="Cambria" w:eastAsia="Times New Roman" w:hAnsi="Cambria" w:cs="Cambria"/>
          <w:sz w:val="24"/>
          <w:szCs w:val="24"/>
          <w:lang w:val="en-GB"/>
        </w:rPr>
        <w:t>2013 - 2016</w:t>
      </w:r>
      <w:r w:rsidRPr="00322BD0">
        <w:rPr>
          <w:rFonts w:ascii="Cambria" w:eastAsia="Times New Roman" w:hAnsi="Cambria" w:cs="Cambria"/>
          <w:sz w:val="24"/>
          <w:szCs w:val="24"/>
          <w:lang w:val="en-GB"/>
        </w:rPr>
        <w:t xml:space="preserve"> is also reflected by the evolution of the following indicators</w:t>
      </w:r>
      <w:r w:rsidR="00C11ACB">
        <w:rPr>
          <w:rFonts w:ascii="Cambria" w:eastAsia="Times New Roman" w:hAnsi="Cambria" w:cs="Times New Roman"/>
          <w:sz w:val="24"/>
          <w:szCs w:val="24"/>
          <w:lang w:val="en-GB" w:eastAsia="ro-RO"/>
        </w:rPr>
        <w:t xml:space="preserve">: </w:t>
      </w:r>
    </w:p>
    <w:tbl>
      <w:tblPr>
        <w:tblW w:w="9569" w:type="dxa"/>
        <w:tblCellSpacing w:w="20" w:type="dxa"/>
        <w:tblInd w:w="-2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66"/>
        <w:gridCol w:w="1980"/>
        <w:gridCol w:w="1650"/>
        <w:gridCol w:w="1350"/>
        <w:gridCol w:w="1380"/>
        <w:gridCol w:w="1440"/>
        <w:gridCol w:w="837"/>
        <w:gridCol w:w="66"/>
      </w:tblGrid>
      <w:tr w:rsidR="003A0292" w:rsidRPr="00322BD0" w:rsidTr="003A0292">
        <w:trPr>
          <w:trHeight w:val="263"/>
          <w:tblHeader/>
          <w:tblCellSpacing w:w="20" w:type="dxa"/>
        </w:trPr>
        <w:tc>
          <w:tcPr>
            <w:tcW w:w="876" w:type="dxa"/>
            <w:shd w:val="clear" w:color="auto" w:fill="D6E0F4"/>
            <w:vAlign w:val="center"/>
            <w:hideMark/>
          </w:tcPr>
          <w:p w:rsidR="002513E8" w:rsidRPr="00322BD0" w:rsidRDefault="002513E8" w:rsidP="00E22A8D">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No.</w:t>
            </w:r>
          </w:p>
        </w:tc>
        <w:tc>
          <w:tcPr>
            <w:tcW w:w="1910" w:type="dxa"/>
            <w:shd w:val="clear" w:color="auto" w:fill="D6E0F4"/>
            <w:noWrap/>
            <w:vAlign w:val="center"/>
            <w:hideMark/>
          </w:tcPr>
          <w:p w:rsidR="002513E8" w:rsidRPr="00322BD0" w:rsidRDefault="002513E8" w:rsidP="00E22A8D">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Indicators</w:t>
            </w:r>
          </w:p>
        </w:tc>
        <w:tc>
          <w:tcPr>
            <w:tcW w:w="1580"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Calculation formula</w:t>
            </w:r>
          </w:p>
        </w:tc>
        <w:tc>
          <w:tcPr>
            <w:tcW w:w="1280"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2013</w:t>
            </w:r>
          </w:p>
        </w:tc>
        <w:tc>
          <w:tcPr>
            <w:tcW w:w="1310"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2014</w:t>
            </w:r>
          </w:p>
        </w:tc>
        <w:tc>
          <w:tcPr>
            <w:tcW w:w="1370"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2015</w:t>
            </w:r>
          </w:p>
        </w:tc>
        <w:tc>
          <w:tcPr>
            <w:tcW w:w="923" w:type="dxa"/>
            <w:gridSpan w:val="2"/>
            <w:shd w:val="clear" w:color="auto" w:fill="D6E0F4"/>
          </w:tcPr>
          <w:p w:rsidR="002513E8" w:rsidRPr="002513E8" w:rsidRDefault="002513E8" w:rsidP="00A74D4E">
            <w:pPr>
              <w:spacing w:after="0" w:line="240" w:lineRule="auto"/>
              <w:ind w:firstLine="0"/>
              <w:jc w:val="center"/>
              <w:rPr>
                <w:rFonts w:asciiTheme="majorHAnsi" w:eastAsia="Times New Roman" w:hAnsiTheme="majorHAnsi" w:cs="Arial"/>
                <w:b/>
                <w:bCs/>
                <w:color w:val="FF0000"/>
                <w:sz w:val="18"/>
                <w:szCs w:val="18"/>
                <w:lang w:val="en-GB" w:eastAsia="ro-RO"/>
              </w:rPr>
            </w:pPr>
            <w:r w:rsidRPr="009003BD">
              <w:rPr>
                <w:rFonts w:asciiTheme="majorHAnsi" w:eastAsia="Times New Roman" w:hAnsiTheme="majorHAnsi" w:cs="Arial"/>
                <w:b/>
                <w:bCs/>
                <w:sz w:val="18"/>
                <w:szCs w:val="18"/>
                <w:lang w:val="en-GB" w:eastAsia="ro-RO"/>
              </w:rPr>
              <w:t>2016</w:t>
            </w:r>
          </w:p>
        </w:tc>
      </w:tr>
      <w:tr w:rsidR="003A0292" w:rsidRPr="00322BD0" w:rsidTr="003A0292">
        <w:trPr>
          <w:trHeight w:val="255"/>
          <w:tblCellSpacing w:w="20" w:type="dxa"/>
        </w:trPr>
        <w:tc>
          <w:tcPr>
            <w:tcW w:w="876"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1.</w:t>
            </w:r>
          </w:p>
        </w:tc>
        <w:tc>
          <w:tcPr>
            <w:tcW w:w="8573" w:type="dxa"/>
            <w:gridSpan w:val="7"/>
            <w:shd w:val="clear" w:color="auto" w:fill="D6E0F4"/>
            <w:noWrap/>
            <w:vAlign w:val="center"/>
            <w:hideMark/>
          </w:tcPr>
          <w:p w:rsidR="002513E8" w:rsidRPr="00322BD0" w:rsidRDefault="002513E8" w:rsidP="00A74D4E">
            <w:pPr>
              <w:spacing w:after="0" w:line="240" w:lineRule="auto"/>
              <w:ind w:firstLine="0"/>
              <w:rPr>
                <w:rFonts w:ascii="Cambria" w:eastAsia="Times New Roman" w:hAnsi="Cambria" w:cs="Arial"/>
                <w:b/>
                <w:bCs/>
                <w:sz w:val="18"/>
                <w:szCs w:val="18"/>
                <w:lang w:val="en-GB"/>
              </w:rPr>
            </w:pPr>
            <w:r w:rsidRPr="00322BD0">
              <w:rPr>
                <w:rFonts w:ascii="Cambria" w:eastAsia="Times New Roman" w:hAnsi="Cambria" w:cs="Arial"/>
                <w:b/>
                <w:bCs/>
                <w:sz w:val="18"/>
                <w:szCs w:val="18"/>
                <w:lang w:val="en-GB"/>
              </w:rPr>
              <w:t>Profitability indicators</w:t>
            </w:r>
          </w:p>
        </w:tc>
      </w:tr>
      <w:tr w:rsidR="003A0292" w:rsidRPr="00322BD0" w:rsidTr="003A0292">
        <w:trPr>
          <w:trHeight w:val="45"/>
          <w:tblCellSpacing w:w="20" w:type="dxa"/>
        </w:trPr>
        <w:tc>
          <w:tcPr>
            <w:tcW w:w="876" w:type="dxa"/>
            <w:vMerge w:val="restart"/>
            <w:shd w:val="clear" w:color="auto" w:fill="auto"/>
            <w:noWrap/>
            <w:vAlign w:val="center"/>
            <w:hideMark/>
          </w:tcPr>
          <w:p w:rsidR="003A0292" w:rsidRPr="00322BD0" w:rsidRDefault="003A0292" w:rsidP="00A74D4E">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Cambria" w:hAnsi="Cambria" w:cs="Arial"/>
                <w:sz w:val="18"/>
                <w:szCs w:val="18"/>
                <w:lang w:val="en-GB"/>
              </w:rPr>
              <w:t>EBITDA in total sales</w:t>
            </w: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EBITDA</w:t>
            </w:r>
          </w:p>
        </w:tc>
        <w:tc>
          <w:tcPr>
            <w:tcW w:w="128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48,22%</w:t>
            </w:r>
          </w:p>
        </w:tc>
        <w:tc>
          <w:tcPr>
            <w:tcW w:w="131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48,01%</w:t>
            </w:r>
          </w:p>
        </w:tc>
        <w:tc>
          <w:tcPr>
            <w:tcW w:w="137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49,29%</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51,43%</w:t>
            </w:r>
          </w:p>
        </w:tc>
      </w:tr>
      <w:tr w:rsidR="003A0292" w:rsidRPr="00322BD0" w:rsidTr="003A0292">
        <w:trPr>
          <w:trHeight w:val="160"/>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164"/>
          <w:tblCellSpacing w:w="20" w:type="dxa"/>
        </w:trPr>
        <w:tc>
          <w:tcPr>
            <w:tcW w:w="876" w:type="dxa"/>
            <w:vMerge w:val="restart"/>
            <w:shd w:val="clear" w:color="auto" w:fill="auto"/>
            <w:noWrap/>
            <w:vAlign w:val="center"/>
            <w:hideMark/>
          </w:tcPr>
          <w:p w:rsidR="003A0292" w:rsidRPr="00322BD0" w:rsidRDefault="003A0292" w:rsidP="00A74D4E">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5A6A86">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xml:space="preserve"> </w:t>
            </w:r>
            <w:r w:rsidRPr="00322BD0">
              <w:rPr>
                <w:rFonts w:ascii="Cambria" w:hAnsi="Cambria" w:cs="Arial"/>
                <w:sz w:val="18"/>
                <w:szCs w:val="18"/>
                <w:lang w:val="en-GB"/>
              </w:rPr>
              <w:t>EBITDA in equity</w:t>
            </w: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EBITDA</w:t>
            </w:r>
          </w:p>
        </w:tc>
        <w:tc>
          <w:tcPr>
            <w:tcW w:w="128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23,49%</w:t>
            </w:r>
          </w:p>
        </w:tc>
        <w:tc>
          <w:tcPr>
            <w:tcW w:w="131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23,35%</w:t>
            </w:r>
          </w:p>
        </w:tc>
        <w:tc>
          <w:tcPr>
            <w:tcW w:w="137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21,84%</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23,45%</w:t>
            </w:r>
          </w:p>
        </w:tc>
      </w:tr>
      <w:tr w:rsidR="003A0292" w:rsidRPr="00322BD0" w:rsidTr="003A0292">
        <w:trPr>
          <w:trHeight w:val="40"/>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Equity</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172"/>
          <w:tblCellSpacing w:w="20" w:type="dxa"/>
        </w:trPr>
        <w:tc>
          <w:tcPr>
            <w:tcW w:w="876" w:type="dxa"/>
            <w:vMerge w:val="restart"/>
            <w:shd w:val="clear" w:color="auto" w:fill="auto"/>
            <w:noWrap/>
            <w:vAlign w:val="center"/>
            <w:hideMark/>
          </w:tcPr>
          <w:p w:rsidR="003A0292" w:rsidRPr="00322BD0" w:rsidRDefault="003A0292" w:rsidP="00A74D4E">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Cambria" w:hAnsi="Cambria" w:cs="Arial"/>
                <w:sz w:val="18"/>
                <w:szCs w:val="18"/>
                <w:lang w:val="en-GB"/>
              </w:rPr>
              <w:t>Gross profit share</w:t>
            </w:r>
          </w:p>
        </w:tc>
        <w:tc>
          <w:tcPr>
            <w:tcW w:w="1580" w:type="dxa"/>
            <w:shd w:val="clear" w:color="auto" w:fill="auto"/>
            <w:noWrap/>
            <w:vAlign w:val="center"/>
            <w:hideMark/>
          </w:tcPr>
          <w:p w:rsidR="003A0292" w:rsidRPr="00322BD0" w:rsidRDefault="003A0292" w:rsidP="005C39C0">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Gross profit</w:t>
            </w:r>
          </w:p>
        </w:tc>
        <w:tc>
          <w:tcPr>
            <w:tcW w:w="128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28,74%</w:t>
            </w:r>
          </w:p>
        </w:tc>
        <w:tc>
          <w:tcPr>
            <w:tcW w:w="131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37,74%</w:t>
            </w:r>
          </w:p>
        </w:tc>
        <w:tc>
          <w:tcPr>
            <w:tcW w:w="137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38,39%</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40,79%</w:t>
            </w:r>
          </w:p>
        </w:tc>
      </w:tr>
      <w:tr w:rsidR="003A0292" w:rsidRPr="00322BD0" w:rsidTr="003A0292">
        <w:trPr>
          <w:trHeight w:val="176"/>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180"/>
          <w:tblCellSpacing w:w="20" w:type="dxa"/>
        </w:trPr>
        <w:tc>
          <w:tcPr>
            <w:tcW w:w="876" w:type="dxa"/>
            <w:vMerge w:val="restart"/>
            <w:shd w:val="clear" w:color="auto" w:fill="auto"/>
            <w:noWrap/>
            <w:vAlign w:val="center"/>
            <w:hideMark/>
          </w:tcPr>
          <w:p w:rsidR="003A0292" w:rsidRPr="00322BD0" w:rsidRDefault="003A0292" w:rsidP="00A74D4E">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5A6A86">
            <w:pPr>
              <w:spacing w:after="0" w:line="240" w:lineRule="auto"/>
              <w:ind w:firstLine="0"/>
              <w:rPr>
                <w:rFonts w:asciiTheme="majorHAnsi" w:eastAsia="Times New Roman" w:hAnsiTheme="majorHAnsi" w:cs="Arial"/>
                <w:sz w:val="18"/>
                <w:szCs w:val="18"/>
                <w:lang w:val="en-GB" w:eastAsia="ro-RO"/>
              </w:rPr>
            </w:pPr>
            <w:r w:rsidRPr="00322BD0">
              <w:rPr>
                <w:rFonts w:ascii="Cambria" w:hAnsi="Cambria" w:cs="Arial"/>
                <w:sz w:val="18"/>
                <w:szCs w:val="18"/>
                <w:lang w:val="en-GB"/>
              </w:rPr>
              <w:t>Capital rate of return</w:t>
            </w:r>
          </w:p>
        </w:tc>
        <w:tc>
          <w:tcPr>
            <w:tcW w:w="1580" w:type="dxa"/>
            <w:shd w:val="clear" w:color="auto" w:fill="auto"/>
            <w:noWrap/>
            <w:vAlign w:val="center"/>
            <w:hideMark/>
          </w:tcPr>
          <w:p w:rsidR="003A0292" w:rsidRPr="00322BD0" w:rsidRDefault="003A0292" w:rsidP="005C39C0">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Net profit</w:t>
            </w:r>
          </w:p>
        </w:tc>
        <w:tc>
          <w:tcPr>
            <w:tcW w:w="128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10,87%</w:t>
            </w:r>
          </w:p>
        </w:tc>
        <w:tc>
          <w:tcPr>
            <w:tcW w:w="131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15,10%</w:t>
            </w:r>
          </w:p>
        </w:tc>
        <w:tc>
          <w:tcPr>
            <w:tcW w:w="1370" w:type="dxa"/>
            <w:vMerge w:val="restart"/>
            <w:shd w:val="clear" w:color="auto" w:fill="auto"/>
            <w:noWrap/>
            <w:vAlign w:val="center"/>
            <w:hideMark/>
          </w:tcPr>
          <w:p w:rsidR="003A0292" w:rsidRPr="00322BD0" w:rsidRDefault="003A0292" w:rsidP="00A74D4E">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13,69%</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15,49%</w:t>
            </w:r>
          </w:p>
        </w:tc>
      </w:tr>
      <w:tr w:rsidR="003A0292" w:rsidRPr="00322BD0" w:rsidTr="003A0292">
        <w:trPr>
          <w:trHeight w:val="184"/>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1C368D">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Equity</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255"/>
          <w:tblCellSpacing w:w="20" w:type="dxa"/>
        </w:trPr>
        <w:tc>
          <w:tcPr>
            <w:tcW w:w="876"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w:t>
            </w:r>
          </w:p>
        </w:tc>
        <w:tc>
          <w:tcPr>
            <w:tcW w:w="7610" w:type="dxa"/>
            <w:gridSpan w:val="5"/>
            <w:shd w:val="clear" w:color="auto" w:fill="D6E0F4"/>
            <w:noWrap/>
            <w:vAlign w:val="center"/>
            <w:hideMark/>
          </w:tcPr>
          <w:p w:rsidR="002513E8" w:rsidRPr="00322BD0" w:rsidRDefault="002513E8" w:rsidP="00A74D4E">
            <w:pPr>
              <w:spacing w:after="0" w:line="240" w:lineRule="auto"/>
              <w:ind w:firstLine="0"/>
              <w:rPr>
                <w:rFonts w:asciiTheme="majorHAnsi" w:eastAsia="Times New Roman" w:hAnsiTheme="majorHAnsi" w:cs="Arial"/>
                <w:b/>
                <w:bCs/>
                <w:sz w:val="18"/>
                <w:szCs w:val="18"/>
                <w:lang w:val="en-GB" w:eastAsia="ro-RO"/>
              </w:rPr>
            </w:pPr>
            <w:r w:rsidRPr="00322BD0">
              <w:rPr>
                <w:rFonts w:ascii="Cambria" w:hAnsi="Cambria" w:cs="Arial"/>
                <w:b/>
                <w:bCs/>
                <w:sz w:val="18"/>
                <w:szCs w:val="18"/>
                <w:lang w:val="en-GB"/>
              </w:rPr>
              <w:t>Liquidity indicators</w:t>
            </w:r>
          </w:p>
        </w:tc>
        <w:tc>
          <w:tcPr>
            <w:tcW w:w="923" w:type="dxa"/>
            <w:gridSpan w:val="2"/>
            <w:shd w:val="clear" w:color="auto" w:fill="D6E0F4"/>
          </w:tcPr>
          <w:p w:rsidR="002513E8" w:rsidRPr="00322BD0" w:rsidRDefault="002513E8" w:rsidP="00A74D4E">
            <w:pPr>
              <w:spacing w:after="0" w:line="240" w:lineRule="auto"/>
              <w:ind w:firstLine="0"/>
              <w:rPr>
                <w:rFonts w:ascii="Cambria" w:hAnsi="Cambria" w:cs="Arial"/>
                <w:b/>
                <w:bCs/>
                <w:sz w:val="18"/>
                <w:szCs w:val="18"/>
                <w:lang w:val="en-GB"/>
              </w:rPr>
            </w:pPr>
          </w:p>
        </w:tc>
      </w:tr>
      <w:tr w:rsidR="003A0292" w:rsidRPr="00322BD0" w:rsidTr="003A0292">
        <w:trPr>
          <w:trHeight w:val="150"/>
          <w:tblCellSpacing w:w="20" w:type="dxa"/>
        </w:trPr>
        <w:tc>
          <w:tcPr>
            <w:tcW w:w="876" w:type="dxa"/>
            <w:vMerge w:val="restart"/>
            <w:shd w:val="clear" w:color="auto" w:fill="auto"/>
            <w:noWrap/>
            <w:vAlign w:val="center"/>
            <w:hideMark/>
          </w:tcPr>
          <w:p w:rsidR="003A0292" w:rsidRPr="00322BD0" w:rsidRDefault="003A0292" w:rsidP="005C6B9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5C6B93">
            <w:pPr>
              <w:spacing w:after="0" w:line="240" w:lineRule="auto"/>
              <w:ind w:firstLine="0"/>
              <w:rPr>
                <w:rFonts w:ascii="Cambria" w:hAnsi="Cambria" w:cs="Arial"/>
                <w:sz w:val="18"/>
                <w:szCs w:val="18"/>
                <w:lang w:val="en-GB"/>
              </w:rPr>
            </w:pPr>
            <w:r w:rsidRPr="00322BD0">
              <w:rPr>
                <w:rFonts w:ascii="Cambria" w:hAnsi="Cambria" w:cs="Arial"/>
                <w:sz w:val="18"/>
                <w:szCs w:val="18"/>
                <w:lang w:val="en-GB"/>
              </w:rPr>
              <w:t>Current liquidity indicator</w:t>
            </w:r>
          </w:p>
        </w:tc>
        <w:tc>
          <w:tcPr>
            <w:tcW w:w="1580" w:type="dxa"/>
            <w:shd w:val="clear" w:color="auto" w:fill="auto"/>
            <w:noWrap/>
            <w:vAlign w:val="center"/>
            <w:hideMark/>
          </w:tcPr>
          <w:p w:rsidR="003A0292" w:rsidRPr="00322BD0" w:rsidRDefault="003A0292" w:rsidP="001C368D">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Circulating assets</w:t>
            </w:r>
          </w:p>
        </w:tc>
        <w:tc>
          <w:tcPr>
            <w:tcW w:w="128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2,17</w:t>
            </w:r>
          </w:p>
        </w:tc>
        <w:tc>
          <w:tcPr>
            <w:tcW w:w="131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3,09</w:t>
            </w:r>
          </w:p>
        </w:tc>
        <w:tc>
          <w:tcPr>
            <w:tcW w:w="137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4,10</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5,10</w:t>
            </w:r>
          </w:p>
        </w:tc>
      </w:tr>
      <w:tr w:rsidR="003A0292" w:rsidRPr="00322BD0" w:rsidTr="003A0292">
        <w:trPr>
          <w:trHeight w:val="140"/>
          <w:tblCellSpacing w:w="20" w:type="dxa"/>
        </w:trPr>
        <w:tc>
          <w:tcPr>
            <w:tcW w:w="876" w:type="dxa"/>
            <w:vMerge/>
            <w:vAlign w:val="center"/>
            <w:hideMark/>
          </w:tcPr>
          <w:p w:rsidR="003A0292" w:rsidRPr="00322BD0" w:rsidRDefault="003A0292" w:rsidP="005C6B93">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5C6B93">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1C368D">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Short-term debts</w:t>
            </w:r>
          </w:p>
        </w:tc>
        <w:tc>
          <w:tcPr>
            <w:tcW w:w="1280" w:type="dxa"/>
            <w:vMerge/>
            <w:vAlign w:val="center"/>
            <w:hideMark/>
          </w:tcPr>
          <w:p w:rsidR="003A0292" w:rsidRPr="00322BD0" w:rsidRDefault="003A0292" w:rsidP="005C6B93">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5C6B93">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5C6B93">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427"/>
          <w:tblCellSpacing w:w="20" w:type="dxa"/>
        </w:trPr>
        <w:tc>
          <w:tcPr>
            <w:tcW w:w="876" w:type="dxa"/>
            <w:vMerge w:val="restart"/>
            <w:shd w:val="clear" w:color="auto" w:fill="auto"/>
            <w:noWrap/>
            <w:vAlign w:val="center"/>
            <w:hideMark/>
          </w:tcPr>
          <w:p w:rsidR="003A0292" w:rsidRPr="00322BD0" w:rsidRDefault="003A0292" w:rsidP="005C6B93">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5C6B93">
            <w:pPr>
              <w:spacing w:after="0" w:line="240" w:lineRule="auto"/>
              <w:ind w:firstLine="0"/>
              <w:rPr>
                <w:rFonts w:ascii="Cambria" w:hAnsi="Cambria" w:cs="Arial"/>
                <w:sz w:val="18"/>
                <w:szCs w:val="18"/>
                <w:lang w:val="en-GB"/>
              </w:rPr>
            </w:pPr>
            <w:r w:rsidRPr="00322BD0">
              <w:rPr>
                <w:rFonts w:ascii="Cambria" w:hAnsi="Cambria" w:cs="Arial"/>
                <w:sz w:val="18"/>
                <w:szCs w:val="18"/>
                <w:lang w:val="en-GB"/>
              </w:rPr>
              <w:t>Immediate liquidity indicator</w:t>
            </w:r>
          </w:p>
        </w:tc>
        <w:tc>
          <w:tcPr>
            <w:tcW w:w="1580" w:type="dxa"/>
            <w:shd w:val="clear" w:color="auto" w:fill="auto"/>
            <w:noWrap/>
            <w:vAlign w:val="center"/>
            <w:hideMark/>
          </w:tcPr>
          <w:p w:rsidR="003A0292" w:rsidRPr="00322BD0" w:rsidRDefault="003A0292" w:rsidP="001C368D">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Circulating assets - Stocks</w:t>
            </w:r>
          </w:p>
        </w:tc>
        <w:tc>
          <w:tcPr>
            <w:tcW w:w="128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2,06</w:t>
            </w:r>
          </w:p>
        </w:tc>
        <w:tc>
          <w:tcPr>
            <w:tcW w:w="131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2,98</w:t>
            </w:r>
          </w:p>
        </w:tc>
        <w:tc>
          <w:tcPr>
            <w:tcW w:w="1370" w:type="dxa"/>
            <w:vMerge w:val="restart"/>
            <w:shd w:val="clear" w:color="auto" w:fill="auto"/>
            <w:noWrap/>
            <w:vAlign w:val="center"/>
            <w:hideMark/>
          </w:tcPr>
          <w:p w:rsidR="003A0292" w:rsidRPr="00322BD0" w:rsidRDefault="003A0292" w:rsidP="005C6B93">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3,83</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4,82</w:t>
            </w:r>
          </w:p>
        </w:tc>
      </w:tr>
      <w:tr w:rsidR="003A0292" w:rsidRPr="00322BD0" w:rsidTr="003A0292">
        <w:trPr>
          <w:trHeight w:val="208"/>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Short-term debts</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255"/>
          <w:tblCellSpacing w:w="20" w:type="dxa"/>
        </w:trPr>
        <w:tc>
          <w:tcPr>
            <w:tcW w:w="876"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3.</w:t>
            </w:r>
          </w:p>
        </w:tc>
        <w:tc>
          <w:tcPr>
            <w:tcW w:w="7610" w:type="dxa"/>
            <w:gridSpan w:val="5"/>
            <w:shd w:val="clear" w:color="auto" w:fill="D6E0F4"/>
            <w:noWrap/>
            <w:vAlign w:val="center"/>
            <w:hideMark/>
          </w:tcPr>
          <w:p w:rsidR="002513E8" w:rsidRPr="00322BD0" w:rsidRDefault="002513E8" w:rsidP="00A74D4E">
            <w:pPr>
              <w:spacing w:after="0" w:line="240" w:lineRule="auto"/>
              <w:ind w:firstLine="0"/>
              <w:rPr>
                <w:rFonts w:asciiTheme="majorHAnsi" w:eastAsia="Times New Roman" w:hAnsiTheme="majorHAnsi" w:cs="Arial"/>
                <w:b/>
                <w:bCs/>
                <w:sz w:val="18"/>
                <w:szCs w:val="18"/>
                <w:lang w:val="en-GB" w:eastAsia="ro-RO"/>
              </w:rPr>
            </w:pPr>
            <w:r w:rsidRPr="00322BD0">
              <w:rPr>
                <w:rFonts w:ascii="Cambria" w:hAnsi="Cambria" w:cs="Arial"/>
                <w:b/>
                <w:bCs/>
                <w:sz w:val="18"/>
                <w:szCs w:val="18"/>
                <w:lang w:val="en-GB"/>
              </w:rPr>
              <w:t>Risk indicators</w:t>
            </w:r>
          </w:p>
        </w:tc>
        <w:tc>
          <w:tcPr>
            <w:tcW w:w="923" w:type="dxa"/>
            <w:gridSpan w:val="2"/>
            <w:shd w:val="clear" w:color="auto" w:fill="D6E0F4"/>
          </w:tcPr>
          <w:p w:rsidR="002513E8" w:rsidRPr="00322BD0" w:rsidRDefault="002513E8" w:rsidP="00A74D4E">
            <w:pPr>
              <w:spacing w:after="0" w:line="240" w:lineRule="auto"/>
              <w:ind w:firstLine="0"/>
              <w:rPr>
                <w:rFonts w:ascii="Cambria" w:hAnsi="Cambria" w:cs="Arial"/>
                <w:b/>
                <w:bCs/>
                <w:sz w:val="18"/>
                <w:szCs w:val="18"/>
                <w:lang w:val="en-GB"/>
              </w:rPr>
            </w:pPr>
          </w:p>
        </w:tc>
      </w:tr>
      <w:tr w:rsidR="003A0292" w:rsidRPr="00322BD0" w:rsidTr="003A0292">
        <w:trPr>
          <w:trHeight w:val="255"/>
          <w:tblCellSpacing w:w="20" w:type="dxa"/>
        </w:trPr>
        <w:tc>
          <w:tcPr>
            <w:tcW w:w="876" w:type="dxa"/>
            <w:vMerge w:val="restart"/>
            <w:shd w:val="clear" w:color="auto" w:fill="auto"/>
            <w:noWrap/>
            <w:vAlign w:val="center"/>
            <w:hideMark/>
          </w:tcPr>
          <w:p w:rsidR="003A0292" w:rsidRPr="00322BD0" w:rsidRDefault="003A0292" w:rsidP="0025217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25217F">
            <w:pPr>
              <w:spacing w:after="0" w:line="240" w:lineRule="auto"/>
              <w:ind w:firstLine="0"/>
              <w:rPr>
                <w:rFonts w:ascii="Cambria" w:hAnsi="Cambria" w:cs="Arial"/>
                <w:sz w:val="18"/>
                <w:szCs w:val="18"/>
                <w:lang w:val="en-GB"/>
              </w:rPr>
            </w:pPr>
            <w:r w:rsidRPr="00322BD0">
              <w:rPr>
                <w:rFonts w:ascii="Cambria" w:hAnsi="Cambria" w:cs="Arial"/>
                <w:sz w:val="18"/>
                <w:szCs w:val="18"/>
                <w:lang w:val="en-GB"/>
              </w:rPr>
              <w:t>Degree of indebtness indicator</w:t>
            </w:r>
          </w:p>
        </w:tc>
        <w:tc>
          <w:tcPr>
            <w:tcW w:w="1580" w:type="dxa"/>
            <w:shd w:val="clear" w:color="auto" w:fill="auto"/>
            <w:noWrap/>
            <w:vAlign w:val="center"/>
            <w:hideMark/>
          </w:tcPr>
          <w:p w:rsidR="003A0292" w:rsidRPr="00322BD0" w:rsidRDefault="003A0292" w:rsidP="008E2BDA">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Borrowed capita</w:t>
            </w:r>
          </w:p>
        </w:tc>
        <w:tc>
          <w:tcPr>
            <w:tcW w:w="128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0,79%</w:t>
            </w:r>
          </w:p>
        </w:tc>
        <w:tc>
          <w:tcPr>
            <w:tcW w:w="131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0,00%</w:t>
            </w:r>
          </w:p>
        </w:tc>
        <w:tc>
          <w:tcPr>
            <w:tcW w:w="137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0,00%</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0,00%</w:t>
            </w:r>
          </w:p>
        </w:tc>
      </w:tr>
      <w:tr w:rsidR="003A0292" w:rsidRPr="00322BD0" w:rsidTr="003A0292">
        <w:trPr>
          <w:trHeight w:val="255"/>
          <w:tblCellSpacing w:w="20" w:type="dxa"/>
        </w:trPr>
        <w:tc>
          <w:tcPr>
            <w:tcW w:w="876"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Equity</w:t>
            </w:r>
          </w:p>
        </w:tc>
        <w:tc>
          <w:tcPr>
            <w:tcW w:w="128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84"/>
          <w:tblCellSpacing w:w="20" w:type="dxa"/>
        </w:trPr>
        <w:tc>
          <w:tcPr>
            <w:tcW w:w="876" w:type="dxa"/>
            <w:vMerge w:val="restart"/>
            <w:shd w:val="clear" w:color="auto" w:fill="auto"/>
            <w:noWrap/>
            <w:vAlign w:val="center"/>
            <w:hideMark/>
          </w:tcPr>
          <w:p w:rsidR="003A0292" w:rsidRPr="00322BD0" w:rsidRDefault="003A0292" w:rsidP="0025217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9C5D8E">
            <w:pPr>
              <w:spacing w:after="0" w:line="240" w:lineRule="auto"/>
              <w:ind w:firstLine="0"/>
              <w:rPr>
                <w:rFonts w:ascii="Cambria" w:hAnsi="Cambria" w:cs="Arial"/>
                <w:sz w:val="18"/>
                <w:szCs w:val="18"/>
                <w:lang w:val="en-GB"/>
              </w:rPr>
            </w:pPr>
            <w:r w:rsidRPr="00322BD0">
              <w:rPr>
                <w:rFonts w:ascii="Cambria" w:hAnsi="Cambria" w:cs="Arial"/>
                <w:sz w:val="18"/>
                <w:szCs w:val="18"/>
                <w:lang w:val="en-GB"/>
              </w:rPr>
              <w:t>Interest coverage ratio</w:t>
            </w:r>
          </w:p>
        </w:tc>
        <w:tc>
          <w:tcPr>
            <w:tcW w:w="1580" w:type="dxa"/>
            <w:shd w:val="clear" w:color="auto" w:fill="auto"/>
            <w:noWrap/>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 xml:space="preserve">EBIT </w:t>
            </w:r>
          </w:p>
        </w:tc>
        <w:tc>
          <w:tcPr>
            <w:tcW w:w="128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187,73</w:t>
            </w:r>
          </w:p>
        </w:tc>
        <w:tc>
          <w:tcPr>
            <w:tcW w:w="131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616,54</w:t>
            </w:r>
          </w:p>
        </w:tc>
        <w:tc>
          <w:tcPr>
            <w:tcW w:w="137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1.903,61</w:t>
            </w:r>
          </w:p>
        </w:tc>
        <w:tc>
          <w:tcPr>
            <w:tcW w:w="923" w:type="dxa"/>
            <w:gridSpan w:val="2"/>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0</w:t>
            </w:r>
          </w:p>
        </w:tc>
      </w:tr>
      <w:tr w:rsidR="003A0292" w:rsidRPr="00322BD0" w:rsidTr="003A0292">
        <w:trPr>
          <w:trHeight w:val="102"/>
          <w:tblCellSpacing w:w="20" w:type="dxa"/>
        </w:trPr>
        <w:tc>
          <w:tcPr>
            <w:tcW w:w="876"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8E2BDA">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Interest expenses</w:t>
            </w:r>
          </w:p>
        </w:tc>
        <w:tc>
          <w:tcPr>
            <w:tcW w:w="128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255"/>
          <w:tblCellSpacing w:w="20" w:type="dxa"/>
        </w:trPr>
        <w:tc>
          <w:tcPr>
            <w:tcW w:w="876" w:type="dxa"/>
            <w:shd w:val="clear" w:color="auto" w:fill="D6E0F4"/>
            <w:noWrap/>
            <w:vAlign w:val="center"/>
            <w:hideMark/>
          </w:tcPr>
          <w:p w:rsidR="002513E8" w:rsidRPr="00322BD0" w:rsidRDefault="002513E8" w:rsidP="00A74D4E">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4.</w:t>
            </w:r>
          </w:p>
        </w:tc>
        <w:tc>
          <w:tcPr>
            <w:tcW w:w="7610" w:type="dxa"/>
            <w:gridSpan w:val="5"/>
            <w:shd w:val="clear" w:color="auto" w:fill="D6E0F4"/>
            <w:noWrap/>
            <w:vAlign w:val="center"/>
            <w:hideMark/>
          </w:tcPr>
          <w:p w:rsidR="002513E8" w:rsidRPr="00322BD0" w:rsidRDefault="002513E8" w:rsidP="00A74D4E">
            <w:pPr>
              <w:spacing w:after="0" w:line="240" w:lineRule="auto"/>
              <w:ind w:firstLine="0"/>
              <w:rPr>
                <w:rFonts w:asciiTheme="majorHAnsi" w:eastAsia="Times New Roman" w:hAnsiTheme="majorHAnsi" w:cs="Arial"/>
                <w:b/>
                <w:bCs/>
                <w:sz w:val="18"/>
                <w:szCs w:val="18"/>
                <w:lang w:val="en-GB" w:eastAsia="ro-RO"/>
              </w:rPr>
            </w:pPr>
            <w:r w:rsidRPr="00322BD0">
              <w:rPr>
                <w:rFonts w:ascii="Cambria" w:hAnsi="Cambria" w:cs="Arial"/>
                <w:b/>
                <w:bCs/>
                <w:sz w:val="18"/>
                <w:szCs w:val="18"/>
                <w:lang w:val="en-GB"/>
              </w:rPr>
              <w:t>Accountancy indicators</w:t>
            </w:r>
          </w:p>
        </w:tc>
        <w:tc>
          <w:tcPr>
            <w:tcW w:w="923" w:type="dxa"/>
            <w:gridSpan w:val="2"/>
            <w:shd w:val="clear" w:color="auto" w:fill="D6E0F4"/>
          </w:tcPr>
          <w:p w:rsidR="002513E8" w:rsidRPr="00322BD0" w:rsidRDefault="002513E8" w:rsidP="00A74D4E">
            <w:pPr>
              <w:spacing w:after="0" w:line="240" w:lineRule="auto"/>
              <w:ind w:firstLine="0"/>
              <w:rPr>
                <w:rFonts w:ascii="Cambria" w:hAnsi="Cambria" w:cs="Arial"/>
                <w:b/>
                <w:bCs/>
                <w:sz w:val="18"/>
                <w:szCs w:val="18"/>
                <w:lang w:val="en-GB"/>
              </w:rPr>
            </w:pPr>
          </w:p>
        </w:tc>
      </w:tr>
      <w:tr w:rsidR="003A0292" w:rsidRPr="00322BD0" w:rsidTr="003A0292">
        <w:trPr>
          <w:gridAfter w:val="1"/>
          <w:wAfter w:w="21" w:type="dxa"/>
          <w:trHeight w:val="338"/>
          <w:tblCellSpacing w:w="20" w:type="dxa"/>
        </w:trPr>
        <w:tc>
          <w:tcPr>
            <w:tcW w:w="876" w:type="dxa"/>
            <w:vMerge w:val="restart"/>
            <w:shd w:val="clear" w:color="auto" w:fill="auto"/>
            <w:noWrap/>
            <w:vAlign w:val="center"/>
            <w:hideMark/>
          </w:tcPr>
          <w:p w:rsidR="003A0292" w:rsidRPr="00322BD0" w:rsidRDefault="003A0292" w:rsidP="0025217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C7442F">
            <w:pPr>
              <w:spacing w:after="0" w:line="240" w:lineRule="auto"/>
              <w:ind w:firstLine="0"/>
              <w:rPr>
                <w:rFonts w:ascii="Cambria" w:hAnsi="Cambria" w:cs="Arial"/>
                <w:sz w:val="18"/>
                <w:szCs w:val="18"/>
                <w:lang w:val="en-GB"/>
              </w:rPr>
            </w:pPr>
            <w:r w:rsidRPr="00322BD0">
              <w:rPr>
                <w:rFonts w:ascii="Cambria" w:hAnsi="Cambria" w:cs="Arial"/>
                <w:sz w:val="18"/>
                <w:szCs w:val="18"/>
                <w:lang w:val="en-GB"/>
              </w:rPr>
              <w:t xml:space="preserve">Days sales outstanding - clients </w:t>
            </w:r>
          </w:p>
        </w:tc>
        <w:tc>
          <w:tcPr>
            <w:tcW w:w="1580" w:type="dxa"/>
            <w:shd w:val="clear" w:color="auto" w:fill="auto"/>
            <w:noWrap/>
            <w:vAlign w:val="center"/>
            <w:hideMark/>
          </w:tcPr>
          <w:p w:rsidR="003A0292" w:rsidRPr="00322BD0" w:rsidRDefault="003A0292" w:rsidP="00AE0969">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Average balance - clients</w:t>
            </w:r>
            <w:r w:rsidRPr="00322BD0">
              <w:rPr>
                <w:rFonts w:asciiTheme="majorHAnsi" w:eastAsia="Times New Roman" w:hAnsiTheme="majorHAnsi" w:cs="Arial"/>
                <w:sz w:val="18"/>
                <w:szCs w:val="18"/>
                <w:lang w:val="en-GB" w:eastAsia="ro-RO"/>
              </w:rPr>
              <w:t xml:space="preserve"> x 365 days</w:t>
            </w:r>
          </w:p>
        </w:tc>
        <w:tc>
          <w:tcPr>
            <w:tcW w:w="128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97,57</w:t>
            </w:r>
          </w:p>
        </w:tc>
        <w:tc>
          <w:tcPr>
            <w:tcW w:w="131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94,18</w:t>
            </w:r>
          </w:p>
        </w:tc>
        <w:tc>
          <w:tcPr>
            <w:tcW w:w="137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99,56</w:t>
            </w:r>
          </w:p>
        </w:tc>
        <w:tc>
          <w:tcPr>
            <w:tcW w:w="862" w:type="dxa"/>
            <w:vMerge w:val="restart"/>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125,88</w:t>
            </w:r>
          </w:p>
        </w:tc>
      </w:tr>
      <w:tr w:rsidR="003A0292" w:rsidRPr="00322BD0" w:rsidTr="003A0292">
        <w:trPr>
          <w:gridAfter w:val="1"/>
          <w:wAfter w:w="21" w:type="dxa"/>
          <w:trHeight w:val="118"/>
          <w:tblCellSpacing w:w="20" w:type="dxa"/>
        </w:trPr>
        <w:tc>
          <w:tcPr>
            <w:tcW w:w="876"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28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3A0292" w:rsidRPr="00322BD0" w:rsidRDefault="003A0292" w:rsidP="0025217F">
            <w:pPr>
              <w:spacing w:after="0" w:line="240" w:lineRule="auto"/>
              <w:ind w:firstLine="0"/>
              <w:rPr>
                <w:rFonts w:asciiTheme="majorHAnsi" w:eastAsia="Times New Roman" w:hAnsiTheme="majorHAnsi" w:cs="Arial"/>
                <w:sz w:val="18"/>
                <w:szCs w:val="18"/>
                <w:lang w:val="en-GB" w:eastAsia="ro-RO"/>
              </w:rPr>
            </w:pPr>
          </w:p>
        </w:tc>
        <w:tc>
          <w:tcPr>
            <w:tcW w:w="862" w:type="dxa"/>
            <w:vMerge/>
            <w:vAlign w:val="center"/>
          </w:tcPr>
          <w:p w:rsidR="003A0292" w:rsidRPr="006524CC" w:rsidRDefault="003A0292" w:rsidP="008C7102">
            <w:pPr>
              <w:spacing w:after="0" w:line="240" w:lineRule="auto"/>
              <w:ind w:firstLine="0"/>
              <w:rPr>
                <w:rFonts w:ascii="Cambria" w:eastAsia="Times New Roman" w:hAnsi="Cambria" w:cs="Arial"/>
                <w:sz w:val="18"/>
                <w:szCs w:val="18"/>
                <w:lang w:val="ro-RO" w:eastAsia="ro-RO"/>
              </w:rPr>
            </w:pPr>
          </w:p>
        </w:tc>
      </w:tr>
      <w:tr w:rsidR="003A0292" w:rsidRPr="00322BD0" w:rsidTr="003A0292">
        <w:trPr>
          <w:trHeight w:val="277"/>
          <w:tblCellSpacing w:w="20" w:type="dxa"/>
        </w:trPr>
        <w:tc>
          <w:tcPr>
            <w:tcW w:w="876" w:type="dxa"/>
            <w:vMerge w:val="restart"/>
            <w:shd w:val="clear" w:color="auto" w:fill="auto"/>
            <w:noWrap/>
            <w:vAlign w:val="center"/>
            <w:hideMark/>
          </w:tcPr>
          <w:p w:rsidR="003A0292" w:rsidRPr="00322BD0" w:rsidRDefault="003A0292" w:rsidP="0025217F">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 </w:t>
            </w:r>
          </w:p>
        </w:tc>
        <w:tc>
          <w:tcPr>
            <w:tcW w:w="1910" w:type="dxa"/>
            <w:vMerge w:val="restart"/>
            <w:shd w:val="clear" w:color="auto" w:fill="auto"/>
            <w:noWrap/>
            <w:vAlign w:val="center"/>
            <w:hideMark/>
          </w:tcPr>
          <w:p w:rsidR="003A0292" w:rsidRPr="00322BD0" w:rsidRDefault="003A0292" w:rsidP="0025217F">
            <w:pPr>
              <w:spacing w:after="0" w:line="240" w:lineRule="auto"/>
              <w:ind w:firstLine="0"/>
              <w:rPr>
                <w:rFonts w:ascii="Cambria" w:hAnsi="Cambria" w:cs="Arial"/>
                <w:sz w:val="18"/>
                <w:szCs w:val="18"/>
                <w:lang w:val="en-GB"/>
              </w:rPr>
            </w:pPr>
            <w:r w:rsidRPr="00322BD0">
              <w:rPr>
                <w:rFonts w:ascii="Cambria" w:hAnsi="Cambria" w:cs="Arial"/>
                <w:sz w:val="18"/>
                <w:szCs w:val="18"/>
                <w:lang w:val="en-GB"/>
              </w:rPr>
              <w:t>Days payable outstanding - suppliers</w:t>
            </w:r>
          </w:p>
        </w:tc>
        <w:tc>
          <w:tcPr>
            <w:tcW w:w="1580" w:type="dxa"/>
            <w:shd w:val="clear" w:color="auto" w:fill="auto"/>
            <w:noWrap/>
            <w:vAlign w:val="center"/>
            <w:hideMark/>
          </w:tcPr>
          <w:p w:rsidR="003A0292" w:rsidRPr="00322BD0" w:rsidRDefault="003A0292" w:rsidP="00AE0969">
            <w:pPr>
              <w:spacing w:after="0" w:line="240" w:lineRule="auto"/>
              <w:ind w:firstLine="0"/>
              <w:rPr>
                <w:rFonts w:asciiTheme="majorHAnsi" w:eastAsia="Times New Roman" w:hAnsiTheme="majorHAnsi" w:cs="Arial"/>
                <w:sz w:val="18"/>
                <w:szCs w:val="18"/>
                <w:u w:val="single"/>
                <w:lang w:val="en-GB" w:eastAsia="ro-RO"/>
              </w:rPr>
            </w:pPr>
            <w:r w:rsidRPr="00322BD0">
              <w:rPr>
                <w:rFonts w:asciiTheme="majorHAnsi" w:eastAsia="Times New Roman" w:hAnsiTheme="majorHAnsi" w:cs="Arial"/>
                <w:sz w:val="18"/>
                <w:szCs w:val="18"/>
                <w:u w:val="single"/>
                <w:lang w:val="en-GB" w:eastAsia="ro-RO"/>
              </w:rPr>
              <w:t xml:space="preserve">Average balance – suppliers </w:t>
            </w:r>
            <w:r w:rsidRPr="00322BD0">
              <w:rPr>
                <w:rFonts w:asciiTheme="majorHAnsi" w:eastAsia="Times New Roman" w:hAnsiTheme="majorHAnsi" w:cs="Arial"/>
                <w:sz w:val="18"/>
                <w:szCs w:val="18"/>
                <w:lang w:val="en-GB" w:eastAsia="ro-RO"/>
              </w:rPr>
              <w:t>x 365 days</w:t>
            </w:r>
          </w:p>
        </w:tc>
        <w:tc>
          <w:tcPr>
            <w:tcW w:w="128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22,41</w:t>
            </w:r>
          </w:p>
        </w:tc>
        <w:tc>
          <w:tcPr>
            <w:tcW w:w="131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17,61</w:t>
            </w:r>
          </w:p>
        </w:tc>
        <w:tc>
          <w:tcPr>
            <w:tcW w:w="1370" w:type="dxa"/>
            <w:vMerge w:val="restart"/>
            <w:shd w:val="clear" w:color="auto" w:fill="auto"/>
            <w:noWrap/>
            <w:vAlign w:val="center"/>
            <w:hideMark/>
          </w:tcPr>
          <w:p w:rsidR="003A0292" w:rsidRPr="00322BD0" w:rsidRDefault="003A0292" w:rsidP="0025217F">
            <w:pPr>
              <w:spacing w:after="0" w:line="240" w:lineRule="auto"/>
              <w:ind w:firstLine="0"/>
              <w:jc w:val="right"/>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19,32</w:t>
            </w:r>
          </w:p>
        </w:tc>
        <w:tc>
          <w:tcPr>
            <w:tcW w:w="923" w:type="dxa"/>
            <w:gridSpan w:val="2"/>
            <w:vAlign w:val="center"/>
          </w:tcPr>
          <w:p w:rsidR="003A0292" w:rsidRPr="006524CC" w:rsidRDefault="003A0292" w:rsidP="008C7102">
            <w:pPr>
              <w:spacing w:after="0" w:line="240" w:lineRule="auto"/>
              <w:ind w:firstLine="0"/>
              <w:jc w:val="right"/>
              <w:rPr>
                <w:rFonts w:ascii="Cambria" w:eastAsia="Times New Roman" w:hAnsi="Cambria" w:cs="Arial"/>
                <w:sz w:val="18"/>
                <w:szCs w:val="18"/>
                <w:lang w:val="ro-RO" w:eastAsia="ro-RO"/>
              </w:rPr>
            </w:pPr>
            <w:r w:rsidRPr="006524CC">
              <w:rPr>
                <w:rFonts w:ascii="Cambria" w:eastAsia="Times New Roman" w:hAnsi="Cambria" w:cs="Arial"/>
                <w:sz w:val="18"/>
                <w:szCs w:val="18"/>
                <w:lang w:val="ro-RO" w:eastAsia="ro-RO"/>
              </w:rPr>
              <w:t>17,64</w:t>
            </w:r>
          </w:p>
        </w:tc>
      </w:tr>
      <w:tr w:rsidR="003A0292" w:rsidRPr="00322BD0" w:rsidTr="003A0292">
        <w:trPr>
          <w:trHeight w:val="72"/>
          <w:tblCellSpacing w:w="20" w:type="dxa"/>
        </w:trPr>
        <w:tc>
          <w:tcPr>
            <w:tcW w:w="876" w:type="dxa"/>
            <w:vMerge/>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c>
          <w:tcPr>
            <w:tcW w:w="1910" w:type="dxa"/>
            <w:vMerge/>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c>
          <w:tcPr>
            <w:tcW w:w="1580" w:type="dxa"/>
            <w:shd w:val="clear" w:color="auto" w:fill="auto"/>
            <w:noWrap/>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Turnover</w:t>
            </w:r>
          </w:p>
        </w:tc>
        <w:tc>
          <w:tcPr>
            <w:tcW w:w="1280" w:type="dxa"/>
            <w:vMerge/>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c>
          <w:tcPr>
            <w:tcW w:w="1310" w:type="dxa"/>
            <w:vMerge/>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c>
          <w:tcPr>
            <w:tcW w:w="1370" w:type="dxa"/>
            <w:vMerge/>
            <w:vAlign w:val="center"/>
            <w:hideMark/>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c>
          <w:tcPr>
            <w:tcW w:w="923" w:type="dxa"/>
            <w:gridSpan w:val="2"/>
          </w:tcPr>
          <w:p w:rsidR="002513E8" w:rsidRPr="00322BD0" w:rsidRDefault="002513E8" w:rsidP="00A74D4E">
            <w:pPr>
              <w:spacing w:after="0" w:line="240" w:lineRule="auto"/>
              <w:ind w:firstLine="0"/>
              <w:rPr>
                <w:rFonts w:asciiTheme="majorHAnsi" w:eastAsia="Times New Roman" w:hAnsiTheme="majorHAnsi" w:cs="Arial"/>
                <w:sz w:val="18"/>
                <w:szCs w:val="18"/>
                <w:lang w:val="en-GB" w:eastAsia="ro-RO"/>
              </w:rPr>
            </w:pPr>
          </w:p>
        </w:tc>
      </w:tr>
    </w:tbl>
    <w:p w:rsidR="00E22A8D" w:rsidRPr="00322BD0" w:rsidRDefault="00E22A8D" w:rsidP="00E22A8D">
      <w:pPr>
        <w:spacing w:after="0" w:line="240" w:lineRule="auto"/>
        <w:ind w:firstLine="0"/>
        <w:jc w:val="center"/>
        <w:rPr>
          <w:rFonts w:ascii="Cambria" w:eastAsia="Times New Roman" w:hAnsi="Cambria" w:cs="Times New Roman"/>
          <w:b/>
          <w:i/>
          <w:sz w:val="16"/>
          <w:szCs w:val="16"/>
          <w:lang w:val="en-GB" w:eastAsia="ro-RO"/>
        </w:rPr>
      </w:pPr>
    </w:p>
    <w:p w:rsidR="00E22A8D" w:rsidRPr="00322BD0" w:rsidRDefault="00AF7986" w:rsidP="00E22A8D">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 xml:space="preserve">Table </w:t>
      </w:r>
      <w:r w:rsidR="00BC6CDF">
        <w:rPr>
          <w:rFonts w:ascii="Cambria" w:eastAsia="Times New Roman" w:hAnsi="Cambria" w:cs="Times New Roman"/>
          <w:b/>
          <w:i/>
          <w:sz w:val="16"/>
          <w:szCs w:val="16"/>
          <w:lang w:val="en-GB" w:eastAsia="ro-RO"/>
        </w:rPr>
        <w:t>11</w:t>
      </w:r>
      <w:r w:rsidR="00E22A8D" w:rsidRPr="00322BD0">
        <w:rPr>
          <w:rFonts w:ascii="Cambria" w:eastAsia="Times New Roman" w:hAnsi="Cambria" w:cs="Times New Roman"/>
          <w:b/>
          <w:i/>
          <w:sz w:val="16"/>
          <w:szCs w:val="16"/>
          <w:lang w:val="en-GB" w:eastAsia="ro-RO"/>
        </w:rPr>
        <w:t xml:space="preserve"> – </w:t>
      </w:r>
      <w:r w:rsidRPr="00322BD0">
        <w:rPr>
          <w:rFonts w:ascii="Cambria" w:eastAsia="Times New Roman" w:hAnsi="Cambria" w:cs="Cambria"/>
          <w:b/>
          <w:bCs/>
          <w:i/>
          <w:iCs/>
          <w:sz w:val="16"/>
          <w:szCs w:val="16"/>
          <w:lang w:val="en-GB"/>
        </w:rPr>
        <w:t xml:space="preserve">Evolution of profitability, liquidity, risk and management indicators for the period </w:t>
      </w:r>
      <w:r w:rsidR="00E22A8D" w:rsidRPr="00322BD0">
        <w:rPr>
          <w:rFonts w:ascii="Cambria" w:eastAsia="Times New Roman" w:hAnsi="Cambria" w:cs="Times New Roman"/>
          <w:b/>
          <w:i/>
          <w:sz w:val="16"/>
          <w:szCs w:val="16"/>
          <w:lang w:val="en-GB" w:eastAsia="ro-RO"/>
        </w:rPr>
        <w:t xml:space="preserve">2013 </w:t>
      </w:r>
      <w:r w:rsidR="006C003C" w:rsidRPr="00322BD0">
        <w:rPr>
          <w:rFonts w:ascii="Cambria" w:eastAsia="Times New Roman" w:hAnsi="Cambria" w:cs="Times New Roman"/>
          <w:b/>
          <w:i/>
          <w:sz w:val="16"/>
          <w:szCs w:val="16"/>
          <w:lang w:val="en-GB" w:eastAsia="ro-RO"/>
        </w:rPr>
        <w:t>–</w:t>
      </w:r>
      <w:r w:rsidR="00BC6CDF">
        <w:rPr>
          <w:rFonts w:ascii="Cambria" w:eastAsia="Times New Roman" w:hAnsi="Cambria" w:cs="Times New Roman"/>
          <w:b/>
          <w:i/>
          <w:sz w:val="16"/>
          <w:szCs w:val="16"/>
          <w:lang w:val="en-GB" w:eastAsia="ro-RO"/>
        </w:rPr>
        <w:t xml:space="preserve"> 2016</w:t>
      </w:r>
    </w:p>
    <w:p w:rsidR="006C003C" w:rsidRPr="00322BD0" w:rsidRDefault="006C003C" w:rsidP="00E22A8D">
      <w:pPr>
        <w:spacing w:after="0" w:line="240" w:lineRule="auto"/>
        <w:ind w:firstLine="0"/>
        <w:jc w:val="center"/>
        <w:rPr>
          <w:rFonts w:ascii="Cambria" w:eastAsia="Times New Roman" w:hAnsi="Cambria" w:cs="Times New Roman"/>
          <w:b/>
          <w:i/>
          <w:sz w:val="16"/>
          <w:szCs w:val="16"/>
          <w:lang w:val="en-GB" w:eastAsia="ro-RO"/>
        </w:rPr>
      </w:pPr>
    </w:p>
    <w:p w:rsidR="00BC6CDF" w:rsidRDefault="00BC6CDF" w:rsidP="006C003C">
      <w:pPr>
        <w:spacing w:after="0" w:line="240" w:lineRule="auto"/>
        <w:ind w:firstLine="0"/>
        <w:jc w:val="center"/>
        <w:rPr>
          <w:rFonts w:ascii="Cambria" w:eastAsia="Times New Roman" w:hAnsi="Cambria" w:cs="Times New Roman"/>
          <w:b/>
          <w:i/>
          <w:noProof/>
          <w:color w:val="FF0000"/>
          <w:sz w:val="16"/>
          <w:szCs w:val="16"/>
          <w:lang w:val="ro-RO" w:eastAsia="ro-RO"/>
        </w:rPr>
      </w:pPr>
      <w:r w:rsidRPr="00715E6E">
        <w:rPr>
          <w:rFonts w:ascii="Cambria" w:eastAsia="Times New Roman" w:hAnsi="Cambria" w:cs="Times New Roman"/>
          <w:b/>
          <w:i/>
          <w:noProof/>
          <w:color w:val="FF0000"/>
          <w:sz w:val="16"/>
          <w:szCs w:val="16"/>
          <w:lang w:val="ro-RO" w:eastAsia="ro-RO"/>
        </w:rPr>
        <w:lastRenderedPageBreak/>
        <w:drawing>
          <wp:inline distT="0" distB="0" distL="0" distR="0" wp14:anchorId="34FA2015" wp14:editId="7AADA78F">
            <wp:extent cx="5800725" cy="1581150"/>
            <wp:effectExtent l="0" t="0" r="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C003C" w:rsidRPr="00E030DF" w:rsidRDefault="006C003C" w:rsidP="006C003C">
      <w:pPr>
        <w:spacing w:after="0" w:line="240" w:lineRule="auto"/>
        <w:ind w:firstLine="0"/>
        <w:jc w:val="center"/>
        <w:rPr>
          <w:rFonts w:ascii="Cambria" w:eastAsia="Times New Roman" w:hAnsi="Cambria" w:cs="Times New Roman"/>
          <w:b/>
          <w:i/>
          <w:sz w:val="16"/>
          <w:szCs w:val="16"/>
          <w:lang w:val="ru-RU" w:eastAsia="ro-RO"/>
        </w:rPr>
      </w:pPr>
      <w:r w:rsidRPr="00322BD0">
        <w:rPr>
          <w:rFonts w:ascii="Cambria" w:eastAsia="Times New Roman" w:hAnsi="Cambria" w:cs="Times New Roman"/>
          <w:b/>
          <w:i/>
          <w:sz w:val="16"/>
          <w:szCs w:val="16"/>
          <w:lang w:val="en-GB" w:eastAsia="ro-RO"/>
        </w:rPr>
        <w:t xml:space="preserve"> </w:t>
      </w:r>
      <w:r w:rsidR="008A4688" w:rsidRPr="00322BD0">
        <w:rPr>
          <w:rFonts w:ascii="Cambria" w:eastAsia="Times New Roman" w:hAnsi="Cambria" w:cs="Times New Roman"/>
          <w:b/>
          <w:i/>
          <w:sz w:val="16"/>
          <w:szCs w:val="16"/>
          <w:lang w:val="en-GB" w:eastAsia="ro-RO"/>
        </w:rPr>
        <w:t>Chart</w:t>
      </w:r>
      <w:r w:rsidR="00E030DF">
        <w:rPr>
          <w:rFonts w:ascii="Cambria" w:eastAsia="Times New Roman" w:hAnsi="Cambria" w:cs="Times New Roman"/>
          <w:b/>
          <w:i/>
          <w:sz w:val="16"/>
          <w:szCs w:val="16"/>
          <w:lang w:val="en-GB" w:eastAsia="ro-RO"/>
        </w:rPr>
        <w:t xml:space="preserve"> 1</w:t>
      </w:r>
      <w:r w:rsidR="00E030DF">
        <w:rPr>
          <w:rFonts w:ascii="Cambria" w:eastAsia="Times New Roman" w:hAnsi="Cambria" w:cs="Times New Roman"/>
          <w:b/>
          <w:i/>
          <w:sz w:val="16"/>
          <w:szCs w:val="16"/>
          <w:lang w:val="ru-RU" w:eastAsia="ro-RO"/>
        </w:rPr>
        <w:t>9</w:t>
      </w:r>
      <w:r w:rsidRPr="00322BD0">
        <w:rPr>
          <w:rFonts w:ascii="Cambria" w:eastAsia="Times New Roman" w:hAnsi="Cambria" w:cs="Times New Roman"/>
          <w:b/>
          <w:i/>
          <w:sz w:val="16"/>
          <w:szCs w:val="16"/>
          <w:lang w:val="en-GB" w:eastAsia="ro-RO"/>
        </w:rPr>
        <w:t>–Evolu</w:t>
      </w:r>
      <w:r w:rsidR="008A4688" w:rsidRPr="00322BD0">
        <w:rPr>
          <w:rFonts w:ascii="Cambria" w:eastAsia="Times New Roman" w:hAnsi="Cambria" w:cs="Times New Roman"/>
          <w:b/>
          <w:i/>
          <w:sz w:val="16"/>
          <w:szCs w:val="16"/>
          <w:lang w:val="en-GB" w:eastAsia="ro-RO"/>
        </w:rPr>
        <w:t>tion of profitability indicators for the period</w:t>
      </w:r>
      <w:r w:rsidR="00E030DF">
        <w:rPr>
          <w:rFonts w:ascii="Cambria" w:eastAsia="Times New Roman" w:hAnsi="Cambria" w:cs="Times New Roman"/>
          <w:b/>
          <w:i/>
          <w:sz w:val="16"/>
          <w:szCs w:val="16"/>
          <w:lang w:val="en-GB" w:eastAsia="ro-RO"/>
        </w:rPr>
        <w:t xml:space="preserve"> 2013 – 201</w:t>
      </w:r>
      <w:r w:rsidR="00E030DF">
        <w:rPr>
          <w:rFonts w:ascii="Cambria" w:eastAsia="Times New Roman" w:hAnsi="Cambria" w:cs="Times New Roman"/>
          <w:b/>
          <w:i/>
          <w:sz w:val="16"/>
          <w:szCs w:val="16"/>
          <w:lang w:val="ru-RU" w:eastAsia="ro-RO"/>
        </w:rPr>
        <w:t>6</w:t>
      </w:r>
    </w:p>
    <w:p w:rsidR="006C003C" w:rsidRPr="00322BD0" w:rsidRDefault="006C003C" w:rsidP="006C003C">
      <w:pPr>
        <w:spacing w:after="0" w:line="240" w:lineRule="auto"/>
        <w:ind w:firstLine="0"/>
        <w:jc w:val="center"/>
        <w:rPr>
          <w:rFonts w:ascii="Cambria" w:eastAsia="Times New Roman" w:hAnsi="Cambria" w:cs="Times New Roman"/>
          <w:b/>
          <w:i/>
          <w:sz w:val="16"/>
          <w:szCs w:val="16"/>
          <w:lang w:val="en-GB" w:eastAsia="ro-RO"/>
        </w:rPr>
      </w:pPr>
    </w:p>
    <w:p w:rsidR="00BC6CDF" w:rsidRDefault="00BC6CDF" w:rsidP="006C003C">
      <w:pPr>
        <w:spacing w:after="0" w:line="240" w:lineRule="auto"/>
        <w:ind w:firstLine="0"/>
        <w:jc w:val="center"/>
        <w:rPr>
          <w:rFonts w:ascii="Cambria" w:eastAsia="Calibri" w:hAnsi="Cambria" w:cs="Times New Roman"/>
          <w:noProof/>
          <w:color w:val="FF0000"/>
          <w:lang w:val="ro-RO" w:eastAsia="ro-RO"/>
        </w:rPr>
      </w:pPr>
      <w:r w:rsidRPr="00715E6E">
        <w:rPr>
          <w:rFonts w:ascii="Cambria" w:eastAsia="Calibri" w:hAnsi="Cambria" w:cs="Times New Roman"/>
          <w:noProof/>
          <w:color w:val="FF0000"/>
          <w:lang w:val="ro-RO" w:eastAsia="ro-RO"/>
        </w:rPr>
        <w:drawing>
          <wp:inline distT="0" distB="0" distL="0" distR="0" wp14:anchorId="7302024C" wp14:editId="2F1F066F">
            <wp:extent cx="5486400" cy="1381125"/>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C003C" w:rsidRPr="00E030DF" w:rsidRDefault="006C003C" w:rsidP="006C003C">
      <w:pPr>
        <w:spacing w:after="0" w:line="240" w:lineRule="auto"/>
        <w:ind w:firstLine="0"/>
        <w:jc w:val="center"/>
        <w:rPr>
          <w:rFonts w:ascii="Cambria" w:eastAsia="Times New Roman" w:hAnsi="Cambria" w:cs="Times New Roman"/>
          <w:b/>
          <w:i/>
          <w:sz w:val="16"/>
          <w:szCs w:val="16"/>
          <w:lang w:val="ru-RU" w:eastAsia="ro-RO"/>
        </w:rPr>
      </w:pPr>
      <w:r w:rsidRPr="00322BD0">
        <w:rPr>
          <w:rFonts w:ascii="Cambria" w:eastAsia="Times New Roman" w:hAnsi="Cambria" w:cs="Times New Roman"/>
          <w:b/>
          <w:i/>
          <w:sz w:val="16"/>
          <w:szCs w:val="16"/>
          <w:lang w:val="en-GB" w:eastAsia="ro-RO"/>
        </w:rPr>
        <w:t xml:space="preserve"> </w:t>
      </w:r>
      <w:r w:rsidR="008A4688" w:rsidRPr="00322BD0">
        <w:rPr>
          <w:rFonts w:ascii="Cambria" w:eastAsia="Times New Roman" w:hAnsi="Cambria" w:cs="Times New Roman"/>
          <w:b/>
          <w:i/>
          <w:sz w:val="16"/>
          <w:szCs w:val="16"/>
          <w:lang w:val="en-GB" w:eastAsia="ro-RO"/>
        </w:rPr>
        <w:t xml:space="preserve">Chart </w:t>
      </w:r>
      <w:r w:rsidR="00E030DF">
        <w:rPr>
          <w:rFonts w:ascii="Cambria" w:eastAsia="Times New Roman" w:hAnsi="Cambria" w:cs="Times New Roman"/>
          <w:b/>
          <w:i/>
          <w:sz w:val="16"/>
          <w:szCs w:val="16"/>
          <w:lang w:val="ru-RU" w:eastAsia="ro-RO"/>
        </w:rPr>
        <w:t>20</w:t>
      </w:r>
      <w:r w:rsidRPr="00322BD0">
        <w:rPr>
          <w:rFonts w:ascii="Cambria" w:eastAsia="Times New Roman" w:hAnsi="Cambria" w:cs="Times New Roman"/>
          <w:b/>
          <w:i/>
          <w:sz w:val="16"/>
          <w:szCs w:val="16"/>
          <w:lang w:val="en-GB" w:eastAsia="ro-RO"/>
        </w:rPr>
        <w:t>–</w:t>
      </w:r>
      <w:r w:rsidR="008A4688" w:rsidRPr="00322BD0">
        <w:rPr>
          <w:rFonts w:ascii="Cambria" w:eastAsia="Times New Roman" w:hAnsi="Cambria" w:cs="Times New Roman"/>
          <w:b/>
          <w:i/>
          <w:sz w:val="16"/>
          <w:szCs w:val="16"/>
          <w:lang w:val="en-GB" w:eastAsia="ro-RO"/>
        </w:rPr>
        <w:t xml:space="preserve"> Evolution of </w:t>
      </w:r>
      <w:r w:rsidR="009207A6" w:rsidRPr="00322BD0">
        <w:rPr>
          <w:rFonts w:ascii="Cambria" w:eastAsia="Times New Roman" w:hAnsi="Cambria" w:cs="Times New Roman"/>
          <w:b/>
          <w:i/>
          <w:sz w:val="16"/>
          <w:szCs w:val="16"/>
          <w:lang w:val="en-GB" w:eastAsia="ro-RO"/>
        </w:rPr>
        <w:t>liquidity indicators for the period</w:t>
      </w:r>
      <w:r w:rsidR="00E030DF">
        <w:rPr>
          <w:rFonts w:ascii="Cambria" w:eastAsia="Times New Roman" w:hAnsi="Cambria" w:cs="Times New Roman"/>
          <w:b/>
          <w:i/>
          <w:sz w:val="16"/>
          <w:szCs w:val="16"/>
          <w:lang w:val="en-GB" w:eastAsia="ro-RO"/>
        </w:rPr>
        <w:t xml:space="preserve"> 2013 - 201</w:t>
      </w:r>
      <w:r w:rsidR="00E030DF">
        <w:rPr>
          <w:rFonts w:ascii="Cambria" w:eastAsia="Times New Roman" w:hAnsi="Cambria" w:cs="Times New Roman"/>
          <w:b/>
          <w:i/>
          <w:sz w:val="16"/>
          <w:szCs w:val="16"/>
          <w:lang w:val="ru-RU" w:eastAsia="ro-RO"/>
        </w:rPr>
        <w:t>6</w:t>
      </w:r>
    </w:p>
    <w:p w:rsidR="006C003C" w:rsidRPr="00322BD0" w:rsidRDefault="006C003C" w:rsidP="006C003C">
      <w:pPr>
        <w:spacing w:after="0" w:line="240" w:lineRule="auto"/>
        <w:ind w:firstLine="0"/>
        <w:jc w:val="center"/>
        <w:rPr>
          <w:rFonts w:ascii="Cambria" w:eastAsia="Times New Roman" w:hAnsi="Cambria" w:cs="Times New Roman"/>
          <w:sz w:val="24"/>
          <w:szCs w:val="24"/>
          <w:lang w:val="en-GB" w:eastAsia="ro-RO"/>
        </w:rPr>
      </w:pPr>
    </w:p>
    <w:p w:rsidR="006C003C" w:rsidRPr="00322BD0" w:rsidRDefault="00BC6CDF" w:rsidP="006C003C">
      <w:pPr>
        <w:spacing w:after="0" w:line="240" w:lineRule="auto"/>
        <w:ind w:firstLine="0"/>
        <w:jc w:val="center"/>
        <w:rPr>
          <w:rFonts w:ascii="Cambria" w:eastAsia="Times New Roman" w:hAnsi="Cambria" w:cs="Times New Roman"/>
          <w:b/>
          <w:i/>
          <w:sz w:val="16"/>
          <w:szCs w:val="16"/>
          <w:lang w:val="en-GB" w:eastAsia="ro-RO"/>
        </w:rPr>
      </w:pPr>
      <w:r>
        <w:rPr>
          <w:noProof/>
          <w:lang w:val="ro-RO" w:eastAsia="ro-RO"/>
        </w:rPr>
        <w:drawing>
          <wp:inline distT="0" distB="0" distL="0" distR="0" wp14:anchorId="5446AEA8" wp14:editId="36A7572C">
            <wp:extent cx="5732145" cy="971550"/>
            <wp:effectExtent l="0" t="0" r="1905"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6C003C" w:rsidRPr="00322BD0">
        <w:rPr>
          <w:rFonts w:ascii="Cambria" w:eastAsia="Times New Roman" w:hAnsi="Cambria" w:cs="Times New Roman"/>
          <w:b/>
          <w:i/>
          <w:sz w:val="16"/>
          <w:szCs w:val="16"/>
          <w:lang w:val="en-GB" w:eastAsia="ro-RO"/>
        </w:rPr>
        <w:t xml:space="preserve"> </w:t>
      </w:r>
    </w:p>
    <w:p w:rsidR="006C003C" w:rsidRPr="00E030DF" w:rsidRDefault="009207A6" w:rsidP="006C003C">
      <w:pPr>
        <w:spacing w:after="0" w:line="240" w:lineRule="auto"/>
        <w:ind w:firstLine="0"/>
        <w:jc w:val="center"/>
        <w:rPr>
          <w:rFonts w:ascii="Cambria" w:eastAsia="Times New Roman" w:hAnsi="Cambria" w:cs="Times New Roman"/>
          <w:sz w:val="24"/>
          <w:szCs w:val="24"/>
          <w:lang w:val="ru-RU" w:eastAsia="ro-RO"/>
        </w:rPr>
      </w:pPr>
      <w:r w:rsidRPr="00322BD0">
        <w:rPr>
          <w:rFonts w:ascii="Cambria" w:eastAsia="Times New Roman" w:hAnsi="Cambria" w:cs="Times New Roman"/>
          <w:b/>
          <w:i/>
          <w:sz w:val="16"/>
          <w:szCs w:val="16"/>
          <w:lang w:val="en-GB" w:eastAsia="ro-RO"/>
        </w:rPr>
        <w:t xml:space="preserve">Chart </w:t>
      </w:r>
      <w:r w:rsidR="00E030DF">
        <w:rPr>
          <w:rFonts w:ascii="Cambria" w:eastAsia="Times New Roman" w:hAnsi="Cambria" w:cs="Times New Roman"/>
          <w:b/>
          <w:i/>
          <w:sz w:val="16"/>
          <w:szCs w:val="16"/>
          <w:lang w:val="ru-RU" w:eastAsia="ro-RO"/>
        </w:rPr>
        <w:t>2</w:t>
      </w:r>
      <w:r w:rsidR="00E030DF">
        <w:rPr>
          <w:rFonts w:ascii="Cambria" w:eastAsia="Times New Roman" w:hAnsi="Cambria" w:cs="Times New Roman"/>
          <w:b/>
          <w:i/>
          <w:sz w:val="16"/>
          <w:szCs w:val="16"/>
          <w:lang w:val="en-GB" w:eastAsia="ro-RO"/>
        </w:rPr>
        <w:t>1</w:t>
      </w:r>
      <w:r w:rsidR="006C003C" w:rsidRPr="00322BD0">
        <w:rPr>
          <w:rFonts w:ascii="Cambria" w:eastAsia="Times New Roman" w:hAnsi="Cambria" w:cs="Times New Roman"/>
          <w:b/>
          <w:i/>
          <w:sz w:val="16"/>
          <w:szCs w:val="16"/>
          <w:lang w:val="en-GB" w:eastAsia="ro-RO"/>
        </w:rPr>
        <w:t>–</w:t>
      </w:r>
      <w:r w:rsidRPr="00322BD0">
        <w:rPr>
          <w:rFonts w:ascii="Cambria" w:eastAsia="Times New Roman" w:hAnsi="Cambria" w:cs="Times New Roman"/>
          <w:b/>
          <w:i/>
          <w:sz w:val="16"/>
          <w:szCs w:val="16"/>
          <w:lang w:val="en-GB" w:eastAsia="ro-RO"/>
        </w:rPr>
        <w:t xml:space="preserve"> Evolution of risk indicators for the period </w:t>
      </w:r>
      <w:r w:rsidR="00E030DF">
        <w:rPr>
          <w:rFonts w:ascii="Cambria" w:eastAsia="Times New Roman" w:hAnsi="Cambria" w:cs="Times New Roman"/>
          <w:b/>
          <w:i/>
          <w:sz w:val="16"/>
          <w:szCs w:val="16"/>
          <w:lang w:val="en-GB" w:eastAsia="ro-RO"/>
        </w:rPr>
        <w:t>2013 – 201</w:t>
      </w:r>
      <w:r w:rsidR="00E030DF">
        <w:rPr>
          <w:rFonts w:ascii="Cambria" w:eastAsia="Times New Roman" w:hAnsi="Cambria" w:cs="Times New Roman"/>
          <w:b/>
          <w:i/>
          <w:sz w:val="16"/>
          <w:szCs w:val="16"/>
          <w:lang w:val="ru-RU" w:eastAsia="ro-RO"/>
        </w:rPr>
        <w:t>6</w:t>
      </w:r>
    </w:p>
    <w:p w:rsidR="006C003C" w:rsidRPr="00322BD0" w:rsidRDefault="006C003C" w:rsidP="00E22A8D">
      <w:pPr>
        <w:spacing w:after="0" w:line="240" w:lineRule="auto"/>
        <w:ind w:firstLine="0"/>
        <w:jc w:val="center"/>
        <w:rPr>
          <w:rFonts w:ascii="Cambria" w:eastAsia="Times New Roman" w:hAnsi="Cambria" w:cs="Times New Roman"/>
          <w:b/>
          <w:i/>
          <w:sz w:val="16"/>
          <w:szCs w:val="16"/>
          <w:lang w:val="en-GB" w:eastAsia="ro-RO"/>
        </w:rPr>
      </w:pPr>
    </w:p>
    <w:p w:rsidR="00ED3CEE" w:rsidRPr="00322BD0" w:rsidRDefault="001A10FF" w:rsidP="004F36B6">
      <w:pPr>
        <w:pStyle w:val="Heading2"/>
        <w:rPr>
          <w:rFonts w:ascii="Cambria" w:hAnsi="Cambria"/>
          <w:i w:val="0"/>
          <w:sz w:val="24"/>
          <w:szCs w:val="24"/>
          <w:lang w:val="en-GB"/>
        </w:rPr>
      </w:pPr>
      <w:bookmarkStart w:id="16" w:name="_Toc414263616"/>
      <w:bookmarkStart w:id="17" w:name="_Toc446310814"/>
      <w:r w:rsidRPr="00322BD0">
        <w:rPr>
          <w:rFonts w:ascii="Cambria" w:hAnsi="Cambria"/>
          <w:i w:val="0"/>
          <w:sz w:val="24"/>
          <w:szCs w:val="24"/>
          <w:lang w:val="en-GB"/>
        </w:rPr>
        <w:t xml:space="preserve">2.3 </w:t>
      </w:r>
      <w:bookmarkEnd w:id="16"/>
      <w:r w:rsidR="00281F0D" w:rsidRPr="00322BD0">
        <w:rPr>
          <w:rFonts w:ascii="Cambria" w:eastAsia="Times New Roman" w:hAnsi="Cambria" w:cs="Times New Roman"/>
          <w:bCs w:val="0"/>
          <w:i w:val="0"/>
          <w:iCs w:val="0"/>
          <w:sz w:val="24"/>
          <w:szCs w:val="24"/>
          <w:lang w:val="en-GB"/>
        </w:rPr>
        <w:t>Indicators of the investment activity</w:t>
      </w:r>
      <w:bookmarkEnd w:id="17"/>
    </w:p>
    <w:p w:rsidR="00A81282" w:rsidRPr="00322BD0" w:rsidRDefault="00281F0D" w:rsidP="00A6625A">
      <w:pPr>
        <w:spacing w:after="120" w:line="25" w:lineRule="atLeast"/>
        <w:ind w:firstLine="0"/>
        <w:jc w:val="both"/>
        <w:rPr>
          <w:rFonts w:ascii="Cambria" w:eastAsia="Times New Roman" w:hAnsi="Cambria" w:cs="Times New Roman"/>
          <w:sz w:val="24"/>
          <w:szCs w:val="24"/>
          <w:lang w:val="en-GB" w:eastAsia="ro-RO"/>
        </w:rPr>
      </w:pPr>
      <w:r w:rsidRPr="00322BD0">
        <w:rPr>
          <w:rFonts w:ascii="Cambria" w:eastAsia="Times New Roman" w:hAnsi="Cambria" w:cs="Times New Roman"/>
          <w:sz w:val="24"/>
          <w:szCs w:val="24"/>
          <w:lang w:val="en-GB" w:eastAsia="ro-RO"/>
        </w:rPr>
        <w:t>The investment activity in 201</w:t>
      </w:r>
      <w:r w:rsidR="00E030DF">
        <w:rPr>
          <w:rFonts w:ascii="Cambria" w:eastAsia="Times New Roman" w:hAnsi="Cambria" w:cs="Times New Roman"/>
          <w:sz w:val="24"/>
          <w:szCs w:val="24"/>
          <w:lang w:val="ru-RU" w:eastAsia="ro-RO"/>
        </w:rPr>
        <w:t>6</w:t>
      </w:r>
      <w:r w:rsidRPr="00322BD0">
        <w:rPr>
          <w:rFonts w:ascii="Cambria" w:eastAsia="Times New Roman" w:hAnsi="Cambria" w:cs="Times New Roman"/>
          <w:sz w:val="24"/>
          <w:szCs w:val="24"/>
          <w:lang w:val="en-GB" w:eastAsia="ro-RO"/>
        </w:rPr>
        <w:t xml:space="preserve"> was directed mainly towards the upgrading and development of the NTS in order to improve its </w:t>
      </w:r>
      <w:r w:rsidR="009E518F" w:rsidRPr="00322BD0">
        <w:rPr>
          <w:rFonts w:ascii="Cambria" w:eastAsia="Times New Roman" w:hAnsi="Cambria" w:cs="Times New Roman"/>
          <w:sz w:val="24"/>
          <w:szCs w:val="24"/>
          <w:lang w:val="en-GB" w:eastAsia="ro-RO"/>
        </w:rPr>
        <w:t>efficiency</w:t>
      </w:r>
      <w:r w:rsidRPr="00322BD0">
        <w:rPr>
          <w:rFonts w:ascii="Cambria" w:eastAsia="Times New Roman" w:hAnsi="Cambria" w:cs="Times New Roman"/>
          <w:sz w:val="24"/>
          <w:szCs w:val="24"/>
          <w:lang w:val="en-GB" w:eastAsia="ro-RO"/>
        </w:rPr>
        <w:t xml:space="preserve">, increase its capacity and develop new consumption areas. </w:t>
      </w:r>
    </w:p>
    <w:p w:rsidR="00B17A5A" w:rsidRPr="00322BD0" w:rsidRDefault="00281F0D" w:rsidP="00723614">
      <w:pPr>
        <w:spacing w:after="120" w:line="240" w:lineRule="auto"/>
        <w:ind w:firstLine="0"/>
        <w:rPr>
          <w:rFonts w:ascii="Cambria" w:eastAsia="Times New Roman" w:hAnsi="Cambria" w:cs="Times New Roman"/>
          <w:b/>
          <w:sz w:val="24"/>
          <w:szCs w:val="24"/>
          <w:lang w:val="en-GB" w:eastAsia="ro-RO"/>
        </w:rPr>
      </w:pPr>
      <w:r w:rsidRPr="00322BD0">
        <w:rPr>
          <w:rFonts w:ascii="Cambria" w:eastAsia="Times New Roman" w:hAnsi="Cambria" w:cs="Cambria"/>
          <w:b/>
          <w:bCs/>
          <w:sz w:val="24"/>
          <w:szCs w:val="24"/>
          <w:lang w:val="en-GB"/>
        </w:rPr>
        <w:t xml:space="preserve">The implementation of the </w:t>
      </w:r>
      <w:r w:rsidR="00E030DF">
        <w:rPr>
          <w:rFonts w:ascii="Cambria" w:eastAsia="Times New Roman" w:hAnsi="Cambria" w:cs="Times New Roman"/>
          <w:b/>
          <w:sz w:val="24"/>
          <w:szCs w:val="24"/>
          <w:lang w:val="en-GB" w:eastAsia="ro-RO"/>
        </w:rPr>
        <w:t>201</w:t>
      </w:r>
      <w:r w:rsidR="00E030DF">
        <w:rPr>
          <w:rFonts w:ascii="Cambria" w:eastAsia="Times New Roman" w:hAnsi="Cambria" w:cs="Times New Roman"/>
          <w:b/>
          <w:sz w:val="24"/>
          <w:szCs w:val="24"/>
          <w:lang w:val="ru-RU" w:eastAsia="ro-RO"/>
        </w:rPr>
        <w:t>6</w:t>
      </w:r>
      <w:r w:rsidR="00C52512" w:rsidRPr="00322BD0">
        <w:rPr>
          <w:rFonts w:ascii="Cambria" w:eastAsia="Times New Roman" w:hAnsi="Cambria" w:cs="Times New Roman"/>
          <w:b/>
          <w:sz w:val="24"/>
          <w:szCs w:val="24"/>
          <w:lang w:val="en-GB" w:eastAsia="ro-RO"/>
        </w:rPr>
        <w:t xml:space="preserve"> </w:t>
      </w:r>
      <w:r w:rsidR="00515EDA" w:rsidRPr="00322BD0">
        <w:rPr>
          <w:rFonts w:ascii="Cambria" w:eastAsia="Times New Roman" w:hAnsi="Cambria" w:cs="Cambria"/>
          <w:b/>
          <w:bCs/>
          <w:sz w:val="24"/>
          <w:szCs w:val="24"/>
          <w:lang w:val="en-GB"/>
        </w:rPr>
        <w:t xml:space="preserve">NTS </w:t>
      </w:r>
      <w:r w:rsidRPr="00322BD0">
        <w:rPr>
          <w:rFonts w:ascii="Cambria" w:eastAsia="Times New Roman" w:hAnsi="Cambria" w:cs="Cambria"/>
          <w:b/>
          <w:bCs/>
          <w:sz w:val="24"/>
          <w:szCs w:val="24"/>
          <w:lang w:val="en-GB"/>
        </w:rPr>
        <w:t xml:space="preserve">Repairs, Rehabilitation and Maintenance </w:t>
      </w:r>
      <w:r w:rsidR="002C144B" w:rsidRPr="00322BD0">
        <w:rPr>
          <w:rFonts w:ascii="Cambria" w:eastAsia="Times New Roman" w:hAnsi="Cambria" w:cs="Cambria"/>
          <w:b/>
          <w:bCs/>
          <w:sz w:val="24"/>
          <w:szCs w:val="24"/>
          <w:lang w:val="en-GB"/>
        </w:rPr>
        <w:t>Programme</w:t>
      </w:r>
      <w:r w:rsidRPr="00322BD0">
        <w:rPr>
          <w:rFonts w:ascii="Cambria" w:eastAsia="Times New Roman" w:hAnsi="Cambria" w:cs="Cambria"/>
          <w:b/>
          <w:bCs/>
          <w:sz w:val="24"/>
          <w:szCs w:val="24"/>
          <w:lang w:val="en-GB"/>
        </w:rPr>
        <w:t xml:space="preserve"> </w:t>
      </w:r>
      <w:r w:rsidRPr="00322BD0">
        <w:rPr>
          <w:rFonts w:ascii="Cambria" w:eastAsia="Times New Roman" w:hAnsi="Cambria" w:cs="Times New Roman"/>
          <w:b/>
          <w:sz w:val="24"/>
          <w:szCs w:val="24"/>
          <w:lang w:val="en-GB" w:eastAsia="ro-RO"/>
        </w:rPr>
        <w:t xml:space="preserve">compared to </w:t>
      </w:r>
      <w:r w:rsidR="00E030DF" w:rsidRPr="00322BD0">
        <w:rPr>
          <w:rFonts w:ascii="Cambria" w:eastAsia="Times New Roman" w:hAnsi="Cambria" w:cs="Times New Roman"/>
          <w:b/>
          <w:sz w:val="24"/>
          <w:szCs w:val="24"/>
          <w:lang w:val="en-GB" w:eastAsia="ro-RO"/>
        </w:rPr>
        <w:t xml:space="preserve">the </w:t>
      </w:r>
      <w:r w:rsidR="00E030DF">
        <w:rPr>
          <w:rFonts w:ascii="Cambria" w:eastAsia="Times New Roman" w:hAnsi="Cambria" w:cs="Times New Roman"/>
          <w:b/>
          <w:sz w:val="24"/>
          <w:szCs w:val="24"/>
          <w:lang w:val="ru-RU" w:eastAsia="ro-RO"/>
        </w:rPr>
        <w:t xml:space="preserve">2016 </w:t>
      </w:r>
      <w:r w:rsidRPr="00322BD0">
        <w:rPr>
          <w:rFonts w:ascii="Cambria" w:eastAsia="Times New Roman" w:hAnsi="Cambria" w:cs="Times New Roman"/>
          <w:b/>
          <w:sz w:val="24"/>
          <w:szCs w:val="24"/>
          <w:lang w:val="en-GB" w:eastAsia="ro-RO"/>
        </w:rPr>
        <w:t>planned level is as follows:</w:t>
      </w:r>
    </w:p>
    <w:tbl>
      <w:tblPr>
        <w:tblW w:w="926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56"/>
        <w:gridCol w:w="4014"/>
        <w:gridCol w:w="1701"/>
        <w:gridCol w:w="1593"/>
        <w:gridCol w:w="1296"/>
      </w:tblGrid>
      <w:tr w:rsidR="00645FF2" w:rsidRPr="00322BD0" w:rsidTr="00A74D4E">
        <w:trPr>
          <w:trHeight w:val="337"/>
          <w:tblHeader/>
          <w:tblCellSpacing w:w="20" w:type="dxa"/>
        </w:trPr>
        <w:tc>
          <w:tcPr>
            <w:tcW w:w="596" w:type="dxa"/>
            <w:shd w:val="clear" w:color="auto" w:fill="D6E0F4"/>
            <w:vAlign w:val="center"/>
            <w:hideMark/>
          </w:tcPr>
          <w:p w:rsidR="00645FF2" w:rsidRPr="00322BD0" w:rsidRDefault="00B82C02"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No</w:t>
            </w:r>
            <w:r w:rsidR="00645FF2" w:rsidRPr="00322BD0">
              <w:rPr>
                <w:rFonts w:asciiTheme="majorHAnsi" w:eastAsia="Calibri" w:hAnsiTheme="majorHAnsi" w:cs="Times New Roman"/>
                <w:b/>
                <w:sz w:val="18"/>
                <w:szCs w:val="18"/>
                <w:lang w:val="en-GB" w:eastAsia="en-US"/>
              </w:rPr>
              <w:t>.</w:t>
            </w:r>
          </w:p>
        </w:tc>
        <w:tc>
          <w:tcPr>
            <w:tcW w:w="3974" w:type="dxa"/>
            <w:shd w:val="clear" w:color="auto" w:fill="D6E0F4"/>
            <w:vAlign w:val="center"/>
            <w:hideMark/>
          </w:tcPr>
          <w:p w:rsidR="00645FF2" w:rsidRPr="00322BD0" w:rsidRDefault="00B82C02"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hAnsiTheme="majorHAnsi" w:cs="Calibri"/>
                <w:b/>
                <w:bCs/>
                <w:color w:val="000000"/>
                <w:sz w:val="18"/>
                <w:szCs w:val="18"/>
                <w:lang w:val="en-GB" w:eastAsia="en-US"/>
              </w:rPr>
              <w:t>Chapter name</w:t>
            </w:r>
          </w:p>
        </w:tc>
        <w:tc>
          <w:tcPr>
            <w:tcW w:w="1661" w:type="dxa"/>
            <w:shd w:val="clear" w:color="auto" w:fill="D6E0F4"/>
            <w:vAlign w:val="center"/>
            <w:hideMark/>
          </w:tcPr>
          <w:p w:rsidR="00645FF2" w:rsidRPr="00322BD0" w:rsidRDefault="00E030DF" w:rsidP="00A74D4E">
            <w:pPr>
              <w:spacing w:after="0" w:line="240" w:lineRule="auto"/>
              <w:ind w:firstLine="0"/>
              <w:jc w:val="center"/>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t>201</w:t>
            </w:r>
            <w:r>
              <w:rPr>
                <w:rFonts w:asciiTheme="majorHAnsi" w:eastAsia="Calibri" w:hAnsiTheme="majorHAnsi" w:cs="Times New Roman"/>
                <w:b/>
                <w:sz w:val="18"/>
                <w:szCs w:val="18"/>
                <w:lang w:val="ru-RU" w:eastAsia="en-US"/>
              </w:rPr>
              <w:t>6</w:t>
            </w:r>
            <w:r w:rsidR="00B82C02" w:rsidRPr="00322BD0">
              <w:rPr>
                <w:rFonts w:asciiTheme="majorHAnsi" w:eastAsia="Calibri" w:hAnsiTheme="majorHAnsi" w:cs="Times New Roman"/>
                <w:b/>
                <w:sz w:val="18"/>
                <w:szCs w:val="18"/>
                <w:lang w:val="en-GB" w:eastAsia="en-US"/>
              </w:rPr>
              <w:t xml:space="preserve"> plan</w:t>
            </w:r>
            <w:r w:rsidR="00645FF2" w:rsidRPr="00322BD0">
              <w:rPr>
                <w:rFonts w:asciiTheme="majorHAnsi" w:eastAsia="Calibri" w:hAnsiTheme="majorHAnsi" w:cs="Times New Roman"/>
                <w:b/>
                <w:sz w:val="18"/>
                <w:szCs w:val="18"/>
                <w:lang w:val="en-GB" w:eastAsia="en-US"/>
              </w:rPr>
              <w:t xml:space="preserve">      </w:t>
            </w:r>
          </w:p>
          <w:p w:rsidR="00645FF2" w:rsidRPr="00322BD0" w:rsidRDefault="00645FF2" w:rsidP="00B82C02">
            <w:pPr>
              <w:spacing w:after="0" w:line="240" w:lineRule="auto"/>
              <w:ind w:firstLine="0"/>
              <w:jc w:val="center"/>
              <w:rPr>
                <w:rFonts w:asciiTheme="majorHAnsi" w:eastAsia="Calibri" w:hAnsiTheme="majorHAnsi" w:cs="Times New Roman"/>
                <w:b/>
                <w:sz w:val="18"/>
                <w:szCs w:val="18"/>
                <w:lang w:val="en-GB" w:eastAsia="en-US"/>
              </w:rPr>
            </w:pPr>
          </w:p>
        </w:tc>
        <w:tc>
          <w:tcPr>
            <w:tcW w:w="1553" w:type="dxa"/>
            <w:shd w:val="clear" w:color="auto" w:fill="D6E0F4"/>
            <w:vAlign w:val="center"/>
            <w:hideMark/>
          </w:tcPr>
          <w:p w:rsidR="00645FF2" w:rsidRPr="00322BD0" w:rsidRDefault="00E030DF" w:rsidP="00A74D4E">
            <w:pPr>
              <w:spacing w:after="0" w:line="240" w:lineRule="auto"/>
              <w:ind w:firstLine="0"/>
              <w:jc w:val="center"/>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t>201</w:t>
            </w:r>
            <w:r>
              <w:rPr>
                <w:rFonts w:asciiTheme="majorHAnsi" w:eastAsia="Calibri" w:hAnsiTheme="majorHAnsi" w:cs="Times New Roman"/>
                <w:b/>
                <w:sz w:val="18"/>
                <w:szCs w:val="18"/>
                <w:lang w:val="ru-RU" w:eastAsia="en-US"/>
              </w:rPr>
              <w:t>6</w:t>
            </w:r>
            <w:r w:rsidR="00B82C02" w:rsidRPr="00322BD0">
              <w:rPr>
                <w:rFonts w:asciiTheme="majorHAnsi" w:eastAsia="Calibri" w:hAnsiTheme="majorHAnsi" w:cs="Times New Roman"/>
                <w:b/>
                <w:sz w:val="18"/>
                <w:szCs w:val="18"/>
                <w:lang w:val="en-GB" w:eastAsia="en-US"/>
              </w:rPr>
              <w:t xml:space="preserve"> Achievements</w:t>
            </w:r>
            <w:r w:rsidR="00645FF2" w:rsidRPr="00322BD0">
              <w:rPr>
                <w:rFonts w:asciiTheme="majorHAnsi" w:eastAsia="Calibri" w:hAnsiTheme="majorHAnsi" w:cs="Times New Roman"/>
                <w:b/>
                <w:sz w:val="18"/>
                <w:szCs w:val="18"/>
                <w:lang w:val="en-GB" w:eastAsia="en-US"/>
              </w:rPr>
              <w:t xml:space="preserve">     </w:t>
            </w:r>
          </w:p>
        </w:tc>
        <w:tc>
          <w:tcPr>
            <w:tcW w:w="1236" w:type="dxa"/>
            <w:shd w:val="clear" w:color="auto" w:fill="D6E0F4"/>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w:t>
            </w:r>
          </w:p>
        </w:tc>
      </w:tr>
      <w:tr w:rsidR="00645FF2" w:rsidRPr="00322BD0" w:rsidTr="00A74D4E">
        <w:trPr>
          <w:trHeight w:val="144"/>
          <w:tblHeader/>
          <w:tblCellSpacing w:w="20" w:type="dxa"/>
        </w:trPr>
        <w:tc>
          <w:tcPr>
            <w:tcW w:w="596" w:type="dxa"/>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0</w:t>
            </w:r>
          </w:p>
        </w:tc>
        <w:tc>
          <w:tcPr>
            <w:tcW w:w="3974" w:type="dxa"/>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1</w:t>
            </w:r>
          </w:p>
        </w:tc>
        <w:tc>
          <w:tcPr>
            <w:tcW w:w="1661" w:type="dxa"/>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2</w:t>
            </w:r>
          </w:p>
        </w:tc>
        <w:tc>
          <w:tcPr>
            <w:tcW w:w="1553" w:type="dxa"/>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3</w:t>
            </w:r>
          </w:p>
        </w:tc>
        <w:tc>
          <w:tcPr>
            <w:tcW w:w="1236" w:type="dxa"/>
            <w:vAlign w:val="center"/>
            <w:hideMark/>
          </w:tcPr>
          <w:p w:rsidR="00645FF2" w:rsidRPr="00322BD0" w:rsidRDefault="00645FF2" w:rsidP="00A74D4E">
            <w:pPr>
              <w:spacing w:after="0" w:line="240" w:lineRule="auto"/>
              <w:ind w:firstLine="0"/>
              <w:jc w:val="center"/>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4=3/2*100</w:t>
            </w:r>
          </w:p>
        </w:tc>
      </w:tr>
      <w:tr w:rsidR="00645FF2" w:rsidRPr="00322BD0" w:rsidTr="00A74D4E">
        <w:trPr>
          <w:trHeight w:val="144"/>
          <w:tblCellSpacing w:w="20" w:type="dxa"/>
        </w:trPr>
        <w:tc>
          <w:tcPr>
            <w:tcW w:w="9180" w:type="dxa"/>
            <w:gridSpan w:val="5"/>
            <w:shd w:val="clear" w:color="auto" w:fill="D6E0F4"/>
            <w:vAlign w:val="center"/>
            <w:hideMark/>
          </w:tcPr>
          <w:p w:rsidR="00645FF2" w:rsidRPr="00322BD0" w:rsidRDefault="00645FF2" w:rsidP="00822304">
            <w:pPr>
              <w:spacing w:after="0" w:line="240" w:lineRule="auto"/>
              <w:ind w:firstLine="0"/>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C</w:t>
            </w:r>
            <w:r w:rsidR="00B82C02" w:rsidRPr="00322BD0">
              <w:rPr>
                <w:rFonts w:asciiTheme="majorHAnsi" w:eastAsia="Calibri" w:hAnsiTheme="majorHAnsi" w:cs="Times New Roman"/>
                <w:b/>
                <w:sz w:val="18"/>
                <w:szCs w:val="18"/>
                <w:lang w:val="en-GB" w:eastAsia="en-US"/>
              </w:rPr>
              <w:t>h</w:t>
            </w:r>
            <w:r w:rsidRPr="00322BD0">
              <w:rPr>
                <w:rFonts w:asciiTheme="majorHAnsi" w:eastAsia="Calibri" w:hAnsiTheme="majorHAnsi" w:cs="Times New Roman"/>
                <w:b/>
                <w:sz w:val="18"/>
                <w:szCs w:val="18"/>
                <w:lang w:val="en-GB" w:eastAsia="en-US"/>
              </w:rPr>
              <w:t>ap. A</w:t>
            </w:r>
            <w:r w:rsidRPr="00322BD0">
              <w:rPr>
                <w:rFonts w:asciiTheme="majorHAnsi" w:eastAsia="Calibri" w:hAnsiTheme="majorHAnsi" w:cs="Times New Roman"/>
                <w:b/>
                <w:sz w:val="18"/>
                <w:szCs w:val="18"/>
                <w:shd w:val="clear" w:color="auto" w:fill="F2F2F2"/>
                <w:lang w:val="en-GB" w:eastAsia="en-US"/>
              </w:rPr>
              <w:t xml:space="preserve">. </w:t>
            </w:r>
            <w:r w:rsidR="00822304" w:rsidRPr="00322BD0">
              <w:rPr>
                <w:rFonts w:ascii="Cambria" w:eastAsia="Times New Roman" w:hAnsi="Cambria" w:cs="Times New Roman"/>
                <w:b/>
                <w:sz w:val="18"/>
                <w:szCs w:val="18"/>
                <w:lang w:val="en-GB"/>
              </w:rPr>
              <w:t>NTS</w:t>
            </w:r>
            <w:r w:rsidR="00822304" w:rsidRPr="00322BD0">
              <w:rPr>
                <w:rFonts w:ascii="Cambria" w:eastAsia="Times New Roman" w:hAnsi="Cambria" w:cs="Cambria"/>
                <w:b/>
                <w:bCs/>
                <w:sz w:val="18"/>
                <w:szCs w:val="18"/>
                <w:lang w:val="en-GB"/>
              </w:rPr>
              <w:t xml:space="preserve"> </w:t>
            </w:r>
            <w:r w:rsidR="00B82C02" w:rsidRPr="00322BD0">
              <w:rPr>
                <w:rFonts w:ascii="Cambria" w:eastAsia="Times New Roman" w:hAnsi="Cambria" w:cs="Cambria"/>
                <w:b/>
                <w:bCs/>
                <w:sz w:val="18"/>
                <w:szCs w:val="18"/>
                <w:lang w:val="en-GB"/>
              </w:rPr>
              <w:t xml:space="preserve">REPAIR AND REHABILITATION WORKS </w:t>
            </w:r>
            <w:r w:rsidRPr="00322BD0">
              <w:rPr>
                <w:rFonts w:asciiTheme="majorHAnsi" w:eastAsia="Calibri" w:hAnsiTheme="majorHAnsi" w:cs="Times New Roman"/>
                <w:b/>
                <w:sz w:val="18"/>
                <w:szCs w:val="18"/>
                <w:shd w:val="clear" w:color="auto" w:fill="D6E0F4"/>
                <w:lang w:val="en-GB" w:eastAsia="en-US"/>
              </w:rPr>
              <w:t>(</w:t>
            </w:r>
            <w:r w:rsidR="00B82C02" w:rsidRPr="00322BD0">
              <w:rPr>
                <w:rFonts w:asciiTheme="majorHAnsi" w:eastAsia="Calibri" w:hAnsiTheme="majorHAnsi" w:cs="Times New Roman"/>
                <w:b/>
                <w:sz w:val="18"/>
                <w:szCs w:val="18"/>
                <w:shd w:val="clear" w:color="auto" w:fill="D6E0F4"/>
                <w:lang w:val="en-GB" w:eastAsia="en-US"/>
              </w:rPr>
              <w:t>RON</w:t>
            </w:r>
            <w:r w:rsidRPr="00322BD0">
              <w:rPr>
                <w:rFonts w:asciiTheme="majorHAnsi" w:eastAsia="Calibri" w:hAnsiTheme="majorHAnsi" w:cs="Times New Roman"/>
                <w:b/>
                <w:sz w:val="18"/>
                <w:szCs w:val="18"/>
                <w:shd w:val="clear" w:color="auto" w:fill="D6E0F4"/>
                <w:lang w:val="en-GB" w:eastAsia="en-US"/>
              </w:rPr>
              <w:t>)</w:t>
            </w:r>
          </w:p>
        </w:tc>
      </w:tr>
      <w:tr w:rsidR="00E030DF" w:rsidRPr="00322BD0" w:rsidTr="0069634B">
        <w:trPr>
          <w:trHeight w:val="119"/>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1</w:t>
            </w:r>
          </w:p>
        </w:tc>
        <w:tc>
          <w:tcPr>
            <w:tcW w:w="3974" w:type="dxa"/>
            <w:vAlign w:val="center"/>
            <w:hideMark/>
          </w:tcPr>
          <w:p w:rsidR="00E030DF" w:rsidRPr="00322BD0" w:rsidRDefault="00E030DF" w:rsidP="00A74D4E">
            <w:pPr>
              <w:spacing w:after="0" w:line="240" w:lineRule="auto"/>
              <w:ind w:firstLine="0"/>
              <w:rPr>
                <w:rFonts w:asciiTheme="majorHAnsi" w:eastAsia="Times New Roman" w:hAnsiTheme="majorHAnsi" w:cs="Times New Roman"/>
                <w:sz w:val="18"/>
                <w:szCs w:val="18"/>
                <w:lang w:val="en-GB" w:eastAsia="ro-RO"/>
              </w:rPr>
            </w:pPr>
            <w:r w:rsidRPr="00322BD0">
              <w:rPr>
                <w:rFonts w:ascii="Cambria" w:eastAsia="Times New Roman" w:hAnsi="Cambria" w:cs="Cambria"/>
                <w:sz w:val="18"/>
                <w:szCs w:val="18"/>
                <w:lang w:val="en-GB"/>
              </w:rPr>
              <w:t>Scheduled repairs of main pipelines</w:t>
            </w:r>
          </w:p>
        </w:tc>
        <w:tc>
          <w:tcPr>
            <w:tcW w:w="1661" w:type="dxa"/>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57.303.444</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7.566.291</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13,20%</w:t>
            </w:r>
          </w:p>
        </w:tc>
      </w:tr>
      <w:tr w:rsidR="00E030DF" w:rsidRPr="00322BD0" w:rsidTr="0069634B">
        <w:trPr>
          <w:trHeight w:val="136"/>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2</w:t>
            </w:r>
          </w:p>
        </w:tc>
        <w:tc>
          <w:tcPr>
            <w:tcW w:w="3974" w:type="dxa"/>
            <w:vAlign w:val="center"/>
            <w:hideMark/>
          </w:tcPr>
          <w:p w:rsidR="00E030DF" w:rsidRPr="00322BD0" w:rsidRDefault="00E030DF" w:rsidP="00B82C02">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 xml:space="preserve">Rehabilitation of Regulating and Metering Stations </w:t>
            </w:r>
            <w:r w:rsidRPr="00322BD0">
              <w:rPr>
                <w:rFonts w:asciiTheme="majorHAnsi" w:eastAsia="Calibri" w:hAnsiTheme="majorHAnsi" w:cs="Times New Roman"/>
                <w:sz w:val="18"/>
                <w:szCs w:val="18"/>
                <w:lang w:val="en-GB" w:eastAsia="en-US"/>
              </w:rPr>
              <w:t>(MRS)</w:t>
            </w:r>
          </w:p>
        </w:tc>
        <w:tc>
          <w:tcPr>
            <w:tcW w:w="1661" w:type="dxa"/>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1.000.000</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653.782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65,38%</w:t>
            </w:r>
          </w:p>
        </w:tc>
      </w:tr>
      <w:tr w:rsidR="00E030DF" w:rsidRPr="00322BD0" w:rsidTr="00A74D4E">
        <w:trPr>
          <w:trHeight w:val="144"/>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3</w:t>
            </w:r>
          </w:p>
        </w:tc>
        <w:tc>
          <w:tcPr>
            <w:tcW w:w="3974" w:type="dxa"/>
            <w:vAlign w:val="center"/>
            <w:hideMark/>
          </w:tcPr>
          <w:p w:rsidR="00E030DF" w:rsidRPr="00322BD0" w:rsidRDefault="00E030DF" w:rsidP="00A74D4E">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Rehabilitation of Technological Nodes</w:t>
            </w:r>
          </w:p>
        </w:tc>
        <w:tc>
          <w:tcPr>
            <w:tcW w:w="1661"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0,00%</w:t>
            </w:r>
          </w:p>
        </w:tc>
      </w:tr>
      <w:tr w:rsidR="00E030DF" w:rsidRPr="00322BD0" w:rsidTr="00A74D4E">
        <w:trPr>
          <w:trHeight w:val="130"/>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4</w:t>
            </w:r>
          </w:p>
        </w:tc>
        <w:tc>
          <w:tcPr>
            <w:tcW w:w="3974" w:type="dxa"/>
            <w:vAlign w:val="center"/>
            <w:hideMark/>
          </w:tcPr>
          <w:p w:rsidR="00E030DF" w:rsidRPr="00322BD0" w:rsidRDefault="00E030DF" w:rsidP="00A74D4E">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Rehabilitation of Compressor Stations</w:t>
            </w:r>
          </w:p>
        </w:tc>
        <w:tc>
          <w:tcPr>
            <w:tcW w:w="1661"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0,00%</w:t>
            </w:r>
          </w:p>
        </w:tc>
      </w:tr>
      <w:tr w:rsidR="00E030DF" w:rsidRPr="00322BD0" w:rsidTr="00A74D4E">
        <w:trPr>
          <w:trHeight w:val="276"/>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5</w:t>
            </w:r>
          </w:p>
        </w:tc>
        <w:tc>
          <w:tcPr>
            <w:tcW w:w="3974" w:type="dxa"/>
            <w:vAlign w:val="center"/>
            <w:hideMark/>
          </w:tcPr>
          <w:p w:rsidR="00E030DF" w:rsidRPr="00322BD0" w:rsidRDefault="00E030DF" w:rsidP="00B82C02">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Repairs of special facilities of the SRMs and SCVs</w:t>
            </w:r>
          </w:p>
        </w:tc>
        <w:tc>
          <w:tcPr>
            <w:tcW w:w="1661"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0,00%</w:t>
            </w:r>
          </w:p>
        </w:tc>
      </w:tr>
      <w:tr w:rsidR="00E030DF" w:rsidRPr="00322BD0" w:rsidTr="00A74D4E">
        <w:trPr>
          <w:trHeight w:val="158"/>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6</w:t>
            </w:r>
          </w:p>
        </w:tc>
        <w:tc>
          <w:tcPr>
            <w:tcW w:w="3974" w:type="dxa"/>
            <w:vAlign w:val="center"/>
            <w:hideMark/>
          </w:tcPr>
          <w:p w:rsidR="00E030DF" w:rsidRPr="00322BD0" w:rsidRDefault="00E030DF" w:rsidP="00B82C02">
            <w:pPr>
              <w:spacing w:after="0" w:line="240" w:lineRule="auto"/>
              <w:ind w:firstLine="0"/>
              <w:rPr>
                <w:rFonts w:asciiTheme="majorHAnsi" w:eastAsia="Times New Roman" w:hAnsiTheme="majorHAnsi" w:cs="Times New Roman"/>
                <w:sz w:val="18"/>
                <w:szCs w:val="18"/>
                <w:lang w:val="en-GB" w:eastAsia="ro-RO"/>
              </w:rPr>
            </w:pPr>
            <w:r w:rsidRPr="00322BD0">
              <w:rPr>
                <w:rFonts w:asciiTheme="majorHAnsi" w:eastAsia="Calibri" w:hAnsiTheme="majorHAnsi" w:cs="Times New Roman"/>
                <w:sz w:val="18"/>
                <w:szCs w:val="18"/>
                <w:lang w:val="en-GB" w:eastAsia="en-US"/>
              </w:rPr>
              <w:t>Rehabilitation of cathodic protection systems (CPS)</w:t>
            </w:r>
          </w:p>
        </w:tc>
        <w:tc>
          <w:tcPr>
            <w:tcW w:w="1661"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340.260 </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0,00%</w:t>
            </w:r>
          </w:p>
        </w:tc>
      </w:tr>
      <w:tr w:rsidR="00E030DF" w:rsidRPr="00322BD0" w:rsidTr="00A74D4E">
        <w:trPr>
          <w:trHeight w:val="148"/>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7</w:t>
            </w:r>
          </w:p>
        </w:tc>
        <w:tc>
          <w:tcPr>
            <w:tcW w:w="3974" w:type="dxa"/>
            <w:vAlign w:val="center"/>
            <w:hideMark/>
          </w:tcPr>
          <w:p w:rsidR="00E030DF" w:rsidRPr="00322BD0" w:rsidRDefault="00E030DF" w:rsidP="00822304">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Repairs of TC equipment</w:t>
            </w:r>
          </w:p>
        </w:tc>
        <w:tc>
          <w:tcPr>
            <w:tcW w:w="1661"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15.000</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0,00%</w:t>
            </w:r>
          </w:p>
        </w:tc>
      </w:tr>
      <w:tr w:rsidR="00E030DF" w:rsidRPr="00322BD0" w:rsidTr="0069634B">
        <w:trPr>
          <w:trHeight w:val="152"/>
          <w:tblCellSpacing w:w="20" w:type="dxa"/>
        </w:trPr>
        <w:tc>
          <w:tcPr>
            <w:tcW w:w="596" w:type="dxa"/>
            <w:vAlign w:val="center"/>
            <w:hideMark/>
          </w:tcPr>
          <w:p w:rsidR="00E030DF" w:rsidRPr="00322BD0" w:rsidRDefault="00E030DF" w:rsidP="00A74D4E">
            <w:pPr>
              <w:spacing w:after="0" w:line="240" w:lineRule="auto"/>
              <w:ind w:firstLine="0"/>
              <w:jc w:val="center"/>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8</w:t>
            </w:r>
          </w:p>
        </w:tc>
        <w:tc>
          <w:tcPr>
            <w:tcW w:w="3974" w:type="dxa"/>
            <w:vAlign w:val="center"/>
            <w:hideMark/>
          </w:tcPr>
          <w:p w:rsidR="00E030DF" w:rsidRPr="00322BD0" w:rsidRDefault="00E030DF" w:rsidP="00A74D4E">
            <w:pPr>
              <w:spacing w:after="0" w:line="240" w:lineRule="auto"/>
              <w:ind w:firstLine="0"/>
              <w:rPr>
                <w:rFonts w:asciiTheme="majorHAnsi" w:eastAsia="Times New Roman" w:hAnsiTheme="majorHAnsi" w:cs="Times New Roman"/>
                <w:sz w:val="18"/>
                <w:szCs w:val="18"/>
                <w:lang w:val="en-GB" w:eastAsia="ro-RO"/>
              </w:rPr>
            </w:pPr>
            <w:r w:rsidRPr="00322BD0">
              <w:rPr>
                <w:rFonts w:ascii="Cambria" w:hAnsi="Cambria" w:cs="Cambria"/>
                <w:sz w:val="18"/>
                <w:szCs w:val="18"/>
                <w:lang w:val="en-GB"/>
              </w:rPr>
              <w:t>Repairs of buildings</w:t>
            </w:r>
          </w:p>
        </w:tc>
        <w:tc>
          <w:tcPr>
            <w:tcW w:w="1661" w:type="dxa"/>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3.191.398 </w:t>
            </w:r>
          </w:p>
        </w:tc>
        <w:tc>
          <w:tcPr>
            <w:tcW w:w="1553"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 xml:space="preserve">      276.691 </w:t>
            </w:r>
          </w:p>
        </w:tc>
        <w:tc>
          <w:tcPr>
            <w:tcW w:w="1236" w:type="dxa"/>
            <w:vAlign w:val="center"/>
          </w:tcPr>
          <w:p w:rsidR="00E030DF" w:rsidRPr="00945A8E" w:rsidRDefault="00E030DF" w:rsidP="0069634B">
            <w:pPr>
              <w:spacing w:after="0" w:line="240" w:lineRule="auto"/>
              <w:ind w:firstLine="0"/>
              <w:jc w:val="right"/>
              <w:rPr>
                <w:rFonts w:asciiTheme="majorHAnsi" w:eastAsia="Calibri" w:hAnsiTheme="majorHAnsi" w:cs="Calibri"/>
                <w:sz w:val="20"/>
                <w:szCs w:val="20"/>
                <w:lang w:eastAsia="en-US"/>
              </w:rPr>
            </w:pPr>
            <w:r w:rsidRPr="00945A8E">
              <w:rPr>
                <w:rFonts w:asciiTheme="majorHAnsi" w:eastAsia="Calibri" w:hAnsiTheme="majorHAnsi" w:cs="Calibri"/>
                <w:sz w:val="20"/>
                <w:szCs w:val="20"/>
                <w:lang w:eastAsia="en-US"/>
              </w:rPr>
              <w:t>8,67%</w:t>
            </w:r>
          </w:p>
        </w:tc>
      </w:tr>
      <w:tr w:rsidR="00E030DF" w:rsidRPr="00322BD0" w:rsidTr="0069634B">
        <w:trPr>
          <w:trHeight w:val="284"/>
          <w:tblCellSpacing w:w="20" w:type="dxa"/>
        </w:trPr>
        <w:tc>
          <w:tcPr>
            <w:tcW w:w="4610" w:type="dxa"/>
            <w:gridSpan w:val="2"/>
            <w:shd w:val="clear" w:color="auto" w:fill="D6E0F4"/>
            <w:vAlign w:val="center"/>
          </w:tcPr>
          <w:p w:rsidR="00E030DF" w:rsidRPr="00322BD0" w:rsidRDefault="00E030DF" w:rsidP="00822304">
            <w:pPr>
              <w:spacing w:after="0" w:line="240" w:lineRule="auto"/>
              <w:ind w:firstLine="0"/>
              <w:jc w:val="both"/>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TOTAL WORKS</w:t>
            </w:r>
          </w:p>
        </w:tc>
        <w:tc>
          <w:tcPr>
            <w:tcW w:w="1661" w:type="dxa"/>
            <w:shd w:val="clear" w:color="auto" w:fill="D6E0F4"/>
          </w:tcPr>
          <w:p w:rsidR="00E030DF" w:rsidRPr="00945A8E" w:rsidRDefault="00E030DF" w:rsidP="0069634B">
            <w:pPr>
              <w:spacing w:after="0" w:line="240" w:lineRule="auto"/>
              <w:ind w:firstLine="0"/>
              <w:jc w:val="right"/>
              <w:rPr>
                <w:rFonts w:asciiTheme="majorHAnsi" w:eastAsia="Calibri" w:hAnsiTheme="majorHAnsi" w:cs="Times New Roman"/>
                <w:b/>
                <w:sz w:val="20"/>
                <w:szCs w:val="20"/>
                <w:lang w:eastAsia="en-US"/>
              </w:rPr>
            </w:pPr>
            <w:r w:rsidRPr="00945A8E">
              <w:rPr>
                <w:rFonts w:asciiTheme="majorHAnsi" w:eastAsia="Calibri" w:hAnsiTheme="majorHAnsi" w:cs="Times New Roman"/>
                <w:b/>
                <w:sz w:val="20"/>
                <w:szCs w:val="20"/>
                <w:lang w:eastAsia="en-US"/>
              </w:rPr>
              <w:t>61.850.102</w:t>
            </w:r>
          </w:p>
        </w:tc>
        <w:tc>
          <w:tcPr>
            <w:tcW w:w="1553" w:type="dxa"/>
            <w:shd w:val="clear" w:color="auto" w:fill="D6E0F4"/>
            <w:vAlign w:val="center"/>
          </w:tcPr>
          <w:p w:rsidR="00E030DF" w:rsidRPr="00945A8E" w:rsidRDefault="00E030DF" w:rsidP="0069634B">
            <w:pPr>
              <w:spacing w:after="0" w:line="240" w:lineRule="auto"/>
              <w:ind w:firstLine="0"/>
              <w:jc w:val="right"/>
              <w:rPr>
                <w:rFonts w:asciiTheme="majorHAnsi" w:eastAsia="Calibri" w:hAnsiTheme="majorHAnsi" w:cs="DokChampa"/>
                <w:b/>
                <w:sz w:val="20"/>
                <w:szCs w:val="20"/>
                <w:lang w:eastAsia="en-US"/>
              </w:rPr>
            </w:pPr>
            <w:r w:rsidRPr="00945A8E">
              <w:rPr>
                <w:rFonts w:asciiTheme="majorHAnsi" w:eastAsia="Calibri" w:hAnsiTheme="majorHAnsi" w:cs="Times New Roman"/>
                <w:b/>
                <w:sz w:val="20"/>
                <w:szCs w:val="20"/>
                <w:lang w:eastAsia="en-US"/>
              </w:rPr>
              <w:t>8.496.764</w:t>
            </w:r>
          </w:p>
        </w:tc>
        <w:tc>
          <w:tcPr>
            <w:tcW w:w="1236" w:type="dxa"/>
            <w:shd w:val="clear" w:color="auto" w:fill="D6E0F4"/>
            <w:vAlign w:val="center"/>
          </w:tcPr>
          <w:p w:rsidR="00E030DF" w:rsidRPr="00945A8E" w:rsidRDefault="00E030DF" w:rsidP="0069634B">
            <w:pPr>
              <w:spacing w:after="0" w:line="240" w:lineRule="auto"/>
              <w:ind w:firstLine="0"/>
              <w:jc w:val="right"/>
              <w:rPr>
                <w:rFonts w:asciiTheme="majorHAnsi" w:eastAsia="Calibri" w:hAnsiTheme="majorHAnsi" w:cs="Times New Roman"/>
                <w:b/>
                <w:sz w:val="20"/>
                <w:szCs w:val="20"/>
                <w:lang w:eastAsia="en-US"/>
              </w:rPr>
            </w:pPr>
            <w:r w:rsidRPr="00945A8E">
              <w:rPr>
                <w:rFonts w:asciiTheme="majorHAnsi" w:eastAsia="Calibri" w:hAnsiTheme="majorHAnsi" w:cs="Times New Roman"/>
                <w:b/>
                <w:sz w:val="20"/>
                <w:szCs w:val="20"/>
                <w:lang w:eastAsia="en-US"/>
              </w:rPr>
              <w:t xml:space="preserve">13,74% </w:t>
            </w:r>
          </w:p>
        </w:tc>
      </w:tr>
      <w:tr w:rsidR="00645FF2" w:rsidRPr="00322BD0" w:rsidTr="00A74D4E">
        <w:trPr>
          <w:trHeight w:val="232"/>
          <w:tblCellSpacing w:w="20" w:type="dxa"/>
        </w:trPr>
        <w:tc>
          <w:tcPr>
            <w:tcW w:w="9180" w:type="dxa"/>
            <w:gridSpan w:val="5"/>
            <w:shd w:val="clear" w:color="auto" w:fill="D6E0F4"/>
            <w:vAlign w:val="center"/>
            <w:hideMark/>
          </w:tcPr>
          <w:p w:rsidR="00645FF2" w:rsidRPr="00322BD0" w:rsidRDefault="00645FF2" w:rsidP="00822304">
            <w:pPr>
              <w:spacing w:after="0" w:line="240" w:lineRule="auto"/>
              <w:ind w:firstLine="0"/>
              <w:jc w:val="both"/>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lastRenderedPageBreak/>
              <w:t xml:space="preserve">Cap. B. </w:t>
            </w:r>
            <w:r w:rsidR="00822304" w:rsidRPr="00322BD0">
              <w:rPr>
                <w:rFonts w:asciiTheme="majorHAnsi" w:eastAsia="Calibri" w:hAnsiTheme="majorHAnsi" w:cs="Times New Roman"/>
                <w:b/>
                <w:sz w:val="18"/>
                <w:szCs w:val="18"/>
                <w:lang w:val="en-GB" w:eastAsia="en-US"/>
              </w:rPr>
              <w:t xml:space="preserve">NTS </w:t>
            </w:r>
            <w:r w:rsidR="00822304" w:rsidRPr="00322BD0">
              <w:rPr>
                <w:rFonts w:ascii="Cambria" w:eastAsia="Times New Roman" w:hAnsi="Cambria" w:cs="Cambria"/>
                <w:b/>
                <w:bCs/>
                <w:sz w:val="18"/>
                <w:szCs w:val="18"/>
                <w:lang w:val="en-GB"/>
              </w:rPr>
              <w:t xml:space="preserve">MAINTENANCE SERVICES </w:t>
            </w:r>
            <w:r w:rsidRPr="00322BD0">
              <w:rPr>
                <w:rFonts w:asciiTheme="majorHAnsi" w:eastAsia="Calibri" w:hAnsiTheme="majorHAnsi" w:cs="Times New Roman"/>
                <w:b/>
                <w:sz w:val="18"/>
                <w:szCs w:val="18"/>
                <w:lang w:val="en-GB" w:eastAsia="en-US"/>
              </w:rPr>
              <w:t>(</w:t>
            </w:r>
            <w:r w:rsidR="00822304" w:rsidRPr="00322BD0">
              <w:rPr>
                <w:rFonts w:asciiTheme="majorHAnsi" w:eastAsia="Calibri" w:hAnsiTheme="majorHAnsi" w:cs="Times New Roman"/>
                <w:b/>
                <w:sz w:val="18"/>
                <w:szCs w:val="18"/>
                <w:lang w:val="en-GB" w:eastAsia="en-US"/>
              </w:rPr>
              <w:t>RON</w:t>
            </w:r>
            <w:r w:rsidRPr="00322BD0">
              <w:rPr>
                <w:rFonts w:asciiTheme="majorHAnsi" w:eastAsia="Calibri" w:hAnsiTheme="majorHAnsi" w:cs="Times New Roman"/>
                <w:b/>
                <w:sz w:val="18"/>
                <w:szCs w:val="18"/>
                <w:lang w:val="en-GB" w:eastAsia="en-US"/>
              </w:rPr>
              <w:t>)</w:t>
            </w:r>
          </w:p>
        </w:tc>
      </w:tr>
      <w:tr w:rsidR="00E030DF" w:rsidRPr="00322BD0" w:rsidTr="0069634B">
        <w:trPr>
          <w:trHeight w:val="208"/>
          <w:tblCellSpacing w:w="20" w:type="dxa"/>
        </w:trPr>
        <w:tc>
          <w:tcPr>
            <w:tcW w:w="4610" w:type="dxa"/>
            <w:gridSpan w:val="2"/>
            <w:shd w:val="clear" w:color="auto" w:fill="D6E0F4"/>
            <w:vAlign w:val="center"/>
          </w:tcPr>
          <w:p w:rsidR="00E030DF" w:rsidRPr="00322BD0" w:rsidRDefault="00E030DF" w:rsidP="00822304">
            <w:pPr>
              <w:spacing w:after="0" w:line="240" w:lineRule="auto"/>
              <w:ind w:firstLine="0"/>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TOTAL SERVICES</w:t>
            </w:r>
          </w:p>
        </w:tc>
        <w:tc>
          <w:tcPr>
            <w:tcW w:w="1661" w:type="dxa"/>
            <w:shd w:val="clear" w:color="auto" w:fill="D6E0F4"/>
          </w:tcPr>
          <w:p w:rsidR="00E030DF" w:rsidRPr="00945A8E" w:rsidRDefault="00E030DF" w:rsidP="0069634B">
            <w:pPr>
              <w:spacing w:after="0" w:line="240" w:lineRule="auto"/>
              <w:ind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31.997.781</w:t>
            </w:r>
          </w:p>
        </w:tc>
        <w:tc>
          <w:tcPr>
            <w:tcW w:w="1553" w:type="dxa"/>
            <w:shd w:val="clear" w:color="auto" w:fill="D6E0F4"/>
            <w:vAlign w:val="center"/>
          </w:tcPr>
          <w:p w:rsidR="00E030DF" w:rsidRPr="00945A8E" w:rsidRDefault="00E030DF" w:rsidP="0069634B">
            <w:pPr>
              <w:spacing w:after="0" w:line="240" w:lineRule="auto"/>
              <w:ind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10.605.140</w:t>
            </w:r>
          </w:p>
        </w:tc>
        <w:tc>
          <w:tcPr>
            <w:tcW w:w="1236" w:type="dxa"/>
            <w:shd w:val="clear" w:color="auto" w:fill="D6E0F4"/>
            <w:vAlign w:val="center"/>
          </w:tcPr>
          <w:p w:rsidR="00E030DF" w:rsidRPr="00945A8E" w:rsidRDefault="00E030DF" w:rsidP="0069634B">
            <w:pPr>
              <w:spacing w:after="0" w:line="240" w:lineRule="auto"/>
              <w:ind w:right="100"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33,14%</w:t>
            </w:r>
          </w:p>
        </w:tc>
      </w:tr>
      <w:tr w:rsidR="00E030DF" w:rsidRPr="00322BD0" w:rsidTr="0069634B">
        <w:trPr>
          <w:trHeight w:val="212"/>
          <w:tblCellSpacing w:w="20" w:type="dxa"/>
        </w:trPr>
        <w:tc>
          <w:tcPr>
            <w:tcW w:w="4610" w:type="dxa"/>
            <w:gridSpan w:val="2"/>
            <w:shd w:val="clear" w:color="auto" w:fill="D6E0F4"/>
            <w:vAlign w:val="center"/>
          </w:tcPr>
          <w:p w:rsidR="00E030DF" w:rsidRPr="00322BD0" w:rsidRDefault="00E030DF" w:rsidP="00822304">
            <w:pPr>
              <w:spacing w:after="0" w:line="240" w:lineRule="auto"/>
              <w:ind w:firstLine="0"/>
              <w:rPr>
                <w:rFonts w:asciiTheme="majorHAnsi" w:eastAsia="Times New Roman" w:hAnsiTheme="majorHAnsi" w:cs="Times New Roman"/>
                <w:b/>
                <w:sz w:val="18"/>
                <w:szCs w:val="18"/>
                <w:lang w:val="en-GB" w:eastAsia="ro-RO"/>
              </w:rPr>
            </w:pPr>
            <w:r w:rsidRPr="00322BD0">
              <w:rPr>
                <w:rFonts w:asciiTheme="majorHAnsi" w:eastAsia="Calibri" w:hAnsiTheme="majorHAnsi" w:cs="Times New Roman"/>
                <w:b/>
                <w:sz w:val="18"/>
                <w:szCs w:val="18"/>
                <w:lang w:val="en-GB" w:eastAsia="en-US"/>
              </w:rPr>
              <w:t>TOTAL WORKS + SERVICES (third parties) PRRASM</w:t>
            </w:r>
          </w:p>
        </w:tc>
        <w:tc>
          <w:tcPr>
            <w:tcW w:w="1661" w:type="dxa"/>
            <w:shd w:val="clear" w:color="auto" w:fill="D6E0F4"/>
          </w:tcPr>
          <w:p w:rsidR="00E030DF" w:rsidRPr="00945A8E" w:rsidRDefault="00E030DF" w:rsidP="0069634B">
            <w:pPr>
              <w:spacing w:after="0" w:line="240" w:lineRule="auto"/>
              <w:ind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93.847.883</w:t>
            </w:r>
          </w:p>
        </w:tc>
        <w:tc>
          <w:tcPr>
            <w:tcW w:w="1553" w:type="dxa"/>
            <w:shd w:val="clear" w:color="auto" w:fill="D6E0F4"/>
            <w:vAlign w:val="center"/>
          </w:tcPr>
          <w:p w:rsidR="00E030DF" w:rsidRPr="00945A8E" w:rsidRDefault="00E030DF" w:rsidP="0069634B">
            <w:pPr>
              <w:spacing w:after="0" w:line="240" w:lineRule="auto"/>
              <w:ind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19.101.904</w:t>
            </w:r>
          </w:p>
        </w:tc>
        <w:tc>
          <w:tcPr>
            <w:tcW w:w="1236" w:type="dxa"/>
            <w:shd w:val="clear" w:color="auto" w:fill="D6E0F4"/>
            <w:vAlign w:val="center"/>
          </w:tcPr>
          <w:p w:rsidR="00E030DF" w:rsidRPr="00945A8E" w:rsidRDefault="00E030DF" w:rsidP="0069634B">
            <w:pPr>
              <w:spacing w:after="0" w:line="240" w:lineRule="auto"/>
              <w:ind w:firstLine="0"/>
              <w:jc w:val="right"/>
              <w:rPr>
                <w:rFonts w:asciiTheme="majorHAnsi" w:eastAsia="Calibri" w:hAnsiTheme="majorHAnsi" w:cs="Calibri"/>
                <w:b/>
                <w:bCs/>
                <w:sz w:val="20"/>
                <w:szCs w:val="20"/>
                <w:lang w:eastAsia="en-US"/>
              </w:rPr>
            </w:pPr>
            <w:r w:rsidRPr="00945A8E">
              <w:rPr>
                <w:rFonts w:asciiTheme="majorHAnsi" w:eastAsia="Calibri" w:hAnsiTheme="majorHAnsi" w:cs="Calibri"/>
                <w:b/>
                <w:bCs/>
                <w:sz w:val="20"/>
                <w:szCs w:val="20"/>
                <w:lang w:eastAsia="en-US"/>
              </w:rPr>
              <w:t>20,35%</w:t>
            </w:r>
          </w:p>
        </w:tc>
      </w:tr>
      <w:tr w:rsidR="00BC4E92" w:rsidRPr="00322BD0" w:rsidTr="0069634B">
        <w:trPr>
          <w:trHeight w:val="212"/>
          <w:tblCellSpacing w:w="20" w:type="dxa"/>
        </w:trPr>
        <w:tc>
          <w:tcPr>
            <w:tcW w:w="4610" w:type="dxa"/>
            <w:gridSpan w:val="2"/>
            <w:shd w:val="clear" w:color="auto" w:fill="D6E0F4"/>
            <w:vAlign w:val="center"/>
          </w:tcPr>
          <w:p w:rsidR="00BC4E92" w:rsidRPr="00322BD0" w:rsidRDefault="00BC4E92" w:rsidP="00BC4E92">
            <w:pPr>
              <w:spacing w:after="0" w:line="240" w:lineRule="auto"/>
              <w:ind w:firstLine="0"/>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t>Transfers from OVERHAULKS in investments</w:t>
            </w:r>
          </w:p>
        </w:tc>
        <w:tc>
          <w:tcPr>
            <w:tcW w:w="1661" w:type="dxa"/>
            <w:shd w:val="clear" w:color="auto" w:fill="D6E0F4"/>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p>
        </w:tc>
        <w:tc>
          <w:tcPr>
            <w:tcW w:w="1553" w:type="dxa"/>
            <w:shd w:val="clear" w:color="auto" w:fill="D6E0F4"/>
            <w:vAlign w:val="center"/>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r>
              <w:rPr>
                <w:rFonts w:asciiTheme="majorHAnsi" w:eastAsia="Calibri" w:hAnsiTheme="majorHAnsi" w:cs="Calibri"/>
                <w:b/>
                <w:bCs/>
                <w:sz w:val="20"/>
                <w:szCs w:val="20"/>
                <w:lang w:eastAsia="en-US"/>
              </w:rPr>
              <w:t>(2.555.397)</w:t>
            </w:r>
          </w:p>
        </w:tc>
        <w:tc>
          <w:tcPr>
            <w:tcW w:w="1236" w:type="dxa"/>
            <w:shd w:val="clear" w:color="auto" w:fill="D6E0F4"/>
            <w:vAlign w:val="center"/>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p>
        </w:tc>
      </w:tr>
      <w:tr w:rsidR="00BC4E92" w:rsidRPr="00322BD0" w:rsidTr="0069634B">
        <w:trPr>
          <w:trHeight w:val="212"/>
          <w:tblCellSpacing w:w="20" w:type="dxa"/>
        </w:trPr>
        <w:tc>
          <w:tcPr>
            <w:tcW w:w="4610" w:type="dxa"/>
            <w:gridSpan w:val="2"/>
            <w:shd w:val="clear" w:color="auto" w:fill="D6E0F4"/>
            <w:vAlign w:val="center"/>
          </w:tcPr>
          <w:p w:rsidR="00BC4E92" w:rsidRPr="00322BD0" w:rsidRDefault="00BC4E92" w:rsidP="00BC4E92">
            <w:pPr>
              <w:spacing w:after="0" w:line="240" w:lineRule="auto"/>
              <w:ind w:firstLine="0"/>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t>TOTAL REPAIRS, UPGRADING, SERVICES</w:t>
            </w:r>
          </w:p>
        </w:tc>
        <w:tc>
          <w:tcPr>
            <w:tcW w:w="1661" w:type="dxa"/>
            <w:shd w:val="clear" w:color="auto" w:fill="D6E0F4"/>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r>
              <w:rPr>
                <w:rFonts w:asciiTheme="majorHAnsi" w:eastAsia="Calibri" w:hAnsiTheme="majorHAnsi" w:cs="Calibri"/>
                <w:b/>
                <w:bCs/>
                <w:sz w:val="20"/>
                <w:szCs w:val="20"/>
                <w:lang w:eastAsia="en-US"/>
              </w:rPr>
              <w:t>93.847.883</w:t>
            </w:r>
          </w:p>
        </w:tc>
        <w:tc>
          <w:tcPr>
            <w:tcW w:w="1553" w:type="dxa"/>
            <w:shd w:val="clear" w:color="auto" w:fill="D6E0F4"/>
            <w:vAlign w:val="center"/>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r>
              <w:rPr>
                <w:rFonts w:asciiTheme="majorHAnsi" w:eastAsia="Calibri" w:hAnsiTheme="majorHAnsi" w:cs="Calibri"/>
                <w:b/>
                <w:bCs/>
                <w:sz w:val="20"/>
                <w:szCs w:val="20"/>
                <w:lang w:eastAsia="en-US"/>
              </w:rPr>
              <w:t>16.546.507</w:t>
            </w:r>
          </w:p>
        </w:tc>
        <w:tc>
          <w:tcPr>
            <w:tcW w:w="1236" w:type="dxa"/>
            <w:shd w:val="clear" w:color="auto" w:fill="D6E0F4"/>
            <w:vAlign w:val="center"/>
          </w:tcPr>
          <w:p w:rsidR="00BC4E92" w:rsidRPr="00945A8E" w:rsidRDefault="00BC4E92" w:rsidP="00BC4E92">
            <w:pPr>
              <w:spacing w:after="0" w:line="240" w:lineRule="auto"/>
              <w:ind w:firstLine="0"/>
              <w:jc w:val="right"/>
              <w:rPr>
                <w:rFonts w:asciiTheme="majorHAnsi" w:eastAsia="Calibri" w:hAnsiTheme="majorHAnsi" w:cs="Calibri"/>
                <w:b/>
                <w:bCs/>
                <w:sz w:val="20"/>
                <w:szCs w:val="20"/>
                <w:lang w:eastAsia="en-US"/>
              </w:rPr>
            </w:pPr>
            <w:r>
              <w:rPr>
                <w:rFonts w:asciiTheme="majorHAnsi" w:eastAsia="Calibri" w:hAnsiTheme="majorHAnsi" w:cs="Calibri"/>
                <w:b/>
                <w:bCs/>
                <w:sz w:val="20"/>
                <w:szCs w:val="20"/>
                <w:lang w:eastAsia="en-US"/>
              </w:rPr>
              <w:t>17,63%</w:t>
            </w:r>
          </w:p>
        </w:tc>
      </w:tr>
    </w:tbl>
    <w:p w:rsidR="00AC524B" w:rsidRPr="00322BD0" w:rsidRDefault="00822304" w:rsidP="00723614">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w:t>
      </w:r>
      <w:r w:rsidR="00645FF2" w:rsidRPr="00322BD0">
        <w:rPr>
          <w:rFonts w:ascii="Cambria" w:eastAsia="Times New Roman" w:hAnsi="Cambria" w:cs="Times New Roman"/>
          <w:b/>
          <w:i/>
          <w:sz w:val="16"/>
          <w:szCs w:val="16"/>
          <w:lang w:val="en-GB" w:eastAsia="ro-RO"/>
        </w:rPr>
        <w:t>l</w:t>
      </w:r>
      <w:r w:rsidRPr="00322BD0">
        <w:rPr>
          <w:rFonts w:ascii="Cambria" w:eastAsia="Times New Roman" w:hAnsi="Cambria" w:cs="Times New Roman"/>
          <w:b/>
          <w:i/>
          <w:sz w:val="16"/>
          <w:szCs w:val="16"/>
          <w:lang w:val="en-GB" w:eastAsia="ro-RO"/>
        </w:rPr>
        <w:t>e</w:t>
      </w:r>
      <w:r w:rsidR="00E030DF">
        <w:rPr>
          <w:rFonts w:ascii="Cambria" w:eastAsia="Times New Roman" w:hAnsi="Cambria" w:cs="Times New Roman"/>
          <w:b/>
          <w:i/>
          <w:sz w:val="16"/>
          <w:szCs w:val="16"/>
          <w:lang w:val="en-GB" w:eastAsia="ro-RO"/>
        </w:rPr>
        <w:t xml:space="preserve"> 1</w:t>
      </w:r>
      <w:r w:rsidR="00E030DF">
        <w:rPr>
          <w:rFonts w:ascii="Cambria" w:eastAsia="Times New Roman" w:hAnsi="Cambria" w:cs="Times New Roman"/>
          <w:b/>
          <w:i/>
          <w:sz w:val="16"/>
          <w:szCs w:val="16"/>
          <w:lang w:val="ru-RU" w:eastAsia="ro-RO"/>
        </w:rPr>
        <w:t>2</w:t>
      </w:r>
      <w:r w:rsidR="00645FF2" w:rsidRPr="00322BD0">
        <w:rPr>
          <w:rFonts w:ascii="Cambria" w:eastAsia="Times New Roman" w:hAnsi="Cambria" w:cs="Times New Roman"/>
          <w:b/>
          <w:i/>
          <w:sz w:val="16"/>
          <w:szCs w:val="16"/>
          <w:lang w:val="en-GB" w:eastAsia="ro-RO"/>
        </w:rPr>
        <w:t xml:space="preserve">- </w:t>
      </w:r>
      <w:r w:rsidR="00723614" w:rsidRPr="00322BD0">
        <w:rPr>
          <w:rFonts w:ascii="Cambria" w:eastAsia="Times New Roman" w:hAnsi="Cambria" w:cs="Times New Roman"/>
          <w:b/>
          <w:i/>
          <w:sz w:val="16"/>
          <w:szCs w:val="16"/>
          <w:lang w:val="en-GB" w:eastAsia="ro-RO"/>
        </w:rPr>
        <w:t xml:space="preserve"> </w:t>
      </w:r>
      <w:r w:rsidR="00723614" w:rsidRPr="00322BD0">
        <w:rPr>
          <w:rFonts w:ascii="Cambria" w:eastAsia="Times New Roman" w:hAnsi="Cambria" w:cs="Cambria"/>
          <w:b/>
          <w:bCs/>
          <w:i/>
          <w:iCs/>
          <w:sz w:val="16"/>
          <w:szCs w:val="16"/>
          <w:lang w:val="en-GB"/>
        </w:rPr>
        <w:t xml:space="preserve">Implementation of the </w:t>
      </w:r>
      <w:r w:rsidR="00E030DF">
        <w:rPr>
          <w:rFonts w:ascii="Cambria" w:eastAsia="Times New Roman" w:hAnsi="Cambria" w:cs="Cambria"/>
          <w:b/>
          <w:bCs/>
          <w:i/>
          <w:iCs/>
          <w:sz w:val="16"/>
          <w:szCs w:val="16"/>
          <w:lang w:val="en-GB"/>
        </w:rPr>
        <w:t>201</w:t>
      </w:r>
      <w:r w:rsidR="00E030DF">
        <w:rPr>
          <w:rFonts w:ascii="Cambria" w:eastAsia="Times New Roman" w:hAnsi="Cambria" w:cs="Cambria"/>
          <w:b/>
          <w:bCs/>
          <w:i/>
          <w:iCs/>
          <w:sz w:val="16"/>
          <w:szCs w:val="16"/>
          <w:lang w:val="ru-RU"/>
        </w:rPr>
        <w:t>6</w:t>
      </w:r>
      <w:r w:rsidR="00C52512" w:rsidRPr="00322BD0">
        <w:rPr>
          <w:rFonts w:ascii="Cambria" w:eastAsia="Times New Roman" w:hAnsi="Cambria" w:cs="Cambria"/>
          <w:b/>
          <w:bCs/>
          <w:i/>
          <w:iCs/>
          <w:sz w:val="16"/>
          <w:szCs w:val="16"/>
          <w:lang w:val="en-GB"/>
        </w:rPr>
        <w:t xml:space="preserve"> </w:t>
      </w:r>
      <w:r w:rsidR="00515EDA" w:rsidRPr="00322BD0">
        <w:rPr>
          <w:rFonts w:ascii="Cambria" w:eastAsia="Times New Roman" w:hAnsi="Cambria" w:cs="Cambria"/>
          <w:b/>
          <w:bCs/>
          <w:i/>
          <w:iCs/>
          <w:sz w:val="16"/>
          <w:szCs w:val="16"/>
          <w:lang w:val="en-GB"/>
        </w:rPr>
        <w:t xml:space="preserve">NTS </w:t>
      </w:r>
      <w:r w:rsidR="00723614" w:rsidRPr="00322BD0">
        <w:rPr>
          <w:rFonts w:ascii="Cambria" w:eastAsia="Times New Roman" w:hAnsi="Cambria" w:cs="Cambria"/>
          <w:b/>
          <w:bCs/>
          <w:i/>
          <w:iCs/>
          <w:sz w:val="16"/>
          <w:szCs w:val="16"/>
          <w:lang w:val="en-GB"/>
        </w:rPr>
        <w:t xml:space="preserve">Repairs, Rehabilitation and Maintenance Programme </w:t>
      </w:r>
    </w:p>
    <w:p w:rsidR="00817B56" w:rsidRPr="00322BD0" w:rsidRDefault="00817B56" w:rsidP="00723614">
      <w:pPr>
        <w:spacing w:after="0" w:line="240" w:lineRule="auto"/>
        <w:ind w:firstLine="0"/>
        <w:jc w:val="center"/>
        <w:rPr>
          <w:rFonts w:ascii="Cambria" w:eastAsia="Times New Roman" w:hAnsi="Cambria" w:cs="Times New Roman"/>
          <w:b/>
          <w:i/>
          <w:sz w:val="16"/>
          <w:szCs w:val="16"/>
          <w:lang w:val="en-GB" w:eastAsia="ro-RO"/>
        </w:rPr>
      </w:pPr>
    </w:p>
    <w:p w:rsidR="00E030DF" w:rsidRDefault="00AC32EA" w:rsidP="00817B56">
      <w:pPr>
        <w:spacing w:after="0" w:line="240" w:lineRule="auto"/>
        <w:ind w:firstLine="0"/>
        <w:jc w:val="center"/>
        <w:rPr>
          <w:noProof/>
          <w:lang w:val="ro-RO" w:eastAsia="ro-RO"/>
        </w:rPr>
      </w:pPr>
      <w:r>
        <w:rPr>
          <w:noProof/>
          <w:lang w:val="ro-RO" w:eastAsia="ro-RO"/>
        </w:rPr>
        <mc:AlternateContent>
          <mc:Choice Requires="wps">
            <w:drawing>
              <wp:anchor distT="0" distB="0" distL="114300" distR="114300" simplePos="0" relativeHeight="251976704" behindDoc="0" locked="0" layoutInCell="1" allowOverlap="1" wp14:anchorId="4CC7FB4A" wp14:editId="2F002A96">
                <wp:simplePos x="0" y="0"/>
                <wp:positionH relativeFrom="column">
                  <wp:posOffset>2743200</wp:posOffset>
                </wp:positionH>
                <wp:positionV relativeFrom="paragraph">
                  <wp:posOffset>151130</wp:posOffset>
                </wp:positionV>
                <wp:extent cx="590550" cy="24765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5905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E3BCA" w:rsidRPr="00AC32EA" w:rsidRDefault="00CE3BCA" w:rsidP="00AC32EA">
                            <w:pPr>
                              <w:ind w:right="-30" w:firstLine="0"/>
                              <w:rPr>
                                <w:lang w:val="ro-RO"/>
                              </w:rPr>
                            </w:pPr>
                            <w:r>
                              <w:rPr>
                                <w:lang w:val="ro-RO"/>
                              </w:rPr>
                              <w:t>20,35%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7FB4A" id="Text Box 79" o:spid="_x0000_s1041" type="#_x0000_t202" style="position:absolute;left:0;text-align:left;margin-left:3in;margin-top:11.9pt;width:46.5pt;height:1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" fillcolor="white [3201]" strokeweight=".5pt">
                <v:textbox>
                  <w:txbxContent>
                    <w:p w:rsidR="00CE3BCA" w:rsidRPr="00AC32EA" w:rsidRDefault="00CE3BCA" w:rsidP="00AC32EA">
                      <w:pPr>
                        <w:ind w:right="-30" w:firstLine="0"/>
                        <w:rPr>
                          <w:lang w:val="ro-RO"/>
                        </w:rPr>
                      </w:pPr>
                      <w:r>
                        <w:rPr>
                          <w:lang w:val="ro-RO"/>
                        </w:rPr>
                        <w:t>20,35%</w:t>
                      </w:r>
                    </w:p>
                  </w:txbxContent>
                </v:textbox>
              </v:shape>
            </w:pict>
          </mc:Fallback>
        </mc:AlternateContent>
      </w:r>
    </w:p>
    <w:p w:rsidR="00E030DF" w:rsidRDefault="00E030DF" w:rsidP="00817B56">
      <w:pPr>
        <w:spacing w:after="0" w:line="240" w:lineRule="auto"/>
        <w:ind w:firstLine="0"/>
        <w:jc w:val="center"/>
        <w:rPr>
          <w:noProof/>
          <w:lang w:val="ro-RO" w:eastAsia="ro-RO"/>
        </w:rPr>
      </w:pPr>
      <w:r>
        <w:rPr>
          <w:noProof/>
          <w:lang w:val="ro-RO" w:eastAsia="ro-RO"/>
        </w:rPr>
        <w:drawing>
          <wp:inline distT="0" distB="0" distL="0" distR="0" wp14:anchorId="346E9B21" wp14:editId="12420447">
            <wp:extent cx="5702157" cy="1119883"/>
            <wp:effectExtent l="0" t="0" r="0" b="444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17B56" w:rsidRPr="00322BD0" w:rsidRDefault="00817B56" w:rsidP="004B2B78">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 xml:space="preserve"> </w:t>
      </w:r>
      <w:r w:rsidR="003C5E4C" w:rsidRPr="00322BD0">
        <w:rPr>
          <w:rFonts w:ascii="Cambria" w:eastAsia="Times New Roman" w:hAnsi="Cambria" w:cs="Times New Roman"/>
          <w:b/>
          <w:i/>
          <w:sz w:val="16"/>
          <w:szCs w:val="16"/>
          <w:lang w:val="en-GB" w:eastAsia="ro-RO"/>
        </w:rPr>
        <w:t>Chart</w:t>
      </w:r>
      <w:r w:rsidR="00E030DF">
        <w:rPr>
          <w:rFonts w:ascii="Cambria" w:eastAsia="Times New Roman" w:hAnsi="Cambria" w:cs="Times New Roman"/>
          <w:b/>
          <w:i/>
          <w:sz w:val="16"/>
          <w:szCs w:val="16"/>
          <w:lang w:val="en-GB" w:eastAsia="ro-RO"/>
        </w:rPr>
        <w:t xml:space="preserve"> 22</w:t>
      </w:r>
      <w:r w:rsidRPr="00322BD0">
        <w:rPr>
          <w:rFonts w:ascii="Cambria" w:eastAsia="Times New Roman" w:hAnsi="Cambria" w:cs="Times New Roman"/>
          <w:b/>
          <w:i/>
          <w:sz w:val="16"/>
          <w:szCs w:val="16"/>
          <w:lang w:val="en-GB" w:eastAsia="ro-RO"/>
        </w:rPr>
        <w:t xml:space="preserve"> </w:t>
      </w:r>
      <w:r w:rsidR="00515EDA" w:rsidRPr="00322BD0">
        <w:rPr>
          <w:rFonts w:ascii="Cambria" w:eastAsia="Times New Roman" w:hAnsi="Cambria" w:cs="Times New Roman"/>
          <w:b/>
          <w:i/>
          <w:sz w:val="16"/>
          <w:szCs w:val="16"/>
          <w:lang w:val="en-GB" w:eastAsia="ro-RO"/>
        </w:rPr>
        <w:t>–</w:t>
      </w:r>
      <w:r w:rsidRPr="00322BD0">
        <w:rPr>
          <w:rFonts w:ascii="Cambria" w:eastAsia="Times New Roman" w:hAnsi="Cambria" w:cs="Times New Roman"/>
          <w:b/>
          <w:i/>
          <w:sz w:val="16"/>
          <w:szCs w:val="16"/>
          <w:lang w:val="en-GB" w:eastAsia="ro-RO"/>
        </w:rPr>
        <w:t xml:space="preserve"> </w:t>
      </w:r>
      <w:r w:rsidR="004B2B78" w:rsidRPr="00945A8E">
        <w:rPr>
          <w:rFonts w:asciiTheme="majorHAnsi" w:eastAsia="Times New Roman" w:hAnsiTheme="majorHAnsi" w:cs="Times New Roman"/>
          <w:b/>
          <w:i/>
          <w:sz w:val="16"/>
          <w:szCs w:val="16"/>
          <w:lang w:eastAsia="ro-RO"/>
        </w:rPr>
        <w:t xml:space="preserve"> PRRASM</w:t>
      </w:r>
      <w:r w:rsidR="00310799">
        <w:rPr>
          <w:rFonts w:asciiTheme="majorHAnsi" w:eastAsia="Times New Roman" w:hAnsiTheme="majorHAnsi" w:cs="Times New Roman"/>
          <w:b/>
          <w:i/>
          <w:sz w:val="16"/>
          <w:szCs w:val="16"/>
          <w:lang w:eastAsia="ro-RO"/>
        </w:rPr>
        <w:t xml:space="preserve"> Achieved</w:t>
      </w:r>
      <w:r w:rsidR="004B2B78" w:rsidRPr="00945A8E">
        <w:rPr>
          <w:rFonts w:asciiTheme="majorHAnsi" w:eastAsia="Times New Roman" w:hAnsiTheme="majorHAnsi" w:cs="Times New Roman"/>
          <w:b/>
          <w:i/>
          <w:sz w:val="16"/>
          <w:szCs w:val="16"/>
          <w:lang w:eastAsia="ro-RO"/>
        </w:rPr>
        <w:t xml:space="preserve"> vs PRRASM</w:t>
      </w:r>
      <w:r w:rsidR="00310799">
        <w:rPr>
          <w:rFonts w:asciiTheme="majorHAnsi" w:eastAsia="Times New Roman" w:hAnsiTheme="majorHAnsi" w:cs="Times New Roman"/>
          <w:b/>
          <w:i/>
          <w:sz w:val="16"/>
          <w:szCs w:val="16"/>
          <w:lang w:eastAsia="ro-RO"/>
        </w:rPr>
        <w:t xml:space="preserve"> Planned</w:t>
      </w:r>
      <w:r w:rsidR="004B2B78" w:rsidRPr="00945A8E">
        <w:rPr>
          <w:rFonts w:asciiTheme="majorHAnsi" w:eastAsia="Times New Roman" w:hAnsiTheme="majorHAnsi" w:cs="Times New Roman"/>
          <w:b/>
          <w:i/>
          <w:sz w:val="16"/>
          <w:szCs w:val="16"/>
          <w:lang w:eastAsia="ro-RO"/>
        </w:rPr>
        <w:t xml:space="preserve">  - 2016</w:t>
      </w:r>
      <w:r w:rsidR="004B2B78">
        <w:rPr>
          <w:rFonts w:asciiTheme="majorHAnsi" w:eastAsia="Times New Roman" w:hAnsiTheme="majorHAnsi" w:cs="Times New Roman"/>
          <w:b/>
          <w:i/>
          <w:sz w:val="16"/>
          <w:szCs w:val="16"/>
          <w:lang w:eastAsia="ro-RO"/>
        </w:rPr>
        <w:t xml:space="preserve"> </w:t>
      </w:r>
    </w:p>
    <w:p w:rsidR="00817B56" w:rsidRPr="00322BD0" w:rsidRDefault="00817B56" w:rsidP="00817B56">
      <w:pPr>
        <w:spacing w:after="0" w:line="240" w:lineRule="auto"/>
        <w:ind w:firstLine="0"/>
        <w:jc w:val="center"/>
        <w:rPr>
          <w:rFonts w:ascii="Cambria" w:eastAsia="Times New Roman" w:hAnsi="Cambria" w:cs="Times New Roman"/>
          <w:sz w:val="24"/>
          <w:szCs w:val="24"/>
          <w:lang w:val="en-GB" w:eastAsia="ro-RO"/>
        </w:rPr>
      </w:pPr>
    </w:p>
    <w:p w:rsidR="00817B56" w:rsidRPr="00322BD0" w:rsidRDefault="004B2B78" w:rsidP="00817B56">
      <w:pPr>
        <w:spacing w:after="0" w:line="240" w:lineRule="auto"/>
        <w:ind w:firstLine="0"/>
        <w:jc w:val="center"/>
        <w:rPr>
          <w:rFonts w:ascii="Cambria" w:eastAsia="Times New Roman" w:hAnsi="Cambria" w:cs="Times New Roman"/>
          <w:b/>
          <w:i/>
          <w:sz w:val="16"/>
          <w:szCs w:val="16"/>
          <w:lang w:val="en-GB" w:eastAsia="ro-RO"/>
        </w:rPr>
      </w:pPr>
      <w:r>
        <w:rPr>
          <w:noProof/>
          <w:lang w:val="ro-RO" w:eastAsia="ro-RO"/>
        </w:rPr>
        <w:drawing>
          <wp:inline distT="0" distB="0" distL="0" distR="0" wp14:anchorId="09AACF9E" wp14:editId="78EBA03C">
            <wp:extent cx="4572000" cy="1838319"/>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33143" w:rsidRPr="00322BD0" w:rsidRDefault="00E33143" w:rsidP="00E33143">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 xml:space="preserve">Chart </w:t>
      </w:r>
      <w:r w:rsidR="004B2B78">
        <w:rPr>
          <w:rFonts w:ascii="Cambria" w:eastAsia="Times New Roman" w:hAnsi="Cambria" w:cs="Times New Roman"/>
          <w:b/>
          <w:i/>
          <w:sz w:val="16"/>
          <w:szCs w:val="16"/>
          <w:lang w:val="en-GB" w:eastAsia="ro-RO"/>
        </w:rPr>
        <w:t>23</w:t>
      </w:r>
      <w:r w:rsidR="00817B56" w:rsidRPr="00322BD0">
        <w:rPr>
          <w:rFonts w:ascii="Cambria" w:eastAsia="Times New Roman" w:hAnsi="Cambria" w:cs="Times New Roman"/>
          <w:b/>
          <w:i/>
          <w:sz w:val="16"/>
          <w:szCs w:val="16"/>
          <w:lang w:val="en-GB" w:eastAsia="ro-RO"/>
        </w:rPr>
        <w:t xml:space="preserve">- </w:t>
      </w:r>
      <w:r w:rsidR="004B2B78" w:rsidRPr="00945A8E">
        <w:rPr>
          <w:rFonts w:asciiTheme="majorHAnsi" w:eastAsia="Times New Roman" w:hAnsiTheme="majorHAnsi" w:cs="Times New Roman"/>
          <w:b/>
          <w:i/>
          <w:sz w:val="16"/>
          <w:szCs w:val="16"/>
          <w:lang w:eastAsia="ro-RO"/>
        </w:rPr>
        <w:t xml:space="preserve">PRRASM </w:t>
      </w:r>
      <w:r w:rsidR="00310799">
        <w:rPr>
          <w:rFonts w:asciiTheme="majorHAnsi" w:eastAsia="Times New Roman" w:hAnsiTheme="majorHAnsi" w:cs="Times New Roman"/>
          <w:b/>
          <w:i/>
          <w:sz w:val="16"/>
          <w:szCs w:val="16"/>
          <w:lang w:eastAsia="ro-RO"/>
        </w:rPr>
        <w:t xml:space="preserve">Achieved </w:t>
      </w:r>
      <w:r w:rsidR="004B2B78" w:rsidRPr="00945A8E">
        <w:rPr>
          <w:rFonts w:asciiTheme="majorHAnsi" w:eastAsia="Times New Roman" w:hAnsiTheme="majorHAnsi" w:cs="Times New Roman"/>
          <w:b/>
          <w:i/>
          <w:sz w:val="16"/>
          <w:szCs w:val="16"/>
          <w:lang w:eastAsia="ro-RO"/>
        </w:rPr>
        <w:t xml:space="preserve">vsPRRASM </w:t>
      </w:r>
      <w:r w:rsidR="00310799">
        <w:rPr>
          <w:rFonts w:asciiTheme="majorHAnsi" w:eastAsia="Times New Roman" w:hAnsiTheme="majorHAnsi" w:cs="Times New Roman"/>
          <w:b/>
          <w:i/>
          <w:sz w:val="16"/>
          <w:szCs w:val="16"/>
          <w:lang w:eastAsia="ro-RO"/>
        </w:rPr>
        <w:t>Planned</w:t>
      </w:r>
      <w:r w:rsidR="004B2B78" w:rsidRPr="00945A8E">
        <w:rPr>
          <w:rFonts w:asciiTheme="majorHAnsi" w:eastAsia="Times New Roman" w:hAnsiTheme="majorHAnsi" w:cs="Times New Roman"/>
          <w:b/>
          <w:i/>
          <w:sz w:val="16"/>
          <w:szCs w:val="16"/>
          <w:lang w:eastAsia="ro-RO"/>
        </w:rPr>
        <w:t xml:space="preserve"> - 2016</w:t>
      </w:r>
    </w:p>
    <w:p w:rsidR="00067C5D" w:rsidRPr="00322BD0" w:rsidRDefault="00067C5D" w:rsidP="00192986">
      <w:pPr>
        <w:spacing w:after="0" w:line="240" w:lineRule="auto"/>
        <w:ind w:firstLine="0"/>
        <w:jc w:val="both"/>
        <w:rPr>
          <w:rFonts w:ascii="Cambria" w:hAnsi="Cambria"/>
          <w:sz w:val="24"/>
          <w:szCs w:val="24"/>
          <w:lang w:val="en-GB"/>
        </w:rPr>
      </w:pPr>
    </w:p>
    <w:p w:rsidR="00C52512" w:rsidRDefault="00C52512" w:rsidP="00C52512">
      <w:pPr>
        <w:spacing w:after="0" w:line="240" w:lineRule="auto"/>
        <w:ind w:firstLine="0"/>
        <w:jc w:val="both"/>
        <w:rPr>
          <w:rFonts w:ascii="Cambria" w:eastAsia="Calibri" w:hAnsi="Cambria" w:cs="Times New Roman"/>
          <w:sz w:val="24"/>
          <w:szCs w:val="24"/>
          <w:lang w:val="en-GB" w:eastAsia="en-US"/>
        </w:rPr>
      </w:pPr>
      <w:r w:rsidRPr="00322BD0">
        <w:rPr>
          <w:rFonts w:ascii="Cambria" w:eastAsia="Calibri" w:hAnsi="Cambria" w:cs="Times New Roman"/>
          <w:sz w:val="24"/>
          <w:szCs w:val="24"/>
          <w:lang w:val="en-GB" w:eastAsia="en-US"/>
        </w:rPr>
        <w:t xml:space="preserve">The </w:t>
      </w:r>
      <w:r w:rsidR="004B2B78">
        <w:rPr>
          <w:rFonts w:ascii="Cambria" w:eastAsia="Times New Roman" w:hAnsi="Cambria" w:cs="Times New Roman"/>
          <w:sz w:val="24"/>
          <w:szCs w:val="24"/>
          <w:lang w:val="en-GB" w:eastAsia="ro-RO"/>
        </w:rPr>
        <w:t>2016</w:t>
      </w:r>
      <w:r w:rsidR="001C56C5" w:rsidRPr="00322BD0">
        <w:rPr>
          <w:rFonts w:ascii="Cambria" w:eastAsia="Times New Roman" w:hAnsi="Cambria" w:cs="Times New Roman"/>
          <w:sz w:val="24"/>
          <w:szCs w:val="24"/>
          <w:lang w:val="en-GB" w:eastAsia="ro-RO"/>
        </w:rPr>
        <w:t xml:space="preserve"> </w:t>
      </w:r>
      <w:r w:rsidR="001C56C5" w:rsidRPr="00322BD0">
        <w:rPr>
          <w:rFonts w:ascii="Cambria" w:eastAsia="Times New Roman" w:hAnsi="Cambria" w:cs="Cambria"/>
          <w:bCs/>
          <w:sz w:val="24"/>
          <w:szCs w:val="24"/>
          <w:lang w:val="en-GB"/>
        </w:rPr>
        <w:t>NTS Repairs, Rehabilitation and Maintenance Program</w:t>
      </w:r>
      <w:r w:rsidR="002C144B" w:rsidRPr="00322BD0">
        <w:rPr>
          <w:rFonts w:ascii="Cambria" w:eastAsia="Times New Roman" w:hAnsi="Cambria" w:cs="Cambria"/>
          <w:bCs/>
          <w:sz w:val="24"/>
          <w:szCs w:val="24"/>
          <w:lang w:val="en-GB"/>
        </w:rPr>
        <w:t>me</w:t>
      </w:r>
      <w:r w:rsidR="001C56C5" w:rsidRPr="00322BD0">
        <w:rPr>
          <w:rFonts w:ascii="Cambria" w:eastAsia="Times New Roman" w:hAnsi="Cambria" w:cs="Cambria"/>
          <w:b/>
          <w:bCs/>
          <w:sz w:val="24"/>
          <w:szCs w:val="24"/>
          <w:lang w:val="en-GB"/>
        </w:rPr>
        <w:t xml:space="preserve"> </w:t>
      </w:r>
      <w:r w:rsidR="0043339D" w:rsidRPr="00322BD0">
        <w:rPr>
          <w:rFonts w:ascii="Cambria" w:eastAsia="Times New Roman" w:hAnsi="Cambria" w:cs="Cambria"/>
          <w:bCs/>
          <w:sz w:val="24"/>
          <w:szCs w:val="24"/>
          <w:lang w:val="en-GB"/>
        </w:rPr>
        <w:t xml:space="preserve">with an allocated value of RON </w:t>
      </w:r>
      <w:r w:rsidR="004B2B78" w:rsidRPr="00945A8E">
        <w:rPr>
          <w:rFonts w:asciiTheme="majorHAnsi" w:eastAsia="Calibri" w:hAnsiTheme="majorHAnsi" w:cs="Times New Roman"/>
          <w:b/>
          <w:sz w:val="24"/>
          <w:szCs w:val="24"/>
          <w:lang w:val="ro-RO" w:eastAsia="en-US"/>
        </w:rPr>
        <w:t>93.847.883</w:t>
      </w:r>
      <w:r w:rsidR="004B2B78" w:rsidRPr="00425223">
        <w:rPr>
          <w:rFonts w:asciiTheme="majorHAnsi" w:hAnsiTheme="majorHAnsi"/>
          <w:b/>
          <w:sz w:val="24"/>
          <w:lang w:val="ro-RO"/>
        </w:rPr>
        <w:t xml:space="preserve"> </w:t>
      </w:r>
      <w:r w:rsidR="0043339D" w:rsidRPr="00322BD0">
        <w:rPr>
          <w:rFonts w:ascii="Cambria" w:eastAsia="Calibri" w:hAnsi="Cambria" w:cs="Times New Roman"/>
          <w:sz w:val="24"/>
          <w:szCs w:val="24"/>
          <w:lang w:val="en-GB" w:eastAsia="en-US"/>
        </w:rPr>
        <w:t>records a level of budgetary execution</w:t>
      </w:r>
      <w:r w:rsidR="0043339D" w:rsidRPr="00322BD0">
        <w:rPr>
          <w:rFonts w:ascii="Cambria" w:eastAsia="Calibri" w:hAnsi="Cambria" w:cs="Times New Roman"/>
          <w:b/>
          <w:sz w:val="24"/>
          <w:szCs w:val="24"/>
          <w:lang w:val="en-GB" w:eastAsia="en-US"/>
        </w:rPr>
        <w:t xml:space="preserve"> </w:t>
      </w:r>
      <w:r w:rsidR="004253FC" w:rsidRPr="00322BD0">
        <w:rPr>
          <w:rFonts w:ascii="Cambria" w:eastAsia="Calibri" w:hAnsi="Cambria" w:cs="Times New Roman"/>
          <w:sz w:val="24"/>
          <w:szCs w:val="24"/>
          <w:lang w:val="en-GB" w:eastAsia="en-US"/>
        </w:rPr>
        <w:t xml:space="preserve">for </w:t>
      </w:r>
      <w:r w:rsidR="004B2B78">
        <w:rPr>
          <w:rFonts w:ascii="Cambria" w:eastAsia="Calibri" w:hAnsi="Cambria" w:cs="Times New Roman"/>
          <w:sz w:val="24"/>
          <w:szCs w:val="24"/>
          <w:lang w:val="en-GB" w:eastAsia="en-US"/>
        </w:rPr>
        <w:t xml:space="preserve">2016 of RON </w:t>
      </w:r>
      <w:r w:rsidR="004B2B78">
        <w:rPr>
          <w:rFonts w:asciiTheme="majorHAnsi" w:eastAsia="Times New Roman" w:hAnsiTheme="majorHAnsi" w:cs="Times New Roman"/>
          <w:b/>
          <w:sz w:val="24"/>
          <w:szCs w:val="24"/>
        </w:rPr>
        <w:t>19.101.904  which represents</w:t>
      </w:r>
      <w:r w:rsidR="00BE55DB">
        <w:rPr>
          <w:rFonts w:asciiTheme="majorHAnsi" w:eastAsia="Times New Roman" w:hAnsiTheme="majorHAnsi" w:cs="Times New Roman"/>
          <w:b/>
          <w:sz w:val="24"/>
          <w:szCs w:val="24"/>
        </w:rPr>
        <w:t xml:space="preserve"> the achievement of the plan up to 20,35%.</w:t>
      </w:r>
      <w:r w:rsidR="004B2B78">
        <w:rPr>
          <w:rFonts w:asciiTheme="majorHAnsi" w:eastAsia="Times New Roman" w:hAnsiTheme="majorHAnsi" w:cs="Times New Roman"/>
          <w:b/>
          <w:sz w:val="24"/>
          <w:szCs w:val="24"/>
        </w:rPr>
        <w:t xml:space="preserve"> </w:t>
      </w:r>
      <w:r w:rsidR="004B2B78" w:rsidRPr="00322BD0">
        <w:rPr>
          <w:rFonts w:ascii="Cambria" w:eastAsia="Calibri" w:hAnsi="Cambria" w:cs="Times New Roman"/>
          <w:sz w:val="24"/>
          <w:szCs w:val="24"/>
          <w:lang w:val="en-GB" w:eastAsia="en-US"/>
        </w:rPr>
        <w:t xml:space="preserve"> </w:t>
      </w:r>
    </w:p>
    <w:p w:rsidR="00BE55DB" w:rsidRPr="00322BD0" w:rsidRDefault="00BE55DB" w:rsidP="00C52512">
      <w:pPr>
        <w:spacing w:after="0" w:line="240" w:lineRule="auto"/>
        <w:ind w:firstLine="0"/>
        <w:jc w:val="both"/>
        <w:rPr>
          <w:rFonts w:ascii="Cambria" w:eastAsia="Calibri" w:hAnsi="Cambria" w:cs="Times New Roman"/>
          <w:sz w:val="24"/>
          <w:szCs w:val="24"/>
          <w:lang w:val="en-GB" w:eastAsia="en-US"/>
        </w:rPr>
      </w:pPr>
    </w:p>
    <w:p w:rsidR="00C52512" w:rsidRPr="00322BD0" w:rsidRDefault="0098471D" w:rsidP="00C52512">
      <w:pPr>
        <w:spacing w:after="0" w:line="240" w:lineRule="auto"/>
        <w:ind w:firstLine="0"/>
        <w:jc w:val="both"/>
        <w:rPr>
          <w:rFonts w:ascii="Cambria" w:eastAsia="Calibri" w:hAnsi="Cambria" w:cs="Times New Roman"/>
          <w:sz w:val="24"/>
          <w:szCs w:val="24"/>
          <w:lang w:val="en-GB" w:eastAsia="en-US"/>
        </w:rPr>
      </w:pPr>
      <w:r w:rsidRPr="00322BD0">
        <w:rPr>
          <w:rFonts w:ascii="Cambria" w:eastAsia="Calibri" w:hAnsi="Cambria" w:cs="Times New Roman"/>
          <w:sz w:val="24"/>
          <w:szCs w:val="24"/>
          <w:lang w:val="en-GB" w:eastAsia="en-US"/>
        </w:rPr>
        <w:t xml:space="preserve">The low values recorded </w:t>
      </w:r>
      <w:r w:rsidR="00BE55DB">
        <w:rPr>
          <w:rFonts w:ascii="Cambria" w:eastAsia="Calibri" w:hAnsi="Cambria" w:cs="Times New Roman"/>
          <w:sz w:val="24"/>
          <w:szCs w:val="24"/>
          <w:lang w:val="en-GB" w:eastAsia="en-US"/>
        </w:rPr>
        <w:t>at chapter A. “R</w:t>
      </w:r>
      <w:r w:rsidRPr="00322BD0">
        <w:rPr>
          <w:rFonts w:ascii="Cambria" w:eastAsia="Calibri" w:hAnsi="Cambria" w:cs="Times New Roman"/>
          <w:b/>
          <w:sz w:val="24"/>
          <w:szCs w:val="24"/>
          <w:lang w:val="en-GB" w:eastAsia="en-US"/>
        </w:rPr>
        <w:t>epair/rehabilitation works</w:t>
      </w:r>
      <w:r w:rsidR="00BE55DB">
        <w:rPr>
          <w:rFonts w:ascii="Cambria" w:eastAsia="Calibri" w:hAnsi="Cambria" w:cs="Times New Roman"/>
          <w:b/>
          <w:sz w:val="24"/>
          <w:szCs w:val="24"/>
          <w:lang w:val="en-GB" w:eastAsia="en-US"/>
        </w:rPr>
        <w:t>”</w:t>
      </w:r>
      <w:r w:rsidRPr="00322BD0">
        <w:rPr>
          <w:rFonts w:ascii="Cambria" w:eastAsia="Calibri" w:hAnsi="Cambria" w:cs="Times New Roman"/>
          <w:sz w:val="24"/>
          <w:szCs w:val="24"/>
          <w:lang w:val="en-GB" w:eastAsia="en-US"/>
        </w:rPr>
        <w:t xml:space="preserve"> </w:t>
      </w:r>
      <w:r w:rsidR="00BE55DB">
        <w:rPr>
          <w:rFonts w:ascii="Cambria" w:eastAsia="Calibri" w:hAnsi="Cambria" w:cs="Times New Roman"/>
          <w:sz w:val="24"/>
          <w:szCs w:val="24"/>
          <w:lang w:val="en-GB" w:eastAsia="en-US"/>
        </w:rPr>
        <w:t>are</w:t>
      </w:r>
      <w:r w:rsidRPr="00322BD0">
        <w:rPr>
          <w:rFonts w:ascii="Cambria" w:eastAsia="Calibri" w:hAnsi="Cambria" w:cs="Times New Roman"/>
          <w:sz w:val="24"/>
          <w:szCs w:val="24"/>
          <w:lang w:val="en-GB" w:eastAsia="en-US"/>
        </w:rPr>
        <w:t xml:space="preserve"> </w:t>
      </w:r>
      <w:r w:rsidR="00BE55DB">
        <w:rPr>
          <w:rFonts w:ascii="Cambria" w:eastAsia="Calibri" w:hAnsi="Cambria" w:cs="Times New Roman"/>
          <w:sz w:val="24"/>
          <w:szCs w:val="24"/>
          <w:lang w:val="en-GB" w:eastAsia="en-US"/>
        </w:rPr>
        <w:t>includ</w:t>
      </w:r>
      <w:r w:rsidR="004A1DD7">
        <w:rPr>
          <w:rFonts w:ascii="Cambria" w:eastAsia="Calibri" w:hAnsi="Cambria" w:cs="Times New Roman"/>
          <w:sz w:val="24"/>
          <w:szCs w:val="24"/>
          <w:lang w:val="en-GB" w:eastAsia="en-US"/>
        </w:rPr>
        <w:t>ed</w:t>
      </w:r>
      <w:r w:rsidR="00BE55DB">
        <w:rPr>
          <w:rFonts w:ascii="Cambria" w:eastAsia="Calibri" w:hAnsi="Cambria" w:cs="Times New Roman"/>
          <w:sz w:val="24"/>
          <w:szCs w:val="24"/>
          <w:lang w:val="en-GB" w:eastAsia="en-US"/>
        </w:rPr>
        <w:t xml:space="preserve"> </w:t>
      </w:r>
      <w:r w:rsidRPr="00322BD0">
        <w:rPr>
          <w:rFonts w:ascii="Cambria" w:eastAsia="Calibri" w:hAnsi="Cambria" w:cs="Times New Roman"/>
          <w:sz w:val="24"/>
          <w:szCs w:val="24"/>
          <w:lang w:val="en-GB" w:eastAsia="en-US"/>
        </w:rPr>
        <w:t>due</w:t>
      </w:r>
      <w:r w:rsidR="009E518F" w:rsidRPr="00322BD0">
        <w:rPr>
          <w:rFonts w:ascii="Cambria" w:eastAsia="Calibri" w:hAnsi="Cambria" w:cs="Times New Roman"/>
          <w:sz w:val="24"/>
          <w:szCs w:val="24"/>
          <w:lang w:val="en-GB" w:eastAsia="en-US"/>
        </w:rPr>
        <w:t xml:space="preserve"> </w:t>
      </w:r>
      <w:r w:rsidRPr="00322BD0">
        <w:rPr>
          <w:rFonts w:ascii="Cambria" w:eastAsia="Calibri" w:hAnsi="Cambria" w:cs="Times New Roman"/>
          <w:sz w:val="24"/>
          <w:szCs w:val="24"/>
          <w:lang w:val="en-GB" w:eastAsia="en-US"/>
        </w:rPr>
        <w:t>to the following</w:t>
      </w:r>
      <w:r w:rsidR="00C52512" w:rsidRPr="00322BD0">
        <w:rPr>
          <w:rFonts w:ascii="Cambria" w:eastAsia="Calibri" w:hAnsi="Cambria" w:cs="Times New Roman"/>
          <w:sz w:val="24"/>
          <w:szCs w:val="24"/>
          <w:lang w:val="en-GB" w:eastAsia="en-US"/>
        </w:rPr>
        <w:t xml:space="preserve">:   </w:t>
      </w:r>
    </w:p>
    <w:p w:rsidR="00C52512" w:rsidRPr="00322BD0" w:rsidRDefault="00C52512" w:rsidP="00C52512">
      <w:pPr>
        <w:spacing w:after="0" w:line="240" w:lineRule="auto"/>
        <w:ind w:firstLine="0"/>
        <w:jc w:val="both"/>
        <w:rPr>
          <w:rFonts w:ascii="Cambria" w:eastAsia="Calibri" w:hAnsi="Cambria" w:cs="Times New Roman"/>
          <w:sz w:val="24"/>
          <w:szCs w:val="24"/>
          <w:lang w:val="en-GB" w:eastAsia="en-US"/>
        </w:rPr>
      </w:pPr>
    </w:p>
    <w:p w:rsidR="004A1DD7" w:rsidRPr="00425223" w:rsidRDefault="004A1DD7" w:rsidP="00FA6EB9">
      <w:pPr>
        <w:numPr>
          <w:ilvl w:val="0"/>
          <w:numId w:val="93"/>
        </w:numPr>
        <w:spacing w:after="0" w:line="240" w:lineRule="auto"/>
        <w:ind w:left="709" w:hanging="425"/>
        <w:jc w:val="both"/>
        <w:rPr>
          <w:rFonts w:asciiTheme="majorHAnsi" w:eastAsia="Times New Roman" w:hAnsiTheme="majorHAnsi" w:cs="Times New Roman"/>
          <w:sz w:val="24"/>
          <w:szCs w:val="24"/>
          <w:lang w:val="it-IT" w:eastAsia="ro-RO"/>
        </w:rPr>
      </w:pPr>
      <w:r>
        <w:rPr>
          <w:rFonts w:asciiTheme="majorHAnsi" w:eastAsia="Times New Roman" w:hAnsiTheme="majorHAnsi" w:cs="Times New Roman"/>
          <w:sz w:val="24"/>
          <w:szCs w:val="24"/>
          <w:lang w:val="it-IT" w:eastAsia="ro-RO"/>
        </w:rPr>
        <w:t xml:space="preserve">During the cold season period (November-March) maintenance works are not planned nor executed </w:t>
      </w:r>
      <w:r w:rsidR="001167BC">
        <w:rPr>
          <w:rFonts w:asciiTheme="majorHAnsi" w:eastAsia="Times New Roman" w:hAnsiTheme="majorHAnsi" w:cs="Times New Roman"/>
          <w:sz w:val="24"/>
          <w:szCs w:val="24"/>
          <w:lang w:val="it-IT" w:eastAsia="ro-RO"/>
        </w:rPr>
        <w:t>and neither current works or connection works requiring the interruption of gas supply for a continuous period surpasing 12 working hours stipulated also by Law no 346/2007 art 12(2). Therefore all the works requiring the cesing of the supply thorugh the pipelines were stopped in order to offer transmission capacity and safety in the operation of the NTS;</w:t>
      </w:r>
    </w:p>
    <w:p w:rsidR="001167BC" w:rsidRPr="001167BC" w:rsidRDefault="001167BC" w:rsidP="00FA6EB9">
      <w:pPr>
        <w:numPr>
          <w:ilvl w:val="0"/>
          <w:numId w:val="93"/>
        </w:numPr>
        <w:spacing w:after="0" w:line="240" w:lineRule="auto"/>
        <w:ind w:left="709" w:hanging="425"/>
        <w:contextualSpacing/>
        <w:jc w:val="both"/>
        <w:rPr>
          <w:rFonts w:asciiTheme="majorHAnsi" w:eastAsia="Times New Roman" w:hAnsiTheme="majorHAnsi" w:cs="Times New Roman"/>
          <w:sz w:val="24"/>
          <w:szCs w:val="24"/>
          <w:lang w:eastAsia="ro-RO"/>
        </w:rPr>
      </w:pPr>
      <w:r>
        <w:rPr>
          <w:rFonts w:asciiTheme="majorHAnsi" w:eastAsia="Times New Roman" w:hAnsiTheme="majorHAnsi" w:cs="Times New Roman"/>
          <w:sz w:val="24"/>
          <w:szCs w:val="24"/>
          <w:lang w:eastAsia="ro-RO"/>
        </w:rPr>
        <w:t xml:space="preserve">Difficulties encountered in the preparation of the documentations for the promotion of the procurement procedures; </w:t>
      </w:r>
    </w:p>
    <w:p w:rsidR="001167BC" w:rsidRPr="001167BC" w:rsidRDefault="001167BC" w:rsidP="00FA6EB9">
      <w:pPr>
        <w:numPr>
          <w:ilvl w:val="0"/>
          <w:numId w:val="93"/>
        </w:numPr>
        <w:spacing w:after="0" w:line="240" w:lineRule="auto"/>
        <w:ind w:left="709" w:hanging="425"/>
        <w:jc w:val="both"/>
        <w:rPr>
          <w:rFonts w:asciiTheme="majorHAnsi" w:eastAsia="Times New Roman" w:hAnsiTheme="majorHAnsi" w:cs="Times New Roman"/>
          <w:sz w:val="24"/>
          <w:szCs w:val="24"/>
          <w:lang w:eastAsia="ro-RO"/>
        </w:rPr>
      </w:pPr>
      <w:r>
        <w:rPr>
          <w:rFonts w:asciiTheme="majorHAnsi" w:eastAsia="Times New Roman" w:hAnsiTheme="majorHAnsi" w:cs="Times New Roman"/>
          <w:sz w:val="24"/>
          <w:szCs w:val="24"/>
          <w:lang w:eastAsia="ro-RO"/>
        </w:rPr>
        <w:t>Difficulties in obtaining construction permits and approvals from institutions and authorities;</w:t>
      </w:r>
    </w:p>
    <w:p w:rsidR="001167BC" w:rsidRPr="001167BC" w:rsidRDefault="00694B46" w:rsidP="00FA6EB9">
      <w:pPr>
        <w:numPr>
          <w:ilvl w:val="0"/>
          <w:numId w:val="93"/>
        </w:numPr>
        <w:spacing w:after="0" w:line="240" w:lineRule="auto"/>
        <w:ind w:left="709" w:hanging="425"/>
        <w:jc w:val="both"/>
        <w:rPr>
          <w:rFonts w:asciiTheme="majorHAnsi" w:eastAsia="Times New Roman" w:hAnsiTheme="majorHAnsi" w:cs="Times New Roman"/>
          <w:sz w:val="24"/>
          <w:szCs w:val="24"/>
          <w:lang w:eastAsia="ro-RO"/>
        </w:rPr>
      </w:pPr>
      <w:r>
        <w:rPr>
          <w:rFonts w:asciiTheme="majorHAnsi" w:eastAsia="Times New Roman" w:hAnsiTheme="majorHAnsi" w:cs="Times New Roman"/>
          <w:sz w:val="24"/>
          <w:szCs w:val="24"/>
          <w:lang w:eastAsia="ro-RO"/>
        </w:rPr>
        <w:t>Termination of some contracts terminated because of the constructors’ fault;</w:t>
      </w:r>
    </w:p>
    <w:p w:rsidR="00694B46" w:rsidRPr="00694B46" w:rsidRDefault="00694B46" w:rsidP="00FA6EB9">
      <w:pPr>
        <w:numPr>
          <w:ilvl w:val="0"/>
          <w:numId w:val="93"/>
        </w:numPr>
        <w:spacing w:after="0" w:line="240" w:lineRule="auto"/>
        <w:ind w:left="709" w:hanging="425"/>
        <w:jc w:val="both"/>
        <w:rPr>
          <w:rFonts w:asciiTheme="majorHAnsi" w:eastAsia="Times New Roman" w:hAnsiTheme="majorHAnsi" w:cs="Times New Roman"/>
          <w:sz w:val="24"/>
          <w:szCs w:val="24"/>
          <w:lang w:eastAsia="ro-RO"/>
        </w:rPr>
      </w:pPr>
      <w:r>
        <w:rPr>
          <w:rFonts w:asciiTheme="majorHAnsi" w:eastAsia="Times New Roman" w:hAnsiTheme="majorHAnsi" w:cs="Times New Roman"/>
          <w:sz w:val="24"/>
          <w:szCs w:val="24"/>
          <w:lang w:eastAsia="ro-RO"/>
        </w:rPr>
        <w:t>Problems related to the access in the filed in the relationship with the land owners.</w:t>
      </w:r>
    </w:p>
    <w:p w:rsidR="00BE55DB" w:rsidRPr="00BE55DB" w:rsidRDefault="00BE55DB" w:rsidP="00694B46">
      <w:pPr>
        <w:spacing w:after="0" w:line="240" w:lineRule="auto"/>
        <w:ind w:left="709" w:firstLine="0"/>
        <w:jc w:val="both"/>
        <w:rPr>
          <w:rFonts w:asciiTheme="majorHAnsi" w:eastAsia="Times New Roman" w:hAnsiTheme="majorHAnsi" w:cs="Times New Roman"/>
          <w:sz w:val="24"/>
          <w:szCs w:val="24"/>
          <w:lang w:eastAsia="ro-RO"/>
        </w:rPr>
      </w:pPr>
    </w:p>
    <w:p w:rsidR="00BE55DB" w:rsidRPr="00BC4E92" w:rsidRDefault="008346BD" w:rsidP="00BE55DB">
      <w:pPr>
        <w:spacing w:after="0" w:line="240" w:lineRule="auto"/>
        <w:ind w:firstLine="0"/>
        <w:jc w:val="both"/>
        <w:rPr>
          <w:rFonts w:asciiTheme="majorHAnsi" w:eastAsia="Calibri" w:hAnsiTheme="majorHAnsi" w:cs="DokChampa"/>
          <w:sz w:val="24"/>
          <w:szCs w:val="24"/>
          <w:lang w:val="ro-RO" w:eastAsia="en-US"/>
        </w:rPr>
      </w:pPr>
      <w:r w:rsidRPr="00BC4E92">
        <w:rPr>
          <w:rFonts w:asciiTheme="majorHAnsi" w:eastAsia="Calibri" w:hAnsiTheme="majorHAnsi" w:cs="DokChampa"/>
          <w:sz w:val="24"/>
          <w:szCs w:val="24"/>
          <w:lang w:val="ro-RO" w:eastAsia="en-US"/>
        </w:rPr>
        <w:lastRenderedPageBreak/>
        <w:t xml:space="preserve">Part of the values of the achievements related to the maintenance program come from the area of </w:t>
      </w:r>
      <w:r w:rsidRPr="00BC4E92">
        <w:rPr>
          <w:rFonts w:asciiTheme="majorHAnsi" w:eastAsia="Calibri" w:hAnsiTheme="majorHAnsi" w:cs="DokChampa"/>
          <w:b/>
          <w:sz w:val="24"/>
          <w:szCs w:val="24"/>
          <w:lang w:val="ro-RO" w:eastAsia="en-US"/>
        </w:rPr>
        <w:t xml:space="preserve">maintenance services </w:t>
      </w:r>
      <w:r w:rsidRPr="00BC4E92">
        <w:rPr>
          <w:rFonts w:asciiTheme="majorHAnsi" w:eastAsia="Calibri" w:hAnsiTheme="majorHAnsi" w:cs="DokChampa"/>
          <w:sz w:val="24"/>
          <w:szCs w:val="24"/>
          <w:lang w:val="ro-RO" w:eastAsia="en-US"/>
        </w:rPr>
        <w:t xml:space="preserve">to ensure corrective actions (repairs) </w:t>
      </w:r>
      <w:r w:rsidR="00502984" w:rsidRPr="00BC4E92">
        <w:rPr>
          <w:rFonts w:asciiTheme="majorHAnsi" w:eastAsia="Calibri" w:hAnsiTheme="majorHAnsi" w:cs="DokChampa"/>
          <w:sz w:val="24"/>
          <w:szCs w:val="24"/>
          <w:lang w:val="ro-RO" w:eastAsia="en-US"/>
        </w:rPr>
        <w:t xml:space="preserve">and from ensuring the necessary materials and equipments for the contracted works. These are services which are difficult to predict, the budget for them being allocated only whenever necessary. </w:t>
      </w:r>
    </w:p>
    <w:p w:rsidR="00FF6645" w:rsidRPr="00322BD0" w:rsidRDefault="00FF6645" w:rsidP="00723614">
      <w:pPr>
        <w:spacing w:after="0" w:line="240" w:lineRule="auto"/>
        <w:ind w:firstLine="0"/>
        <w:jc w:val="both"/>
        <w:rPr>
          <w:rFonts w:ascii="Cambria" w:eastAsia="Times New Roman" w:hAnsi="Cambria" w:cs="Cambria"/>
          <w:lang w:val="en-GB"/>
        </w:rPr>
      </w:pPr>
    </w:p>
    <w:p w:rsidR="001B3D27" w:rsidRPr="00322BD0" w:rsidRDefault="001B3D27" w:rsidP="00B42F6C">
      <w:pPr>
        <w:spacing w:after="0" w:line="240" w:lineRule="auto"/>
        <w:ind w:firstLine="0"/>
        <w:jc w:val="both"/>
        <w:rPr>
          <w:rFonts w:ascii="Cambria" w:eastAsia="Times New Roman" w:hAnsi="Cambria" w:cs="Times New Roman"/>
          <w:sz w:val="8"/>
          <w:szCs w:val="8"/>
          <w:lang w:val="en-GB"/>
        </w:rPr>
      </w:pPr>
    </w:p>
    <w:p w:rsidR="00AD41CA" w:rsidRPr="00BC4E92" w:rsidRDefault="00B42F6C" w:rsidP="00B42F6C">
      <w:pPr>
        <w:spacing w:after="0" w:line="240" w:lineRule="auto"/>
        <w:ind w:firstLine="0"/>
        <w:jc w:val="both"/>
        <w:rPr>
          <w:rFonts w:ascii="Cambria" w:eastAsia="Times New Roman" w:hAnsi="Cambria" w:cs="Times New Roman"/>
          <w:b/>
          <w:sz w:val="24"/>
          <w:szCs w:val="24"/>
          <w:lang w:val="en-GB"/>
        </w:rPr>
      </w:pPr>
      <w:r w:rsidRPr="00BC4E92">
        <w:rPr>
          <w:rFonts w:ascii="Cambria" w:eastAsia="Times New Roman" w:hAnsi="Cambria" w:cs="Times New Roman"/>
          <w:b/>
          <w:sz w:val="24"/>
          <w:szCs w:val="24"/>
          <w:lang w:val="en-GB"/>
        </w:rPr>
        <w:t xml:space="preserve">The </w:t>
      </w:r>
      <w:r w:rsidR="00B44CFC" w:rsidRPr="00BC4E92">
        <w:rPr>
          <w:rFonts w:ascii="Cambria" w:eastAsia="Times New Roman" w:hAnsi="Cambria" w:cs="Times New Roman"/>
          <w:b/>
          <w:sz w:val="24"/>
          <w:szCs w:val="24"/>
          <w:lang w:val="en-GB"/>
        </w:rPr>
        <w:t>201</w:t>
      </w:r>
      <w:r w:rsidR="00B76876" w:rsidRPr="00BC4E92">
        <w:rPr>
          <w:rFonts w:ascii="Cambria" w:eastAsia="Times New Roman" w:hAnsi="Cambria" w:cs="Times New Roman"/>
          <w:b/>
          <w:sz w:val="24"/>
          <w:szCs w:val="24"/>
          <w:lang w:val="en-GB"/>
        </w:rPr>
        <w:t>6</w:t>
      </w:r>
      <w:r w:rsidR="00B44CFC" w:rsidRPr="00BC4E92">
        <w:rPr>
          <w:rFonts w:ascii="Cambria" w:eastAsia="Times New Roman" w:hAnsi="Cambria" w:cs="Times New Roman"/>
          <w:b/>
          <w:sz w:val="24"/>
          <w:szCs w:val="24"/>
          <w:lang w:val="en-GB"/>
        </w:rPr>
        <w:t xml:space="preserve"> modernization </w:t>
      </w:r>
      <w:r w:rsidRPr="00BC4E92">
        <w:rPr>
          <w:rFonts w:ascii="Cambria" w:eastAsia="Times New Roman" w:hAnsi="Cambria" w:cs="Times New Roman"/>
          <w:b/>
          <w:sz w:val="24"/>
          <w:szCs w:val="24"/>
          <w:lang w:val="en-GB"/>
        </w:rPr>
        <w:t xml:space="preserve">and </w:t>
      </w:r>
      <w:r w:rsidR="00B44CFC" w:rsidRPr="00BC4E92">
        <w:rPr>
          <w:rFonts w:ascii="Cambria" w:eastAsia="Times New Roman" w:hAnsi="Cambria" w:cs="Times New Roman"/>
          <w:b/>
          <w:sz w:val="24"/>
          <w:szCs w:val="24"/>
          <w:lang w:val="en-GB"/>
        </w:rPr>
        <w:t xml:space="preserve">investment </w:t>
      </w:r>
      <w:r w:rsidRPr="00BC4E92">
        <w:rPr>
          <w:rFonts w:ascii="Cambria" w:eastAsia="Times New Roman" w:hAnsi="Cambria" w:cs="Times New Roman"/>
          <w:b/>
          <w:sz w:val="24"/>
          <w:szCs w:val="24"/>
          <w:lang w:val="en-GB"/>
        </w:rPr>
        <w:t>development program</w:t>
      </w:r>
      <w:r w:rsidR="00B44CFC" w:rsidRPr="00BC4E92">
        <w:rPr>
          <w:rFonts w:ascii="Cambria" w:eastAsia="Times New Roman" w:hAnsi="Cambria" w:cs="Times New Roman"/>
          <w:b/>
          <w:sz w:val="24"/>
          <w:szCs w:val="24"/>
          <w:lang w:val="en-GB"/>
        </w:rPr>
        <w:t>me</w:t>
      </w:r>
      <w:r w:rsidRPr="00BC4E92">
        <w:rPr>
          <w:rFonts w:ascii="Cambria" w:eastAsia="Times New Roman" w:hAnsi="Cambria" w:cs="Times New Roman"/>
          <w:b/>
          <w:sz w:val="24"/>
          <w:szCs w:val="24"/>
          <w:lang w:val="en-GB"/>
        </w:rPr>
        <w:t xml:space="preserve"> is </w:t>
      </w:r>
      <w:r w:rsidR="00B44CFC" w:rsidRPr="00BC4E92">
        <w:rPr>
          <w:rFonts w:ascii="Cambria" w:eastAsia="Times New Roman" w:hAnsi="Cambria" w:cs="Times New Roman"/>
          <w:b/>
          <w:sz w:val="24"/>
          <w:szCs w:val="24"/>
          <w:lang w:val="en-GB"/>
        </w:rPr>
        <w:t>as follows</w:t>
      </w:r>
      <w:r w:rsidR="000648A3" w:rsidRPr="00BC4E92">
        <w:rPr>
          <w:rFonts w:ascii="Cambria" w:eastAsia="Times New Roman" w:hAnsi="Cambria" w:cs="Times New Roman"/>
          <w:b/>
          <w:sz w:val="24"/>
          <w:szCs w:val="24"/>
          <w:lang w:val="en-GB"/>
        </w:rPr>
        <w:t>:</w:t>
      </w:r>
    </w:p>
    <w:p w:rsidR="000648A3" w:rsidRPr="00322BD0" w:rsidRDefault="000648A3" w:rsidP="00B42F6C">
      <w:pPr>
        <w:spacing w:after="0" w:line="240" w:lineRule="auto"/>
        <w:ind w:firstLine="0"/>
        <w:jc w:val="both"/>
        <w:rPr>
          <w:rFonts w:ascii="Cambria" w:eastAsia="Times New Roman" w:hAnsi="Cambria" w:cs="Times New Roman"/>
          <w:sz w:val="8"/>
          <w:szCs w:val="8"/>
          <w:lang w:val="en-GB"/>
        </w:rPr>
      </w:pPr>
    </w:p>
    <w:tbl>
      <w:tblPr>
        <w:tblW w:w="9238" w:type="dxa"/>
        <w:tblCellSpacing w:w="20" w:type="dxa"/>
        <w:tblInd w:w="-27"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875"/>
        <w:gridCol w:w="3535"/>
        <w:gridCol w:w="1710"/>
        <w:gridCol w:w="1842"/>
        <w:gridCol w:w="1276"/>
      </w:tblGrid>
      <w:tr w:rsidR="00F51384" w:rsidRPr="00322BD0" w:rsidTr="003414E8">
        <w:trPr>
          <w:trHeight w:val="350"/>
          <w:tblCellSpacing w:w="20" w:type="dxa"/>
        </w:trPr>
        <w:tc>
          <w:tcPr>
            <w:tcW w:w="815" w:type="dxa"/>
            <w:vMerge w:val="restart"/>
            <w:shd w:val="clear" w:color="auto" w:fill="D6E0F4"/>
            <w:noWrap/>
            <w:vAlign w:val="center"/>
            <w:hideMark/>
          </w:tcPr>
          <w:p w:rsidR="00F51384" w:rsidRPr="00322BD0" w:rsidRDefault="00F51384" w:rsidP="003414E8">
            <w:pPr>
              <w:spacing w:after="0" w:line="240" w:lineRule="auto"/>
              <w:ind w:firstLine="0"/>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Chapter</w:t>
            </w:r>
          </w:p>
        </w:tc>
        <w:tc>
          <w:tcPr>
            <w:tcW w:w="3495" w:type="dxa"/>
            <w:vMerge w:val="restart"/>
            <w:shd w:val="clear" w:color="auto" w:fill="D6E0F4"/>
            <w:noWrap/>
            <w:vAlign w:val="center"/>
            <w:hideMark/>
          </w:tcPr>
          <w:p w:rsidR="00F51384" w:rsidRPr="00322BD0" w:rsidRDefault="00F51384" w:rsidP="003414E8">
            <w:pPr>
              <w:spacing w:after="0" w:line="240" w:lineRule="auto"/>
              <w:jc w:val="center"/>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Work category</w:t>
            </w:r>
          </w:p>
        </w:tc>
        <w:tc>
          <w:tcPr>
            <w:tcW w:w="1670" w:type="dxa"/>
            <w:shd w:val="clear" w:color="auto" w:fill="D6E0F4"/>
            <w:vAlign w:val="bottom"/>
            <w:hideMark/>
          </w:tcPr>
          <w:p w:rsidR="00F51384" w:rsidRPr="00322BD0" w:rsidRDefault="00F51384" w:rsidP="003414E8">
            <w:pPr>
              <w:spacing w:after="0" w:line="240" w:lineRule="auto"/>
              <w:jc w:val="center"/>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 xml:space="preserve">Programme  </w:t>
            </w:r>
          </w:p>
          <w:p w:rsidR="00F51384" w:rsidRPr="00322BD0" w:rsidRDefault="00F51384" w:rsidP="003414E8">
            <w:pPr>
              <w:spacing w:after="0" w:line="240" w:lineRule="auto"/>
              <w:jc w:val="center"/>
              <w:rPr>
                <w:rFonts w:asciiTheme="majorHAnsi" w:eastAsia="Times New Roman" w:hAnsiTheme="majorHAnsi" w:cstheme="minorHAnsi"/>
                <w:b/>
                <w:bCs/>
                <w:sz w:val="16"/>
                <w:szCs w:val="16"/>
                <w:lang w:val="en-GB" w:eastAsia="ro-RO"/>
              </w:rPr>
            </w:pPr>
            <w:r>
              <w:rPr>
                <w:rFonts w:asciiTheme="majorHAnsi" w:eastAsia="Times New Roman" w:hAnsiTheme="majorHAnsi" w:cstheme="minorHAnsi"/>
                <w:b/>
                <w:bCs/>
                <w:sz w:val="16"/>
                <w:szCs w:val="16"/>
                <w:lang w:val="en-GB" w:eastAsia="ro-RO"/>
              </w:rPr>
              <w:t>2016</w:t>
            </w:r>
          </w:p>
        </w:tc>
        <w:tc>
          <w:tcPr>
            <w:tcW w:w="1802" w:type="dxa"/>
            <w:shd w:val="clear" w:color="auto" w:fill="D6E0F4"/>
            <w:vAlign w:val="center"/>
            <w:hideMark/>
          </w:tcPr>
          <w:p w:rsidR="00F51384" w:rsidRPr="00322BD0" w:rsidRDefault="00F51384" w:rsidP="003414E8">
            <w:pPr>
              <w:spacing w:after="0" w:line="240" w:lineRule="auto"/>
              <w:jc w:val="center"/>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Achieved</w:t>
            </w:r>
          </w:p>
          <w:p w:rsidR="00F51384" w:rsidRPr="00322BD0" w:rsidRDefault="00F51384" w:rsidP="003414E8">
            <w:pPr>
              <w:spacing w:after="0" w:line="240" w:lineRule="auto"/>
              <w:jc w:val="center"/>
              <w:rPr>
                <w:rFonts w:asciiTheme="majorHAnsi" w:eastAsia="Times New Roman" w:hAnsiTheme="majorHAnsi" w:cstheme="minorHAnsi"/>
                <w:b/>
                <w:bCs/>
                <w:sz w:val="16"/>
                <w:szCs w:val="16"/>
                <w:lang w:val="en-GB" w:eastAsia="ro-RO"/>
              </w:rPr>
            </w:pPr>
            <w:r>
              <w:rPr>
                <w:rFonts w:asciiTheme="majorHAnsi" w:eastAsia="Times New Roman" w:hAnsiTheme="majorHAnsi" w:cstheme="minorHAnsi"/>
                <w:b/>
                <w:bCs/>
                <w:sz w:val="16"/>
                <w:szCs w:val="16"/>
                <w:lang w:val="en-GB" w:eastAsia="ro-RO"/>
              </w:rPr>
              <w:t>2016</w:t>
            </w:r>
            <w:r w:rsidRPr="00322BD0">
              <w:rPr>
                <w:rFonts w:asciiTheme="majorHAnsi" w:eastAsia="Times New Roman" w:hAnsiTheme="majorHAnsi" w:cstheme="minorHAnsi"/>
                <w:b/>
                <w:bCs/>
                <w:sz w:val="16"/>
                <w:szCs w:val="16"/>
                <w:lang w:val="en-GB" w:eastAsia="ro-RO"/>
              </w:rPr>
              <w:t xml:space="preserve">                          </w:t>
            </w:r>
          </w:p>
        </w:tc>
        <w:tc>
          <w:tcPr>
            <w:tcW w:w="1216" w:type="dxa"/>
            <w:vMerge w:val="restart"/>
            <w:shd w:val="clear" w:color="auto" w:fill="D6E0F4"/>
            <w:noWrap/>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w:t>
            </w:r>
          </w:p>
        </w:tc>
      </w:tr>
      <w:tr w:rsidR="00F51384" w:rsidRPr="00322BD0" w:rsidTr="003414E8">
        <w:trPr>
          <w:trHeight w:val="318"/>
          <w:tblCellSpacing w:w="20" w:type="dxa"/>
        </w:trPr>
        <w:tc>
          <w:tcPr>
            <w:tcW w:w="815" w:type="dxa"/>
            <w:vMerge/>
            <w:vAlign w:val="center"/>
            <w:hideMark/>
          </w:tcPr>
          <w:p w:rsidR="00F51384" w:rsidRPr="00322BD0" w:rsidRDefault="00F51384" w:rsidP="003414E8">
            <w:pPr>
              <w:spacing w:after="0" w:line="240" w:lineRule="auto"/>
              <w:ind w:firstLine="0"/>
              <w:jc w:val="both"/>
              <w:rPr>
                <w:rFonts w:asciiTheme="majorHAnsi" w:eastAsia="Times New Roman" w:hAnsiTheme="majorHAnsi" w:cs="Arial"/>
                <w:b/>
                <w:bCs/>
                <w:color w:val="FF0000"/>
                <w:sz w:val="18"/>
                <w:szCs w:val="18"/>
                <w:lang w:val="en-GB" w:eastAsia="ro-RO"/>
              </w:rPr>
            </w:pPr>
          </w:p>
        </w:tc>
        <w:tc>
          <w:tcPr>
            <w:tcW w:w="3495" w:type="dxa"/>
            <w:vMerge/>
            <w:vAlign w:val="center"/>
            <w:hideMark/>
          </w:tcPr>
          <w:p w:rsidR="00F51384" w:rsidRPr="00322BD0" w:rsidRDefault="00F51384" w:rsidP="003414E8">
            <w:pPr>
              <w:spacing w:after="0" w:line="240" w:lineRule="auto"/>
              <w:ind w:firstLine="0"/>
              <w:jc w:val="both"/>
              <w:rPr>
                <w:rFonts w:asciiTheme="majorHAnsi" w:eastAsia="Times New Roman" w:hAnsiTheme="majorHAnsi" w:cs="Arial"/>
                <w:b/>
                <w:bCs/>
                <w:color w:val="FF0000"/>
                <w:sz w:val="18"/>
                <w:szCs w:val="18"/>
                <w:lang w:val="en-GB" w:eastAsia="ro-RO"/>
              </w:rPr>
            </w:pPr>
          </w:p>
        </w:tc>
        <w:tc>
          <w:tcPr>
            <w:tcW w:w="1670" w:type="dxa"/>
            <w:shd w:val="clear" w:color="auto" w:fill="D6E0F4"/>
            <w:vAlign w:val="center"/>
          </w:tcPr>
          <w:p w:rsidR="00F51384" w:rsidRPr="00322BD0" w:rsidRDefault="00F51384" w:rsidP="003414E8">
            <w:pPr>
              <w:spacing w:after="0" w:line="240" w:lineRule="auto"/>
              <w:ind w:firstLine="0"/>
              <w:jc w:val="center"/>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Value (RON thousand)</w:t>
            </w:r>
          </w:p>
          <w:p w:rsidR="00F51384" w:rsidRPr="00322BD0" w:rsidRDefault="00F51384" w:rsidP="003414E8">
            <w:pPr>
              <w:spacing w:after="0" w:line="240" w:lineRule="auto"/>
              <w:ind w:firstLine="0"/>
              <w:jc w:val="center"/>
              <w:rPr>
                <w:rFonts w:asciiTheme="majorHAnsi" w:eastAsia="Times New Roman" w:hAnsiTheme="majorHAnsi" w:cstheme="minorHAnsi"/>
                <w:b/>
                <w:bCs/>
                <w:sz w:val="16"/>
                <w:szCs w:val="16"/>
                <w:lang w:val="en-GB" w:eastAsia="ro-RO"/>
              </w:rPr>
            </w:pPr>
          </w:p>
        </w:tc>
        <w:tc>
          <w:tcPr>
            <w:tcW w:w="1802" w:type="dxa"/>
            <w:shd w:val="clear" w:color="auto" w:fill="D6E0F4"/>
            <w:vAlign w:val="center"/>
          </w:tcPr>
          <w:p w:rsidR="00F51384" w:rsidRPr="00322BD0" w:rsidRDefault="00F51384" w:rsidP="003414E8">
            <w:pPr>
              <w:spacing w:after="0" w:line="240" w:lineRule="auto"/>
              <w:ind w:firstLine="0"/>
              <w:jc w:val="center"/>
              <w:rPr>
                <w:rFonts w:asciiTheme="majorHAnsi" w:eastAsia="Times New Roman" w:hAnsiTheme="majorHAnsi" w:cstheme="minorHAnsi"/>
                <w:b/>
                <w:bCs/>
                <w:sz w:val="16"/>
                <w:szCs w:val="16"/>
                <w:lang w:val="en-GB" w:eastAsia="ro-RO"/>
              </w:rPr>
            </w:pPr>
            <w:r w:rsidRPr="00322BD0">
              <w:rPr>
                <w:rFonts w:asciiTheme="majorHAnsi" w:eastAsia="Times New Roman" w:hAnsiTheme="majorHAnsi" w:cstheme="minorHAnsi"/>
                <w:b/>
                <w:bCs/>
                <w:sz w:val="16"/>
                <w:szCs w:val="16"/>
                <w:lang w:val="en-GB" w:eastAsia="ro-RO"/>
              </w:rPr>
              <w:t>Value (RON thousand)</w:t>
            </w:r>
          </w:p>
        </w:tc>
        <w:tc>
          <w:tcPr>
            <w:tcW w:w="1216" w:type="dxa"/>
            <w:vMerge/>
            <w:vAlign w:val="center"/>
            <w:hideMark/>
          </w:tcPr>
          <w:p w:rsidR="00F51384" w:rsidRPr="00322BD0" w:rsidRDefault="00F51384" w:rsidP="003414E8">
            <w:pPr>
              <w:spacing w:after="0" w:line="240" w:lineRule="auto"/>
              <w:ind w:firstLine="0"/>
              <w:jc w:val="both"/>
              <w:rPr>
                <w:rFonts w:asciiTheme="majorHAnsi" w:eastAsia="Times New Roman" w:hAnsiTheme="majorHAnsi" w:cs="Arial"/>
                <w:b/>
                <w:bCs/>
                <w:color w:val="FF0000"/>
                <w:sz w:val="18"/>
                <w:szCs w:val="18"/>
                <w:lang w:val="en-GB" w:eastAsia="ro-RO"/>
              </w:rPr>
            </w:pPr>
          </w:p>
        </w:tc>
      </w:tr>
      <w:tr w:rsidR="00F51384" w:rsidRPr="00322BD0" w:rsidTr="003414E8">
        <w:trPr>
          <w:trHeight w:val="258"/>
          <w:tblCellSpacing w:w="20" w:type="dxa"/>
        </w:trPr>
        <w:tc>
          <w:tcPr>
            <w:tcW w:w="815" w:type="dxa"/>
            <w:shd w:val="clear" w:color="auto" w:fill="auto"/>
            <w:noWrap/>
            <w:vAlign w:val="center"/>
            <w:hideMark/>
          </w:tcPr>
          <w:p w:rsidR="00F51384" w:rsidRPr="00322BD0" w:rsidRDefault="00F51384" w:rsidP="003414E8">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0</w:t>
            </w:r>
          </w:p>
        </w:tc>
        <w:tc>
          <w:tcPr>
            <w:tcW w:w="3495" w:type="dxa"/>
            <w:shd w:val="clear" w:color="auto" w:fill="auto"/>
            <w:noWrap/>
            <w:vAlign w:val="center"/>
            <w:hideMark/>
          </w:tcPr>
          <w:p w:rsidR="00F51384" w:rsidRPr="00322BD0" w:rsidRDefault="00F51384" w:rsidP="003414E8">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1</w:t>
            </w:r>
          </w:p>
        </w:tc>
        <w:tc>
          <w:tcPr>
            <w:tcW w:w="1670" w:type="dxa"/>
            <w:shd w:val="clear" w:color="auto" w:fill="auto"/>
            <w:vAlign w:val="center"/>
          </w:tcPr>
          <w:p w:rsidR="00F51384" w:rsidRPr="00322BD0" w:rsidRDefault="00F51384" w:rsidP="003414E8">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2</w:t>
            </w:r>
          </w:p>
        </w:tc>
        <w:tc>
          <w:tcPr>
            <w:tcW w:w="1802" w:type="dxa"/>
            <w:shd w:val="clear" w:color="auto" w:fill="auto"/>
            <w:vAlign w:val="center"/>
          </w:tcPr>
          <w:p w:rsidR="00F51384" w:rsidRPr="00322BD0" w:rsidRDefault="00F51384" w:rsidP="003414E8">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3</w:t>
            </w:r>
          </w:p>
        </w:tc>
        <w:tc>
          <w:tcPr>
            <w:tcW w:w="1216" w:type="dxa"/>
            <w:shd w:val="clear" w:color="auto" w:fill="auto"/>
            <w:noWrap/>
            <w:vAlign w:val="center"/>
            <w:hideMark/>
          </w:tcPr>
          <w:p w:rsidR="00F51384" w:rsidRPr="00322BD0" w:rsidRDefault="00F51384" w:rsidP="003414E8">
            <w:pPr>
              <w:spacing w:after="0" w:line="240" w:lineRule="auto"/>
              <w:ind w:firstLine="0"/>
              <w:jc w:val="center"/>
              <w:rPr>
                <w:rFonts w:asciiTheme="majorHAnsi" w:eastAsia="Times New Roman" w:hAnsiTheme="majorHAnsi" w:cs="Arial"/>
                <w:sz w:val="18"/>
                <w:szCs w:val="18"/>
                <w:lang w:val="en-GB" w:eastAsia="ro-RO"/>
              </w:rPr>
            </w:pPr>
            <w:r w:rsidRPr="00322BD0">
              <w:rPr>
                <w:rFonts w:asciiTheme="majorHAnsi" w:eastAsia="Times New Roman" w:hAnsiTheme="majorHAnsi" w:cs="Arial"/>
                <w:sz w:val="18"/>
                <w:szCs w:val="18"/>
                <w:lang w:val="en-GB" w:eastAsia="ro-RO"/>
              </w:rPr>
              <w:t>4=3/2*100</w:t>
            </w:r>
          </w:p>
        </w:tc>
      </w:tr>
      <w:tr w:rsidR="00F51384" w:rsidRPr="00322BD0" w:rsidTr="003414E8">
        <w:trPr>
          <w:trHeight w:val="408"/>
          <w:tblCellSpacing w:w="20" w:type="dxa"/>
        </w:trPr>
        <w:tc>
          <w:tcPr>
            <w:tcW w:w="815" w:type="dxa"/>
            <w:shd w:val="clear" w:color="auto" w:fill="D6E0F4"/>
            <w:noWrap/>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Chap. A</w:t>
            </w:r>
          </w:p>
        </w:tc>
        <w:tc>
          <w:tcPr>
            <w:tcW w:w="3495" w:type="dxa"/>
            <w:shd w:val="clear" w:color="auto" w:fill="D6E0F4"/>
            <w:noWrap/>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NTS modernization and development works</w:t>
            </w:r>
          </w:p>
        </w:tc>
        <w:tc>
          <w:tcPr>
            <w:tcW w:w="1670" w:type="dxa"/>
            <w:shd w:val="clear" w:color="auto" w:fill="D6E0F4"/>
            <w:noWrap/>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642.362</w:t>
            </w:r>
          </w:p>
        </w:tc>
        <w:tc>
          <w:tcPr>
            <w:tcW w:w="1802" w:type="dxa"/>
            <w:shd w:val="clear" w:color="auto" w:fill="D6E0F4"/>
            <w:noWrap/>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90.987</w:t>
            </w:r>
          </w:p>
        </w:tc>
        <w:tc>
          <w:tcPr>
            <w:tcW w:w="1216"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14,16</w:t>
            </w:r>
          </w:p>
        </w:tc>
      </w:tr>
      <w:tr w:rsidR="00F51384" w:rsidRPr="00322BD0" w:rsidTr="003414E8">
        <w:trPr>
          <w:trHeight w:val="407"/>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1.</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b/>
                <w:bCs/>
                <w:sz w:val="18"/>
                <w:szCs w:val="18"/>
                <w:lang w:val="en-GB" w:eastAsia="ro-RO"/>
              </w:rPr>
            </w:pPr>
            <w:r w:rsidRPr="00322BD0">
              <w:rPr>
                <w:rFonts w:ascii="Cambria" w:hAnsi="Cambria" w:cs="Arial"/>
                <w:b/>
                <w:bCs/>
                <w:sz w:val="18"/>
                <w:szCs w:val="18"/>
                <w:lang w:val="en-GB" w:eastAsia="ro-RO"/>
              </w:rPr>
              <w:t>Modernization and retrofitting of the National Gas Transmission System</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42.559</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11.378</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26,73</w:t>
            </w:r>
          </w:p>
        </w:tc>
      </w:tr>
      <w:tr w:rsidR="00F51384" w:rsidRPr="00322BD0" w:rsidTr="003414E8">
        <w:trPr>
          <w:trHeight w:val="650"/>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1.1.</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Modernization of the technological installations afferent to the National Gas Transmission System (MRS, VCS, MP, TN)</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31.500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9.088</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28,85</w:t>
            </w:r>
          </w:p>
        </w:tc>
      </w:tr>
      <w:tr w:rsidR="00F51384" w:rsidRPr="00322BD0" w:rsidTr="003414E8">
        <w:trPr>
          <w:trHeight w:val="137"/>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1.2.</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Data acquisition and control system</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11.059</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2.290</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20,71</w:t>
            </w:r>
          </w:p>
        </w:tc>
      </w:tr>
      <w:tr w:rsidR="00F51384" w:rsidRPr="00322BD0" w:rsidTr="003414E8">
        <w:trPr>
          <w:trHeight w:val="497"/>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b/>
                <w:bCs/>
                <w:sz w:val="18"/>
                <w:szCs w:val="18"/>
                <w:lang w:val="en-GB" w:eastAsia="ro-RO"/>
              </w:rPr>
            </w:pPr>
            <w:r w:rsidRPr="00322BD0">
              <w:rPr>
                <w:rFonts w:ascii="Cambria" w:hAnsi="Cambria" w:cs="Arial"/>
                <w:b/>
                <w:bCs/>
                <w:sz w:val="18"/>
                <w:szCs w:val="18"/>
                <w:lang w:val="en-GB" w:eastAsia="ro-RO"/>
              </w:rPr>
              <w:t>Development of the National Gas Transmission System and related facilities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599.803</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79.609</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13,27</w:t>
            </w:r>
          </w:p>
        </w:tc>
      </w:tr>
      <w:tr w:rsidR="00F51384" w:rsidRPr="00322BD0" w:rsidTr="003414E8">
        <w:trPr>
          <w:trHeight w:val="244"/>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2.1.</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Gas transmission pipelines</w:t>
            </w:r>
          </w:p>
        </w:tc>
        <w:tc>
          <w:tcPr>
            <w:tcW w:w="1670" w:type="dxa"/>
            <w:shd w:val="clear" w:color="auto" w:fill="auto"/>
            <w:vAlign w:val="center"/>
          </w:tcPr>
          <w:p w:rsidR="00F51384" w:rsidRPr="001E1B4B" w:rsidRDefault="00F51384" w:rsidP="003414E8">
            <w:pPr>
              <w:spacing w:after="0" w:line="240" w:lineRule="auto"/>
              <w:ind w:firstLine="0"/>
              <w:rPr>
                <w:rFonts w:asciiTheme="majorHAnsi" w:hAnsiTheme="majorHAnsi"/>
                <w:sz w:val="20"/>
                <w:szCs w:val="20"/>
              </w:rPr>
            </w:pPr>
            <w:r>
              <w:rPr>
                <w:rFonts w:asciiTheme="majorHAnsi" w:hAnsiTheme="majorHAnsi"/>
                <w:sz w:val="20"/>
                <w:szCs w:val="20"/>
              </w:rPr>
              <w:t xml:space="preserve">             136.845 </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26.536</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19,39</w:t>
            </w:r>
          </w:p>
        </w:tc>
      </w:tr>
      <w:tr w:rsidR="00F51384" w:rsidRPr="00322BD0" w:rsidTr="003414E8">
        <w:trPr>
          <w:trHeight w:val="308"/>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2.2.</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Interconnection pipelines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49.000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45.384</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92,62</w:t>
            </w:r>
          </w:p>
        </w:tc>
      </w:tr>
      <w:tr w:rsidR="00F51384" w:rsidRPr="00322BD0" w:rsidTr="003414E8">
        <w:trPr>
          <w:trHeight w:val="308"/>
          <w:tblCellSpacing w:w="20" w:type="dxa"/>
        </w:trPr>
        <w:tc>
          <w:tcPr>
            <w:tcW w:w="815" w:type="dxa"/>
            <w:shd w:val="clear" w:color="auto" w:fill="auto"/>
            <w:vAlign w:val="center"/>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2.3.</w:t>
            </w:r>
          </w:p>
        </w:tc>
        <w:tc>
          <w:tcPr>
            <w:tcW w:w="3495" w:type="dxa"/>
            <w:shd w:val="clear" w:color="auto" w:fill="auto"/>
            <w:vAlign w:val="center"/>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Transmission capacity increasing</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248.010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853</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0,34</w:t>
            </w:r>
          </w:p>
        </w:tc>
      </w:tr>
      <w:tr w:rsidR="00F51384" w:rsidRPr="00322BD0" w:rsidTr="003414E8">
        <w:trPr>
          <w:trHeight w:val="302"/>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2.4.</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Surface construction and installation works for MRS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37.485</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1.449</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3,87</w:t>
            </w:r>
          </w:p>
        </w:tc>
      </w:tr>
      <w:tr w:rsidR="00F51384" w:rsidRPr="00322BD0" w:rsidTr="003414E8">
        <w:trPr>
          <w:trHeight w:val="290"/>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2.5.</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Cathodic protection stations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785</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5</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0,64</w:t>
            </w:r>
          </w:p>
        </w:tc>
      </w:tr>
      <w:tr w:rsidR="00F51384" w:rsidRPr="00322BD0" w:rsidTr="003414E8">
        <w:trPr>
          <w:trHeight w:val="308"/>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2.6.</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 xml:space="preserve">Information technology and telecommunications installations </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121.978</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4.543</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3,72</w:t>
            </w:r>
          </w:p>
        </w:tc>
      </w:tr>
      <w:tr w:rsidR="00F51384" w:rsidRPr="00322BD0" w:rsidTr="003414E8">
        <w:trPr>
          <w:trHeight w:val="488"/>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sidRPr="00322BD0">
              <w:rPr>
                <w:rFonts w:asciiTheme="majorHAnsi" w:eastAsia="Times New Roman" w:hAnsiTheme="majorHAnsi" w:cs="Arial"/>
                <w:i/>
                <w:iCs/>
                <w:sz w:val="18"/>
                <w:szCs w:val="18"/>
                <w:lang w:val="en-GB" w:eastAsia="ro-RO"/>
              </w:rPr>
              <w:t>2.7.</w:t>
            </w:r>
          </w:p>
        </w:tc>
        <w:tc>
          <w:tcPr>
            <w:tcW w:w="3495" w:type="dxa"/>
            <w:shd w:val="clear" w:color="auto" w:fill="auto"/>
            <w:vAlign w:val="center"/>
            <w:hideMark/>
          </w:tcPr>
          <w:p w:rsidR="00F51384" w:rsidRPr="00322BD0" w:rsidRDefault="00F51384" w:rsidP="003414E8">
            <w:pPr>
              <w:spacing w:after="0" w:line="240" w:lineRule="auto"/>
              <w:ind w:firstLine="0"/>
              <w:rPr>
                <w:rFonts w:ascii="Cambria" w:hAnsi="Cambria" w:cs="Arial"/>
                <w:i/>
                <w:iCs/>
                <w:sz w:val="18"/>
                <w:szCs w:val="18"/>
                <w:lang w:val="en-GB" w:eastAsia="ro-RO"/>
              </w:rPr>
            </w:pPr>
            <w:r w:rsidRPr="00322BD0">
              <w:rPr>
                <w:rFonts w:ascii="Cambria" w:hAnsi="Cambria" w:cs="Arial"/>
                <w:i/>
                <w:iCs/>
                <w:sz w:val="18"/>
                <w:szCs w:val="18"/>
                <w:lang w:val="en-GB" w:eastAsia="ro-RO"/>
              </w:rPr>
              <w:t>Surface installation and construction works for odorization</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4.700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589</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12,53</w:t>
            </w:r>
          </w:p>
        </w:tc>
      </w:tr>
      <w:tr w:rsidR="00F51384" w:rsidRPr="00322BD0" w:rsidTr="003414E8">
        <w:trPr>
          <w:trHeight w:val="290"/>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i/>
                <w:iCs/>
                <w:sz w:val="18"/>
                <w:szCs w:val="18"/>
                <w:lang w:val="en-GB" w:eastAsia="ro-RO"/>
              </w:rPr>
            </w:pPr>
            <w:r>
              <w:rPr>
                <w:rFonts w:asciiTheme="majorHAnsi" w:eastAsia="Times New Roman" w:hAnsiTheme="majorHAnsi" w:cs="Arial"/>
                <w:i/>
                <w:iCs/>
                <w:sz w:val="18"/>
                <w:szCs w:val="18"/>
                <w:lang w:val="en-GB" w:eastAsia="ro-RO"/>
              </w:rPr>
              <w:t>2.8</w:t>
            </w:r>
            <w:r w:rsidRPr="00322BD0">
              <w:rPr>
                <w:rFonts w:asciiTheme="majorHAnsi" w:eastAsia="Times New Roman" w:hAnsiTheme="majorHAnsi" w:cs="Arial"/>
                <w:i/>
                <w:iCs/>
                <w:sz w:val="18"/>
                <w:szCs w:val="18"/>
                <w:lang w:val="en-GB" w:eastAsia="ro-RO"/>
              </w:rPr>
              <w:t>.</w:t>
            </w:r>
          </w:p>
        </w:tc>
        <w:tc>
          <w:tcPr>
            <w:tcW w:w="3495" w:type="dxa"/>
            <w:shd w:val="clear" w:color="auto" w:fill="auto"/>
            <w:vAlign w:val="center"/>
          </w:tcPr>
          <w:p w:rsidR="00F51384" w:rsidRPr="00322BD0" w:rsidRDefault="00F51384" w:rsidP="003414E8">
            <w:pPr>
              <w:spacing w:after="0" w:line="240" w:lineRule="auto"/>
              <w:ind w:firstLine="0"/>
              <w:rPr>
                <w:rFonts w:asciiTheme="majorHAnsi" w:eastAsia="Times New Roman" w:hAnsiTheme="majorHAnsi" w:cs="Arial"/>
                <w:i/>
                <w:iCs/>
                <w:sz w:val="18"/>
                <w:szCs w:val="18"/>
                <w:lang w:val="en-GB" w:eastAsia="ro-RO"/>
              </w:rPr>
            </w:pPr>
            <w:r w:rsidRPr="00322BD0">
              <w:rPr>
                <w:rFonts w:ascii="Cambria" w:hAnsi="Cambria" w:cs="Arial"/>
                <w:i/>
                <w:iCs/>
                <w:sz w:val="18"/>
                <w:szCs w:val="18"/>
                <w:lang w:val="en-GB" w:eastAsia="ro-RO"/>
              </w:rPr>
              <w:t>Electric installations and networks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1.000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250</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25,00</w:t>
            </w:r>
          </w:p>
        </w:tc>
      </w:tr>
      <w:tr w:rsidR="00F51384" w:rsidRPr="00322BD0" w:rsidTr="003414E8">
        <w:trPr>
          <w:trHeight w:val="407"/>
          <w:tblCellSpacing w:w="20" w:type="dxa"/>
        </w:trPr>
        <w:tc>
          <w:tcPr>
            <w:tcW w:w="815" w:type="dxa"/>
            <w:shd w:val="clear" w:color="auto" w:fill="D6E0F4"/>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Chap. B</w:t>
            </w:r>
          </w:p>
        </w:tc>
        <w:tc>
          <w:tcPr>
            <w:tcW w:w="3495" w:type="dxa"/>
            <w:shd w:val="clear" w:color="auto" w:fill="D6E0F4"/>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Own assets modernization and development works</w:t>
            </w:r>
          </w:p>
        </w:tc>
        <w:tc>
          <w:tcPr>
            <w:tcW w:w="1670"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73.540</w:t>
            </w:r>
          </w:p>
        </w:tc>
        <w:tc>
          <w:tcPr>
            <w:tcW w:w="1802"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16.933</w:t>
            </w:r>
          </w:p>
        </w:tc>
        <w:tc>
          <w:tcPr>
            <w:tcW w:w="1216"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23,03</w:t>
            </w:r>
          </w:p>
        </w:tc>
      </w:tr>
      <w:tr w:rsidR="00F51384" w:rsidRPr="00322BD0" w:rsidTr="003414E8">
        <w:trPr>
          <w:trHeight w:val="218"/>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1.</w:t>
            </w:r>
          </w:p>
        </w:tc>
        <w:tc>
          <w:tcPr>
            <w:tcW w:w="3495" w:type="dxa"/>
            <w:shd w:val="clear" w:color="auto" w:fill="auto"/>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Other works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22.786</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2.812</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12,34</w:t>
            </w:r>
          </w:p>
        </w:tc>
      </w:tr>
      <w:tr w:rsidR="00F51384" w:rsidRPr="00322BD0" w:rsidTr="003414E8">
        <w:trPr>
          <w:trHeight w:val="218"/>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2.</w:t>
            </w:r>
          </w:p>
        </w:tc>
        <w:tc>
          <w:tcPr>
            <w:tcW w:w="3495" w:type="dxa"/>
            <w:shd w:val="clear" w:color="auto" w:fill="auto"/>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List of units, equipment and installations</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50.254</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14.037</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27,93</w:t>
            </w:r>
          </w:p>
        </w:tc>
      </w:tr>
      <w:tr w:rsidR="00F51384" w:rsidRPr="00322BD0" w:rsidTr="003414E8">
        <w:trPr>
          <w:trHeight w:val="200"/>
          <w:tblCellSpacing w:w="20" w:type="dxa"/>
        </w:trPr>
        <w:tc>
          <w:tcPr>
            <w:tcW w:w="815" w:type="dxa"/>
            <w:shd w:val="clear" w:color="auto" w:fill="auto"/>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3.</w:t>
            </w:r>
          </w:p>
        </w:tc>
        <w:tc>
          <w:tcPr>
            <w:tcW w:w="3495" w:type="dxa"/>
            <w:shd w:val="clear" w:color="auto" w:fill="auto"/>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Land procurement</w:t>
            </w:r>
          </w:p>
        </w:tc>
        <w:tc>
          <w:tcPr>
            <w:tcW w:w="1670"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500</w:t>
            </w:r>
          </w:p>
        </w:tc>
        <w:tc>
          <w:tcPr>
            <w:tcW w:w="1802"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84</w:t>
            </w:r>
          </w:p>
        </w:tc>
        <w:tc>
          <w:tcPr>
            <w:tcW w:w="1216" w:type="dxa"/>
            <w:shd w:val="clear" w:color="auto" w:fill="auto"/>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16,80</w:t>
            </w:r>
          </w:p>
        </w:tc>
      </w:tr>
      <w:tr w:rsidR="00F51384" w:rsidRPr="00322BD0" w:rsidTr="003414E8">
        <w:trPr>
          <w:trHeight w:val="245"/>
          <w:tblCellSpacing w:w="20" w:type="dxa"/>
        </w:trPr>
        <w:tc>
          <w:tcPr>
            <w:tcW w:w="815" w:type="dxa"/>
            <w:shd w:val="clear" w:color="auto" w:fill="D6E0F4"/>
            <w:vAlign w:val="center"/>
            <w:hideMark/>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Chap. C</w:t>
            </w:r>
          </w:p>
        </w:tc>
        <w:tc>
          <w:tcPr>
            <w:tcW w:w="3495" w:type="dxa"/>
            <w:shd w:val="clear" w:color="auto" w:fill="D6E0F4"/>
            <w:vAlign w:val="center"/>
            <w:hideMark/>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NTS access works</w:t>
            </w:r>
          </w:p>
        </w:tc>
        <w:tc>
          <w:tcPr>
            <w:tcW w:w="1670"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6.000</w:t>
            </w:r>
          </w:p>
        </w:tc>
        <w:tc>
          <w:tcPr>
            <w:tcW w:w="1802"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7.273</w:t>
            </w:r>
          </w:p>
        </w:tc>
        <w:tc>
          <w:tcPr>
            <w:tcW w:w="1216" w:type="dxa"/>
            <w:shd w:val="clear" w:color="auto" w:fill="D6E0F4"/>
            <w:vAlign w:val="center"/>
          </w:tcPr>
          <w:p w:rsidR="00F51384" w:rsidRPr="001E1B4B" w:rsidRDefault="00F51384" w:rsidP="003414E8">
            <w:pPr>
              <w:spacing w:after="0" w:line="240" w:lineRule="auto"/>
              <w:jc w:val="right"/>
              <w:rPr>
                <w:rFonts w:asciiTheme="majorHAnsi" w:hAnsiTheme="majorHAnsi"/>
                <w:sz w:val="20"/>
                <w:szCs w:val="20"/>
              </w:rPr>
            </w:pPr>
            <w:r>
              <w:rPr>
                <w:rFonts w:asciiTheme="majorHAnsi" w:hAnsiTheme="majorHAnsi"/>
                <w:sz w:val="20"/>
                <w:szCs w:val="20"/>
              </w:rPr>
              <w:t>121,22</w:t>
            </w:r>
          </w:p>
        </w:tc>
      </w:tr>
      <w:tr w:rsidR="00F51384" w:rsidRPr="00322BD0" w:rsidTr="003414E8">
        <w:trPr>
          <w:trHeight w:val="245"/>
          <w:tblCellSpacing w:w="20" w:type="dxa"/>
        </w:trPr>
        <w:tc>
          <w:tcPr>
            <w:tcW w:w="815" w:type="dxa"/>
            <w:shd w:val="clear" w:color="auto" w:fill="D6E0F4"/>
            <w:vAlign w:val="center"/>
          </w:tcPr>
          <w:p w:rsidR="00F51384" w:rsidRPr="00322BD0" w:rsidRDefault="00F51384" w:rsidP="003414E8">
            <w:pPr>
              <w:spacing w:after="0" w:line="240" w:lineRule="auto"/>
              <w:ind w:firstLine="0"/>
              <w:jc w:val="center"/>
              <w:rPr>
                <w:rFonts w:asciiTheme="majorHAnsi" w:eastAsia="Times New Roman" w:hAnsiTheme="majorHAnsi" w:cs="Arial"/>
                <w:b/>
                <w:bCs/>
                <w:sz w:val="18"/>
                <w:szCs w:val="18"/>
                <w:lang w:val="en-GB" w:eastAsia="ro-RO"/>
              </w:rPr>
            </w:pPr>
          </w:p>
        </w:tc>
        <w:tc>
          <w:tcPr>
            <w:tcW w:w="3495" w:type="dxa"/>
            <w:shd w:val="clear" w:color="auto" w:fill="D6E0F4"/>
            <w:vAlign w:val="center"/>
          </w:tcPr>
          <w:p w:rsidR="00F51384" w:rsidRPr="00322BD0" w:rsidRDefault="003414E8" w:rsidP="003414E8">
            <w:pPr>
              <w:spacing w:after="0" w:line="240" w:lineRule="auto"/>
              <w:ind w:firstLine="0"/>
              <w:rPr>
                <w:rFonts w:asciiTheme="majorHAnsi" w:eastAsia="Times New Roman" w:hAnsiTheme="majorHAnsi" w:cs="Arial"/>
                <w:b/>
                <w:bCs/>
                <w:sz w:val="18"/>
                <w:szCs w:val="18"/>
                <w:lang w:val="en-GB" w:eastAsia="ro-RO"/>
              </w:rPr>
            </w:pPr>
            <w:r>
              <w:rPr>
                <w:rFonts w:asciiTheme="majorHAnsi" w:eastAsia="Times New Roman" w:hAnsiTheme="majorHAnsi" w:cs="Arial"/>
                <w:sz w:val="20"/>
                <w:szCs w:val="20"/>
                <w:lang w:val="ro-RO" w:eastAsia="ro-RO"/>
              </w:rPr>
              <w:t xml:space="preserve">Works not included in the plan  </w:t>
            </w:r>
            <w:r w:rsidR="00F51384">
              <w:rPr>
                <w:rFonts w:asciiTheme="majorHAnsi" w:eastAsia="Times New Roman" w:hAnsiTheme="majorHAnsi" w:cs="Arial"/>
                <w:sz w:val="20"/>
                <w:szCs w:val="20"/>
                <w:lang w:val="ro-RO" w:eastAsia="ro-RO"/>
              </w:rPr>
              <w:t>(transf</w:t>
            </w:r>
            <w:r>
              <w:rPr>
                <w:rFonts w:asciiTheme="majorHAnsi" w:eastAsia="Times New Roman" w:hAnsiTheme="majorHAnsi" w:cs="Arial"/>
                <w:sz w:val="20"/>
                <w:szCs w:val="20"/>
                <w:lang w:val="ro-RO" w:eastAsia="ro-RO"/>
              </w:rPr>
              <w:t>ers from</w:t>
            </w:r>
            <w:r w:rsidR="00F51384">
              <w:rPr>
                <w:rFonts w:asciiTheme="majorHAnsi" w:eastAsia="Times New Roman" w:hAnsiTheme="majorHAnsi" w:cs="Arial"/>
                <w:sz w:val="20"/>
                <w:szCs w:val="20"/>
                <w:lang w:val="ro-RO" w:eastAsia="ro-RO"/>
              </w:rPr>
              <w:t xml:space="preserve"> PRRASM +</w:t>
            </w:r>
            <w:r>
              <w:rPr>
                <w:rFonts w:asciiTheme="majorHAnsi" w:eastAsia="Times New Roman" w:hAnsiTheme="majorHAnsi" w:cs="Arial"/>
                <w:sz w:val="20"/>
                <w:szCs w:val="20"/>
                <w:lang w:val="ro-RO" w:eastAsia="ro-RO"/>
              </w:rPr>
              <w:t>previous years</w:t>
            </w:r>
            <w:r w:rsidR="00F51384">
              <w:rPr>
                <w:rFonts w:asciiTheme="majorHAnsi" w:eastAsia="Times New Roman" w:hAnsiTheme="majorHAnsi" w:cs="Arial"/>
                <w:sz w:val="20"/>
                <w:szCs w:val="20"/>
                <w:lang w:val="ro-RO" w:eastAsia="ro-RO"/>
              </w:rPr>
              <w:t>)</w:t>
            </w:r>
          </w:p>
        </w:tc>
        <w:tc>
          <w:tcPr>
            <w:tcW w:w="1670" w:type="dxa"/>
            <w:shd w:val="clear" w:color="auto" w:fill="D6E0F4"/>
            <w:vAlign w:val="center"/>
          </w:tcPr>
          <w:p w:rsidR="00F51384" w:rsidRDefault="00F51384" w:rsidP="003414E8">
            <w:pPr>
              <w:spacing w:after="0" w:line="240" w:lineRule="auto"/>
              <w:jc w:val="right"/>
              <w:rPr>
                <w:rFonts w:asciiTheme="majorHAnsi" w:hAnsiTheme="majorHAnsi"/>
                <w:sz w:val="20"/>
                <w:szCs w:val="20"/>
              </w:rPr>
            </w:pPr>
            <w:r>
              <w:rPr>
                <w:rFonts w:asciiTheme="majorHAnsi" w:hAnsiTheme="majorHAnsi"/>
                <w:sz w:val="20"/>
                <w:szCs w:val="20"/>
              </w:rPr>
              <w:t>0</w:t>
            </w:r>
          </w:p>
        </w:tc>
        <w:tc>
          <w:tcPr>
            <w:tcW w:w="1802" w:type="dxa"/>
            <w:shd w:val="clear" w:color="auto" w:fill="D6E0F4"/>
            <w:vAlign w:val="center"/>
          </w:tcPr>
          <w:p w:rsidR="00F51384" w:rsidRDefault="00F51384" w:rsidP="003414E8">
            <w:pPr>
              <w:spacing w:after="0" w:line="240" w:lineRule="auto"/>
              <w:jc w:val="right"/>
              <w:rPr>
                <w:rFonts w:asciiTheme="majorHAnsi" w:hAnsiTheme="majorHAnsi"/>
                <w:sz w:val="20"/>
                <w:szCs w:val="20"/>
              </w:rPr>
            </w:pPr>
            <w:r>
              <w:rPr>
                <w:rFonts w:asciiTheme="majorHAnsi" w:hAnsiTheme="majorHAnsi"/>
                <w:sz w:val="20"/>
                <w:szCs w:val="20"/>
              </w:rPr>
              <w:t>4.629</w:t>
            </w:r>
          </w:p>
        </w:tc>
        <w:tc>
          <w:tcPr>
            <w:tcW w:w="1216" w:type="dxa"/>
            <w:shd w:val="clear" w:color="auto" w:fill="D6E0F4"/>
            <w:vAlign w:val="center"/>
          </w:tcPr>
          <w:p w:rsidR="00F51384" w:rsidRDefault="00F51384" w:rsidP="003414E8">
            <w:pPr>
              <w:spacing w:after="0" w:line="240" w:lineRule="auto"/>
              <w:jc w:val="right"/>
              <w:rPr>
                <w:rFonts w:asciiTheme="majorHAnsi" w:hAnsiTheme="majorHAnsi"/>
                <w:sz w:val="20"/>
                <w:szCs w:val="20"/>
              </w:rPr>
            </w:pPr>
          </w:p>
        </w:tc>
      </w:tr>
      <w:tr w:rsidR="00F51384" w:rsidRPr="00322BD0" w:rsidTr="003414E8">
        <w:trPr>
          <w:trHeight w:val="245"/>
          <w:tblCellSpacing w:w="20" w:type="dxa"/>
        </w:trPr>
        <w:tc>
          <w:tcPr>
            <w:tcW w:w="4350" w:type="dxa"/>
            <w:gridSpan w:val="2"/>
            <w:shd w:val="clear" w:color="auto" w:fill="D6E0F4"/>
            <w:vAlign w:val="center"/>
          </w:tcPr>
          <w:p w:rsidR="00F51384" w:rsidRPr="00322BD0" w:rsidRDefault="00F51384" w:rsidP="003414E8">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 xml:space="preserve">TOTAL </w:t>
            </w:r>
            <w:r>
              <w:rPr>
                <w:rFonts w:asciiTheme="majorHAnsi" w:eastAsia="Times New Roman" w:hAnsiTheme="majorHAnsi" w:cs="Arial"/>
                <w:b/>
                <w:bCs/>
                <w:sz w:val="20"/>
                <w:szCs w:val="20"/>
                <w:lang w:val="ro-RO" w:eastAsia="ro-RO"/>
              </w:rPr>
              <w:t>PMDI</w:t>
            </w:r>
          </w:p>
        </w:tc>
        <w:tc>
          <w:tcPr>
            <w:tcW w:w="1670"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721.902</w:t>
            </w:r>
          </w:p>
        </w:tc>
        <w:tc>
          <w:tcPr>
            <w:tcW w:w="1802"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119.822</w:t>
            </w:r>
          </w:p>
        </w:tc>
        <w:tc>
          <w:tcPr>
            <w:tcW w:w="1216"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16,60</w:t>
            </w:r>
          </w:p>
        </w:tc>
      </w:tr>
      <w:tr w:rsidR="00F51384" w:rsidRPr="00322BD0" w:rsidTr="003414E8">
        <w:trPr>
          <w:trHeight w:val="245"/>
          <w:tblCellSpacing w:w="20" w:type="dxa"/>
        </w:trPr>
        <w:tc>
          <w:tcPr>
            <w:tcW w:w="4350" w:type="dxa"/>
            <w:gridSpan w:val="2"/>
            <w:shd w:val="clear" w:color="auto" w:fill="D6E0F4"/>
            <w:vAlign w:val="center"/>
          </w:tcPr>
          <w:tbl>
            <w:tblPr>
              <w:tblpPr w:leftFromText="180" w:rightFromText="180" w:bottomFromText="240" w:vertAnchor="text" w:tblpX="-27" w:tblpY="1"/>
              <w:tblOverlap w:val="never"/>
              <w:tblW w:w="9495" w:type="dxa"/>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9495"/>
            </w:tblGrid>
            <w:tr w:rsidR="00F51384" w:rsidTr="003414E8">
              <w:trPr>
                <w:trHeight w:val="245"/>
                <w:tblCellSpacing w:w="20" w:type="dxa"/>
              </w:trPr>
              <w:tc>
                <w:tcPr>
                  <w:tcW w:w="5182" w:type="dxa"/>
                  <w:tcBorders>
                    <w:top w:val="outset" w:sz="2" w:space="0" w:color="auto"/>
                    <w:left w:val="outset" w:sz="2" w:space="0" w:color="auto"/>
                    <w:bottom w:val="outset" w:sz="2" w:space="0" w:color="auto"/>
                    <w:right w:val="outset" w:sz="2" w:space="0" w:color="auto"/>
                  </w:tcBorders>
                  <w:shd w:val="clear" w:color="auto" w:fill="D6E0F4"/>
                  <w:vAlign w:val="center"/>
                  <w:hideMark/>
                </w:tcPr>
                <w:p w:rsidR="00F51384" w:rsidRDefault="00F51384" w:rsidP="003414E8">
                  <w:pPr>
                    <w:spacing w:after="0" w:line="240" w:lineRule="auto"/>
                    <w:ind w:firstLine="0"/>
                    <w:rPr>
                      <w:rFonts w:asciiTheme="majorHAnsi" w:eastAsia="Times New Roman" w:hAnsiTheme="majorHAnsi" w:cs="Arial"/>
                      <w:b/>
                      <w:bCs/>
                      <w:sz w:val="20"/>
                      <w:szCs w:val="20"/>
                      <w:lang w:val="ro-RO" w:eastAsia="ro-RO"/>
                    </w:rPr>
                  </w:pPr>
                  <w:r>
                    <w:rPr>
                      <w:rFonts w:asciiTheme="majorHAnsi" w:eastAsia="Times New Roman" w:hAnsiTheme="majorHAnsi" w:cs="Arial"/>
                      <w:b/>
                      <w:bCs/>
                      <w:sz w:val="20"/>
                      <w:szCs w:val="20"/>
                      <w:lang w:val="ro-RO" w:eastAsia="ro-RO"/>
                    </w:rPr>
                    <w:t xml:space="preserve">TOTAL PMDI </w:t>
                  </w:r>
                  <w:r w:rsidR="003414E8">
                    <w:rPr>
                      <w:rFonts w:asciiTheme="majorHAnsi" w:eastAsia="Times New Roman" w:hAnsiTheme="majorHAnsi" w:cs="Arial"/>
                      <w:b/>
                      <w:bCs/>
                      <w:sz w:val="20"/>
                      <w:szCs w:val="20"/>
                      <w:lang w:val="ro-RO" w:eastAsia="ro-RO"/>
                    </w:rPr>
                    <w:t xml:space="preserve">without </w:t>
                  </w:r>
                  <w:r>
                    <w:rPr>
                      <w:rFonts w:asciiTheme="majorHAnsi" w:eastAsia="Times New Roman" w:hAnsiTheme="majorHAnsi" w:cs="Arial"/>
                      <w:b/>
                      <w:bCs/>
                      <w:sz w:val="20"/>
                      <w:szCs w:val="20"/>
                      <w:lang w:val="ro-RO" w:eastAsia="ro-RO"/>
                    </w:rPr>
                    <w:t xml:space="preserve">BRUA </w:t>
                  </w:r>
                  <w:r w:rsidR="003414E8">
                    <w:rPr>
                      <w:rFonts w:asciiTheme="majorHAnsi" w:eastAsia="Times New Roman" w:hAnsiTheme="majorHAnsi" w:cs="Arial"/>
                      <w:b/>
                      <w:bCs/>
                      <w:sz w:val="20"/>
                      <w:szCs w:val="20"/>
                      <w:lang w:val="ro-RO" w:eastAsia="ro-RO"/>
                    </w:rPr>
                    <w:t xml:space="preserve">and </w:t>
                  </w:r>
                  <w:r>
                    <w:rPr>
                      <w:rFonts w:asciiTheme="majorHAnsi" w:eastAsia="Times New Roman" w:hAnsiTheme="majorHAnsi" w:cs="Arial"/>
                      <w:b/>
                      <w:bCs/>
                      <w:sz w:val="20"/>
                      <w:szCs w:val="20"/>
                      <w:lang w:val="ro-RO" w:eastAsia="ro-RO"/>
                    </w:rPr>
                    <w:t>MOLDOVA</w:t>
                  </w:r>
                </w:p>
              </w:tc>
            </w:tr>
          </w:tbl>
          <w:p w:rsidR="00F51384" w:rsidRPr="00322BD0" w:rsidRDefault="00F51384" w:rsidP="003414E8">
            <w:pPr>
              <w:spacing w:after="0" w:line="240" w:lineRule="auto"/>
              <w:ind w:firstLine="0"/>
              <w:rPr>
                <w:rFonts w:asciiTheme="majorHAnsi" w:eastAsia="Times New Roman" w:hAnsiTheme="majorHAnsi" w:cstheme="minorHAnsi"/>
                <w:b/>
                <w:bCs/>
                <w:sz w:val="18"/>
                <w:szCs w:val="18"/>
                <w:lang w:val="en-GB" w:eastAsia="ro-RO"/>
              </w:rPr>
            </w:pPr>
          </w:p>
        </w:tc>
        <w:tc>
          <w:tcPr>
            <w:tcW w:w="1670"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473.892</w:t>
            </w:r>
          </w:p>
        </w:tc>
        <w:tc>
          <w:tcPr>
            <w:tcW w:w="1802"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119.822</w:t>
            </w:r>
          </w:p>
        </w:tc>
        <w:tc>
          <w:tcPr>
            <w:tcW w:w="1216" w:type="dxa"/>
            <w:shd w:val="clear" w:color="auto" w:fill="D6E0F4"/>
            <w:vAlign w:val="center"/>
          </w:tcPr>
          <w:p w:rsidR="00F51384" w:rsidRDefault="00F51384" w:rsidP="003414E8">
            <w:pPr>
              <w:spacing w:after="0" w:line="240" w:lineRule="auto"/>
              <w:jc w:val="right"/>
              <w:rPr>
                <w:rFonts w:asciiTheme="majorHAnsi" w:hAnsiTheme="majorHAnsi"/>
                <w:b/>
                <w:sz w:val="20"/>
                <w:szCs w:val="20"/>
              </w:rPr>
            </w:pPr>
            <w:r>
              <w:rPr>
                <w:rFonts w:asciiTheme="majorHAnsi" w:hAnsiTheme="majorHAnsi"/>
                <w:b/>
                <w:sz w:val="20"/>
                <w:szCs w:val="20"/>
              </w:rPr>
              <w:t>25,28</w:t>
            </w:r>
          </w:p>
        </w:tc>
      </w:tr>
      <w:tr w:rsidR="00AC32EA" w:rsidRPr="00322BD0" w:rsidTr="003414E8">
        <w:trPr>
          <w:trHeight w:val="245"/>
          <w:tblCellSpacing w:w="20" w:type="dxa"/>
        </w:trPr>
        <w:tc>
          <w:tcPr>
            <w:tcW w:w="4350" w:type="dxa"/>
            <w:gridSpan w:val="2"/>
            <w:shd w:val="clear" w:color="auto" w:fill="D6E0F4"/>
            <w:vAlign w:val="center"/>
          </w:tcPr>
          <w:p w:rsidR="00AC32EA" w:rsidRPr="007C44E8" w:rsidRDefault="00AC32EA" w:rsidP="00AC32EA">
            <w:pPr>
              <w:spacing w:after="0" w:line="240" w:lineRule="auto"/>
              <w:ind w:firstLine="0"/>
              <w:rPr>
                <w:rFonts w:asciiTheme="majorHAnsi" w:eastAsia="Times New Roman" w:hAnsiTheme="majorHAnsi" w:cstheme="minorHAnsi"/>
                <w:b/>
                <w:bCs/>
                <w:sz w:val="18"/>
                <w:szCs w:val="18"/>
                <w:lang w:val="en-GB" w:eastAsia="ro-RO"/>
              </w:rPr>
            </w:pPr>
            <w:r w:rsidRPr="00322BD0">
              <w:rPr>
                <w:rFonts w:asciiTheme="majorHAnsi" w:eastAsia="Times New Roman" w:hAnsiTheme="majorHAnsi" w:cstheme="minorHAnsi"/>
                <w:b/>
                <w:bCs/>
                <w:sz w:val="18"/>
                <w:szCs w:val="18"/>
                <w:lang w:val="en-GB" w:eastAsia="ro-RO"/>
              </w:rPr>
              <w:t>Expenses related to studies and projects</w:t>
            </w:r>
          </w:p>
        </w:tc>
        <w:tc>
          <w:tcPr>
            <w:tcW w:w="1670" w:type="dxa"/>
            <w:shd w:val="clear" w:color="auto" w:fill="D6E0F4"/>
            <w:vAlign w:val="center"/>
          </w:tcPr>
          <w:p w:rsidR="00AC32EA" w:rsidRDefault="00AC32EA" w:rsidP="00AC32EA">
            <w:pPr>
              <w:spacing w:after="0" w:line="240" w:lineRule="auto"/>
              <w:ind w:firstLine="0"/>
              <w:jc w:val="right"/>
              <w:rPr>
                <w:rFonts w:asciiTheme="majorHAnsi" w:eastAsia="Calibri" w:hAnsiTheme="majorHAnsi" w:cs="Times New Roman"/>
                <w:b/>
                <w:color w:val="FF0000"/>
                <w:sz w:val="20"/>
                <w:szCs w:val="20"/>
                <w:lang w:eastAsia="en-US"/>
              </w:rPr>
            </w:pPr>
            <w:r w:rsidRPr="00AC32EA">
              <w:rPr>
                <w:rFonts w:asciiTheme="majorHAnsi" w:eastAsia="Calibri" w:hAnsiTheme="majorHAnsi" w:cs="Times New Roman"/>
                <w:b/>
                <w:sz w:val="20"/>
                <w:szCs w:val="20"/>
                <w:lang w:eastAsia="en-US"/>
              </w:rPr>
              <w:t>30.038</w:t>
            </w:r>
          </w:p>
        </w:tc>
        <w:tc>
          <w:tcPr>
            <w:tcW w:w="1802" w:type="dxa"/>
            <w:shd w:val="clear" w:color="auto" w:fill="D6E0F4"/>
            <w:vAlign w:val="center"/>
          </w:tcPr>
          <w:p w:rsidR="00AC32EA" w:rsidRPr="00AE76A2" w:rsidRDefault="00AC32EA" w:rsidP="00AC32EA">
            <w:pPr>
              <w:spacing w:after="0" w:line="240" w:lineRule="auto"/>
              <w:ind w:firstLine="0"/>
              <w:jc w:val="right"/>
              <w:rPr>
                <w:rFonts w:asciiTheme="majorHAnsi" w:eastAsia="Times New Roman" w:hAnsiTheme="majorHAnsi" w:cs="Arial"/>
                <w:b/>
                <w:bCs/>
                <w:sz w:val="20"/>
                <w:szCs w:val="20"/>
                <w:lang w:val="ro-RO" w:eastAsia="ro-RO"/>
              </w:rPr>
            </w:pPr>
            <w:r w:rsidRPr="00AE76A2">
              <w:rPr>
                <w:rFonts w:asciiTheme="majorHAnsi" w:eastAsia="Times New Roman" w:hAnsiTheme="majorHAnsi" w:cs="Arial"/>
                <w:b/>
                <w:bCs/>
                <w:sz w:val="20"/>
                <w:szCs w:val="20"/>
                <w:lang w:val="ro-RO" w:eastAsia="ro-RO"/>
              </w:rPr>
              <w:t>12.951</w:t>
            </w:r>
          </w:p>
        </w:tc>
        <w:tc>
          <w:tcPr>
            <w:tcW w:w="1216" w:type="dxa"/>
            <w:shd w:val="clear" w:color="auto" w:fill="D6E0F4"/>
            <w:vAlign w:val="center"/>
          </w:tcPr>
          <w:p w:rsidR="00AC32EA" w:rsidRPr="00AE76A2" w:rsidRDefault="00AC32EA" w:rsidP="00AC32EA">
            <w:pPr>
              <w:spacing w:after="0" w:line="240" w:lineRule="auto"/>
              <w:ind w:firstLine="0"/>
              <w:jc w:val="right"/>
              <w:rPr>
                <w:rFonts w:asciiTheme="majorHAnsi" w:eastAsia="Calibri" w:hAnsiTheme="majorHAnsi" w:cs="Times New Roman"/>
                <w:b/>
                <w:sz w:val="20"/>
                <w:szCs w:val="20"/>
                <w:lang w:eastAsia="en-US"/>
              </w:rPr>
            </w:pPr>
            <w:r w:rsidRPr="00AE76A2">
              <w:rPr>
                <w:rFonts w:asciiTheme="majorHAnsi" w:eastAsia="Calibri" w:hAnsiTheme="majorHAnsi" w:cs="Times New Roman"/>
                <w:b/>
                <w:sz w:val="20"/>
                <w:szCs w:val="20"/>
                <w:lang w:eastAsia="en-US"/>
              </w:rPr>
              <w:t>43,12</w:t>
            </w:r>
          </w:p>
        </w:tc>
      </w:tr>
      <w:tr w:rsidR="00AC32EA" w:rsidRPr="00322BD0" w:rsidTr="003414E8">
        <w:trPr>
          <w:trHeight w:val="245"/>
          <w:tblCellSpacing w:w="20" w:type="dxa"/>
        </w:trPr>
        <w:tc>
          <w:tcPr>
            <w:tcW w:w="4350" w:type="dxa"/>
            <w:gridSpan w:val="2"/>
            <w:shd w:val="clear" w:color="auto" w:fill="D6E0F4"/>
            <w:vAlign w:val="center"/>
          </w:tcPr>
          <w:p w:rsidR="00AC32EA" w:rsidRPr="00322BD0" w:rsidRDefault="00AC32EA" w:rsidP="00AC32EA">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Other investment costs</w:t>
            </w:r>
          </w:p>
        </w:tc>
        <w:tc>
          <w:tcPr>
            <w:tcW w:w="1670" w:type="dxa"/>
            <w:shd w:val="clear" w:color="auto" w:fill="D6E0F4"/>
            <w:vAlign w:val="center"/>
          </w:tcPr>
          <w:p w:rsidR="00AC32EA" w:rsidRDefault="00AC32EA" w:rsidP="00AC32EA">
            <w:pPr>
              <w:spacing w:after="0" w:line="240" w:lineRule="auto"/>
              <w:ind w:firstLine="0"/>
              <w:jc w:val="right"/>
              <w:rPr>
                <w:rFonts w:asciiTheme="majorHAnsi" w:eastAsia="Calibri" w:hAnsiTheme="majorHAnsi" w:cs="Times New Roman"/>
                <w:b/>
                <w:color w:val="FF0000"/>
                <w:sz w:val="20"/>
                <w:szCs w:val="20"/>
                <w:lang w:eastAsia="en-US"/>
              </w:rPr>
            </w:pPr>
          </w:p>
        </w:tc>
        <w:tc>
          <w:tcPr>
            <w:tcW w:w="1802" w:type="dxa"/>
            <w:shd w:val="clear" w:color="auto" w:fill="D6E0F4"/>
            <w:vAlign w:val="center"/>
          </w:tcPr>
          <w:p w:rsidR="00AC32EA" w:rsidRPr="00AE76A2" w:rsidRDefault="00AC32EA" w:rsidP="00AC32EA">
            <w:pPr>
              <w:spacing w:after="0" w:line="240" w:lineRule="auto"/>
              <w:ind w:firstLine="0"/>
              <w:jc w:val="right"/>
              <w:rPr>
                <w:rFonts w:asciiTheme="majorHAnsi" w:eastAsia="Times New Roman" w:hAnsiTheme="majorHAnsi" w:cs="Arial"/>
                <w:b/>
                <w:bCs/>
                <w:sz w:val="20"/>
                <w:szCs w:val="20"/>
                <w:lang w:val="ro-RO" w:eastAsia="ro-RO"/>
              </w:rPr>
            </w:pPr>
            <w:r w:rsidRPr="00AE76A2">
              <w:rPr>
                <w:rFonts w:asciiTheme="majorHAnsi" w:eastAsia="Times New Roman" w:hAnsiTheme="majorHAnsi" w:cs="Arial"/>
                <w:b/>
                <w:bCs/>
                <w:sz w:val="20"/>
                <w:szCs w:val="20"/>
                <w:lang w:val="ro-RO" w:eastAsia="ro-RO"/>
              </w:rPr>
              <w:t>7.406</w:t>
            </w:r>
          </w:p>
        </w:tc>
        <w:tc>
          <w:tcPr>
            <w:tcW w:w="1216" w:type="dxa"/>
            <w:shd w:val="clear" w:color="auto" w:fill="D6E0F4"/>
            <w:vAlign w:val="center"/>
          </w:tcPr>
          <w:p w:rsidR="00AC32EA" w:rsidRPr="00AE76A2" w:rsidRDefault="00AC32EA" w:rsidP="00AC32EA">
            <w:pPr>
              <w:spacing w:after="0" w:line="240" w:lineRule="auto"/>
              <w:ind w:firstLine="0"/>
              <w:jc w:val="right"/>
              <w:rPr>
                <w:rFonts w:asciiTheme="majorHAnsi" w:eastAsia="Calibri" w:hAnsiTheme="majorHAnsi" w:cs="Times New Roman"/>
                <w:b/>
                <w:sz w:val="20"/>
                <w:szCs w:val="20"/>
                <w:lang w:eastAsia="en-US"/>
              </w:rPr>
            </w:pPr>
          </w:p>
        </w:tc>
      </w:tr>
      <w:tr w:rsidR="00AC32EA" w:rsidRPr="00322BD0" w:rsidTr="003414E8">
        <w:trPr>
          <w:trHeight w:val="245"/>
          <w:tblCellSpacing w:w="20" w:type="dxa"/>
        </w:trPr>
        <w:tc>
          <w:tcPr>
            <w:tcW w:w="4350" w:type="dxa"/>
            <w:gridSpan w:val="2"/>
            <w:shd w:val="clear" w:color="auto" w:fill="D6E0F4"/>
            <w:vAlign w:val="center"/>
          </w:tcPr>
          <w:p w:rsidR="00AC32EA" w:rsidRPr="00322BD0" w:rsidRDefault="00AC32EA" w:rsidP="00AC32EA">
            <w:pPr>
              <w:spacing w:after="0" w:line="240" w:lineRule="auto"/>
              <w:ind w:firstLine="0"/>
              <w:rPr>
                <w:rFonts w:asciiTheme="majorHAnsi" w:eastAsia="Times New Roman" w:hAnsiTheme="majorHAnsi" w:cs="Arial"/>
                <w:b/>
                <w:bCs/>
                <w:sz w:val="18"/>
                <w:szCs w:val="18"/>
                <w:lang w:val="en-GB" w:eastAsia="ro-RO"/>
              </w:rPr>
            </w:pPr>
            <w:r w:rsidRPr="00322BD0">
              <w:rPr>
                <w:rFonts w:asciiTheme="majorHAnsi" w:eastAsia="Times New Roman" w:hAnsiTheme="majorHAnsi" w:cs="Arial"/>
                <w:b/>
                <w:bCs/>
                <w:sz w:val="18"/>
                <w:szCs w:val="18"/>
                <w:lang w:val="en-GB" w:eastAsia="ro-RO"/>
              </w:rPr>
              <w:t>TOTAL INVESTMENTS</w:t>
            </w:r>
          </w:p>
        </w:tc>
        <w:tc>
          <w:tcPr>
            <w:tcW w:w="1670" w:type="dxa"/>
            <w:shd w:val="clear" w:color="auto" w:fill="D6E0F4"/>
            <w:vAlign w:val="center"/>
          </w:tcPr>
          <w:p w:rsidR="00AC32EA" w:rsidRDefault="00AC32EA" w:rsidP="00AC32EA">
            <w:pPr>
              <w:spacing w:after="0" w:line="240" w:lineRule="auto"/>
              <w:ind w:firstLine="0"/>
              <w:jc w:val="right"/>
              <w:rPr>
                <w:rFonts w:asciiTheme="majorHAnsi" w:eastAsia="Calibri" w:hAnsiTheme="majorHAnsi" w:cs="Times New Roman"/>
                <w:b/>
                <w:color w:val="FF0000"/>
                <w:sz w:val="20"/>
                <w:szCs w:val="20"/>
                <w:lang w:eastAsia="en-US"/>
              </w:rPr>
            </w:pPr>
            <w:r>
              <w:rPr>
                <w:rFonts w:asciiTheme="majorHAnsi" w:eastAsia="Calibri" w:hAnsiTheme="majorHAnsi" w:cs="Times New Roman"/>
                <w:b/>
                <w:sz w:val="20"/>
                <w:szCs w:val="20"/>
                <w:lang w:eastAsia="en-US"/>
              </w:rPr>
              <w:t>751.940</w:t>
            </w:r>
          </w:p>
        </w:tc>
        <w:tc>
          <w:tcPr>
            <w:tcW w:w="1802" w:type="dxa"/>
            <w:shd w:val="clear" w:color="auto" w:fill="D6E0F4"/>
            <w:vAlign w:val="center"/>
          </w:tcPr>
          <w:p w:rsidR="00AC32EA" w:rsidRPr="00AE76A2" w:rsidRDefault="00AC32EA" w:rsidP="00AC32EA">
            <w:pPr>
              <w:spacing w:after="0" w:line="240" w:lineRule="auto"/>
              <w:ind w:firstLine="0"/>
              <w:jc w:val="right"/>
              <w:rPr>
                <w:rFonts w:asciiTheme="majorHAnsi" w:eastAsia="Times New Roman" w:hAnsiTheme="majorHAnsi" w:cs="Arial"/>
                <w:b/>
                <w:bCs/>
                <w:sz w:val="20"/>
                <w:szCs w:val="20"/>
                <w:lang w:val="ro-RO" w:eastAsia="ro-RO"/>
              </w:rPr>
            </w:pPr>
            <w:r w:rsidRPr="00AE76A2">
              <w:rPr>
                <w:rFonts w:asciiTheme="majorHAnsi" w:eastAsia="Times New Roman" w:hAnsiTheme="majorHAnsi" w:cs="Arial"/>
                <w:b/>
                <w:bCs/>
                <w:sz w:val="20"/>
                <w:szCs w:val="20"/>
                <w:lang w:val="ro-RO" w:eastAsia="ro-RO"/>
              </w:rPr>
              <w:t>140.179</w:t>
            </w:r>
          </w:p>
        </w:tc>
        <w:tc>
          <w:tcPr>
            <w:tcW w:w="1216" w:type="dxa"/>
            <w:shd w:val="clear" w:color="auto" w:fill="D6E0F4"/>
            <w:vAlign w:val="center"/>
          </w:tcPr>
          <w:p w:rsidR="00AC32EA" w:rsidRPr="00AE76A2" w:rsidRDefault="00AC32EA" w:rsidP="00AC32EA">
            <w:pPr>
              <w:spacing w:after="0" w:line="240" w:lineRule="auto"/>
              <w:ind w:firstLine="0"/>
              <w:jc w:val="right"/>
              <w:rPr>
                <w:rFonts w:asciiTheme="majorHAnsi" w:eastAsia="Calibri" w:hAnsiTheme="majorHAnsi" w:cs="Times New Roman"/>
                <w:b/>
                <w:sz w:val="20"/>
                <w:szCs w:val="20"/>
                <w:lang w:eastAsia="en-US"/>
              </w:rPr>
            </w:pPr>
            <w:r w:rsidRPr="00AE76A2">
              <w:rPr>
                <w:rFonts w:asciiTheme="majorHAnsi" w:eastAsia="Calibri" w:hAnsiTheme="majorHAnsi" w:cs="Times New Roman"/>
                <w:b/>
                <w:sz w:val="20"/>
                <w:szCs w:val="20"/>
                <w:lang w:eastAsia="en-US"/>
              </w:rPr>
              <w:t>18,64</w:t>
            </w:r>
          </w:p>
        </w:tc>
      </w:tr>
    </w:tbl>
    <w:p w:rsidR="00F51384" w:rsidRPr="00322BD0" w:rsidRDefault="00F51384" w:rsidP="00F51384">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Table</w:t>
      </w:r>
      <w:r>
        <w:rPr>
          <w:rFonts w:ascii="Cambria" w:eastAsia="Times New Roman" w:hAnsi="Cambria" w:cs="Times New Roman"/>
          <w:b/>
          <w:i/>
          <w:sz w:val="16"/>
          <w:szCs w:val="16"/>
          <w:lang w:val="en-GB" w:eastAsia="ro-RO"/>
        </w:rPr>
        <w:t xml:space="preserve"> 13</w:t>
      </w:r>
      <w:r w:rsidRPr="00322BD0">
        <w:rPr>
          <w:rFonts w:ascii="Cambria" w:eastAsia="Times New Roman" w:hAnsi="Cambria" w:cs="Times New Roman"/>
          <w:b/>
          <w:i/>
          <w:sz w:val="16"/>
          <w:szCs w:val="16"/>
          <w:lang w:val="en-GB" w:eastAsia="ro-RO"/>
        </w:rPr>
        <w:t xml:space="preserve">- </w:t>
      </w:r>
      <w:r>
        <w:rPr>
          <w:rFonts w:ascii="Cambria" w:eastAsia="Times New Roman" w:hAnsi="Cambria" w:cs="Times New Roman"/>
          <w:b/>
          <w:i/>
          <w:sz w:val="16"/>
          <w:szCs w:val="16"/>
          <w:lang w:val="en-GB" w:eastAsia="ro-RO"/>
        </w:rPr>
        <w:t>Achievement of 2016</w:t>
      </w:r>
      <w:r w:rsidRPr="00322BD0">
        <w:rPr>
          <w:rFonts w:ascii="Cambria" w:eastAsia="Times New Roman" w:hAnsi="Cambria" w:cs="Times New Roman"/>
          <w:b/>
          <w:i/>
          <w:sz w:val="16"/>
          <w:szCs w:val="16"/>
          <w:lang w:val="en-GB" w:eastAsia="ro-RO"/>
        </w:rPr>
        <w:t xml:space="preserve"> Investment Programme</w:t>
      </w:r>
    </w:p>
    <w:p w:rsidR="000648A3" w:rsidRPr="00322BD0" w:rsidRDefault="000648A3" w:rsidP="00B42F6C">
      <w:pPr>
        <w:spacing w:after="0" w:line="240" w:lineRule="auto"/>
        <w:ind w:firstLine="0"/>
        <w:jc w:val="both"/>
        <w:rPr>
          <w:rFonts w:ascii="Cambria" w:eastAsia="Times New Roman" w:hAnsi="Cambria" w:cs="Times New Roman"/>
          <w:b/>
          <w:sz w:val="24"/>
          <w:szCs w:val="24"/>
          <w:lang w:val="en-GB" w:eastAsia="ro-RO"/>
        </w:rPr>
      </w:pPr>
    </w:p>
    <w:p w:rsidR="005E4DF5" w:rsidRPr="00322BD0" w:rsidRDefault="005E4DF5" w:rsidP="004909E3">
      <w:pPr>
        <w:spacing w:after="0" w:line="240" w:lineRule="auto"/>
        <w:ind w:firstLine="0"/>
        <w:jc w:val="both"/>
        <w:rPr>
          <w:rFonts w:ascii="Cambria" w:hAnsi="Cambria"/>
          <w:sz w:val="24"/>
          <w:szCs w:val="24"/>
          <w:lang w:val="en-GB"/>
        </w:rPr>
      </w:pPr>
    </w:p>
    <w:p w:rsidR="0056156B" w:rsidRPr="00322BD0" w:rsidRDefault="0056156B" w:rsidP="0056156B">
      <w:pPr>
        <w:spacing w:after="0" w:line="240" w:lineRule="auto"/>
        <w:ind w:firstLine="0"/>
        <w:jc w:val="both"/>
        <w:rPr>
          <w:rFonts w:ascii="Cambria" w:eastAsia="Times New Roman" w:hAnsi="Cambria" w:cs="Times New Roman"/>
          <w:sz w:val="26"/>
          <w:szCs w:val="26"/>
          <w:lang w:val="en-GB" w:eastAsia="ro-RO"/>
        </w:rPr>
      </w:pPr>
      <w:r w:rsidRPr="00322BD0">
        <w:rPr>
          <w:rFonts w:ascii="Cambria" w:eastAsia="Times New Roman" w:hAnsi="Cambria" w:cs="Times New Roman"/>
          <w:sz w:val="24"/>
          <w:szCs w:val="24"/>
          <w:lang w:val="en-GB" w:eastAsia="ro-RO"/>
        </w:rPr>
        <w:t xml:space="preserve">As compared to the total value of the </w:t>
      </w:r>
      <w:r w:rsidR="00CE3BCA">
        <w:rPr>
          <w:rFonts w:ascii="Cambria" w:eastAsia="Times New Roman" w:hAnsi="Cambria" w:cs="Times New Roman"/>
          <w:sz w:val="24"/>
          <w:szCs w:val="24"/>
          <w:lang w:val="en-GB" w:eastAsia="ro-RO"/>
        </w:rPr>
        <w:t xml:space="preserve">upgrading </w:t>
      </w:r>
      <w:r w:rsidR="007C44E8">
        <w:rPr>
          <w:rFonts w:ascii="Cambria" w:eastAsia="Times New Roman" w:hAnsi="Cambria" w:cs="Times New Roman"/>
          <w:sz w:val="24"/>
          <w:szCs w:val="24"/>
          <w:lang w:val="en-GB" w:eastAsia="ro-RO"/>
        </w:rPr>
        <w:t xml:space="preserve">and development </w:t>
      </w:r>
      <w:r w:rsidRPr="00322BD0">
        <w:rPr>
          <w:rFonts w:ascii="Cambria" w:eastAsia="Times New Roman" w:hAnsi="Cambria" w:cs="Times New Roman"/>
          <w:sz w:val="24"/>
          <w:szCs w:val="24"/>
          <w:lang w:val="en-GB" w:eastAsia="ro-RO"/>
        </w:rPr>
        <w:t xml:space="preserve">programme amounting to RON </w:t>
      </w:r>
      <w:r w:rsidR="00BC4E92" w:rsidRPr="001B1380">
        <w:rPr>
          <w:rFonts w:asciiTheme="majorHAnsi" w:eastAsia="Times New Roman" w:hAnsiTheme="majorHAnsi" w:cs="Times New Roman"/>
          <w:b/>
          <w:bCs/>
          <w:sz w:val="24"/>
          <w:szCs w:val="24"/>
          <w:lang w:val="ro-RO" w:eastAsia="ro-RO"/>
        </w:rPr>
        <w:t>721.902.260</w:t>
      </w:r>
      <w:r w:rsidRPr="00322BD0">
        <w:rPr>
          <w:rFonts w:ascii="Cambria" w:eastAsia="Times New Roman" w:hAnsi="Cambria" w:cs="Times New Roman"/>
          <w:sz w:val="24"/>
          <w:szCs w:val="24"/>
          <w:lang w:val="en-GB" w:eastAsia="ro-RO"/>
        </w:rPr>
        <w:t xml:space="preserve">, the total value of the achievements is of RON </w:t>
      </w:r>
      <w:r w:rsidR="00BC4E92" w:rsidRPr="001B1380">
        <w:rPr>
          <w:rFonts w:asciiTheme="majorHAnsi" w:eastAsia="Times New Roman" w:hAnsiTheme="majorHAnsi" w:cs="Times New Roman"/>
          <w:b/>
          <w:bCs/>
          <w:sz w:val="24"/>
          <w:szCs w:val="24"/>
          <w:lang w:val="ro-RO" w:eastAsia="ro-RO"/>
        </w:rPr>
        <w:t>119.822.424</w:t>
      </w:r>
      <w:r w:rsidRPr="00322BD0">
        <w:rPr>
          <w:rFonts w:ascii="Cambria" w:eastAsia="Times New Roman" w:hAnsi="Cambria" w:cs="Times New Roman"/>
          <w:sz w:val="24"/>
          <w:szCs w:val="24"/>
          <w:lang w:val="en-GB" w:eastAsia="ro-RO"/>
        </w:rPr>
        <w:t xml:space="preserve">, which represents a </w:t>
      </w:r>
      <w:r w:rsidR="00BC4E92" w:rsidRPr="001B1380">
        <w:rPr>
          <w:rFonts w:asciiTheme="majorHAnsi" w:eastAsia="Times New Roman" w:hAnsiTheme="majorHAnsi" w:cs="Times New Roman"/>
          <w:b/>
          <w:bCs/>
          <w:sz w:val="24"/>
          <w:szCs w:val="24"/>
          <w:lang w:val="ro-RO" w:eastAsia="ro-RO"/>
        </w:rPr>
        <w:t>16,60</w:t>
      </w:r>
      <w:r w:rsidR="00BC4E92">
        <w:rPr>
          <w:rFonts w:asciiTheme="majorHAnsi" w:eastAsia="Times New Roman" w:hAnsiTheme="majorHAnsi" w:cs="Times New Roman"/>
          <w:b/>
          <w:bCs/>
          <w:sz w:val="24"/>
          <w:szCs w:val="24"/>
          <w:lang w:val="ro-RO" w:eastAsia="ro-RO"/>
        </w:rPr>
        <w:t xml:space="preserve">% </w:t>
      </w:r>
      <w:r w:rsidRPr="00322BD0">
        <w:rPr>
          <w:rFonts w:ascii="Cambria" w:eastAsia="Times New Roman" w:hAnsi="Cambria" w:cs="Times New Roman"/>
          <w:sz w:val="24"/>
          <w:szCs w:val="24"/>
          <w:lang w:val="en-GB" w:eastAsia="ro-RO"/>
        </w:rPr>
        <w:t xml:space="preserve">achievement degree. </w:t>
      </w:r>
    </w:p>
    <w:p w:rsidR="0056156B" w:rsidRPr="00322BD0" w:rsidRDefault="0070276D" w:rsidP="0090177E">
      <w:pPr>
        <w:spacing w:after="120" w:line="25" w:lineRule="atLeast"/>
        <w:ind w:firstLine="0"/>
        <w:jc w:val="both"/>
        <w:rPr>
          <w:rFonts w:ascii="Cambria" w:eastAsia="Times New Roman" w:hAnsi="Cambria" w:cs="Cambria"/>
          <w:bCs/>
          <w:iCs/>
          <w:lang w:val="en-GB"/>
        </w:rPr>
      </w:pPr>
      <w:r>
        <w:rPr>
          <w:noProof/>
          <w:lang w:val="ro-RO" w:eastAsia="ro-RO"/>
        </w:rPr>
        <w:drawing>
          <wp:inline distT="0" distB="0" distL="0" distR="0" wp14:anchorId="026F14B6" wp14:editId="7A7A47C8">
            <wp:extent cx="5405120" cy="1190625"/>
            <wp:effectExtent l="0" t="0" r="508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D3F6D" w:rsidRPr="00322BD0" w:rsidRDefault="0055084E" w:rsidP="00CD3F6D">
      <w:pPr>
        <w:spacing w:after="0" w:line="240" w:lineRule="auto"/>
        <w:ind w:left="1440" w:firstLine="720"/>
        <w:jc w:val="both"/>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Chart</w:t>
      </w:r>
      <w:r w:rsidR="00CD3F6D" w:rsidRPr="00322BD0">
        <w:rPr>
          <w:rFonts w:ascii="Cambria" w:eastAsia="Times New Roman" w:hAnsi="Cambria" w:cs="Times New Roman"/>
          <w:b/>
          <w:i/>
          <w:sz w:val="16"/>
          <w:szCs w:val="16"/>
          <w:lang w:val="en-GB" w:eastAsia="ro-RO"/>
        </w:rPr>
        <w:t xml:space="preserve"> 2</w:t>
      </w:r>
      <w:r w:rsidR="00847019">
        <w:rPr>
          <w:rFonts w:ascii="Cambria" w:eastAsia="Times New Roman" w:hAnsi="Cambria" w:cs="Times New Roman"/>
          <w:b/>
          <w:i/>
          <w:sz w:val="16"/>
          <w:szCs w:val="16"/>
          <w:lang w:val="en-GB" w:eastAsia="ro-RO"/>
        </w:rPr>
        <w:t>4</w:t>
      </w:r>
      <w:r w:rsidR="00CD3F6D" w:rsidRPr="00322BD0">
        <w:rPr>
          <w:rFonts w:ascii="Cambria" w:eastAsia="Times New Roman" w:hAnsi="Cambria" w:cs="Times New Roman"/>
          <w:b/>
          <w:i/>
          <w:sz w:val="16"/>
          <w:szCs w:val="16"/>
          <w:lang w:val="en-GB" w:eastAsia="ro-RO"/>
        </w:rPr>
        <w:t xml:space="preserve">– </w:t>
      </w:r>
      <w:r w:rsidR="00847019">
        <w:rPr>
          <w:rFonts w:ascii="Cambria" w:eastAsia="Times New Roman" w:hAnsi="Cambria" w:cs="Times New Roman"/>
          <w:b/>
          <w:i/>
          <w:sz w:val="16"/>
          <w:szCs w:val="16"/>
          <w:lang w:val="en-GB" w:eastAsia="ro-RO"/>
        </w:rPr>
        <w:t xml:space="preserve">2016 </w:t>
      </w:r>
      <w:r w:rsidRPr="00322BD0">
        <w:rPr>
          <w:rFonts w:ascii="Cambria" w:eastAsia="Times New Roman" w:hAnsi="Cambria" w:cs="Times New Roman"/>
          <w:b/>
          <w:i/>
          <w:sz w:val="16"/>
          <w:szCs w:val="16"/>
          <w:lang w:val="en-GB" w:eastAsia="ro-RO"/>
        </w:rPr>
        <w:t>investment achievement</w:t>
      </w:r>
      <w:r w:rsidR="00CD3F6D" w:rsidRPr="00322BD0">
        <w:rPr>
          <w:rFonts w:ascii="Cambria" w:eastAsia="Times New Roman" w:hAnsi="Cambria" w:cs="Times New Roman"/>
          <w:b/>
          <w:i/>
          <w:sz w:val="16"/>
          <w:szCs w:val="16"/>
          <w:lang w:val="en-GB" w:eastAsia="ro-RO"/>
        </w:rPr>
        <w:t xml:space="preserve"> vs </w:t>
      </w:r>
      <w:r w:rsidR="0070276D">
        <w:rPr>
          <w:rFonts w:ascii="Cambria" w:eastAsia="Times New Roman" w:hAnsi="Cambria" w:cs="Times New Roman"/>
          <w:b/>
          <w:i/>
          <w:sz w:val="16"/>
          <w:szCs w:val="16"/>
          <w:lang w:val="en-GB" w:eastAsia="ro-RO"/>
        </w:rPr>
        <w:t>2016</w:t>
      </w:r>
      <w:r w:rsidRPr="00322BD0">
        <w:rPr>
          <w:rFonts w:ascii="Cambria" w:eastAsia="Times New Roman" w:hAnsi="Cambria" w:cs="Times New Roman"/>
          <w:b/>
          <w:i/>
          <w:sz w:val="16"/>
          <w:szCs w:val="16"/>
          <w:lang w:val="en-GB" w:eastAsia="ro-RO"/>
        </w:rPr>
        <w:t xml:space="preserve"> Investment Programme</w:t>
      </w:r>
    </w:p>
    <w:p w:rsidR="00CD3F6D" w:rsidRPr="00322BD0" w:rsidRDefault="00CD3F6D" w:rsidP="0090177E">
      <w:pPr>
        <w:spacing w:after="120" w:line="25" w:lineRule="atLeast"/>
        <w:ind w:firstLine="0"/>
        <w:jc w:val="both"/>
        <w:rPr>
          <w:rFonts w:ascii="Cambria" w:eastAsia="Times New Roman" w:hAnsi="Cambria" w:cs="Cambria"/>
          <w:bCs/>
          <w:iCs/>
          <w:lang w:val="en-GB"/>
        </w:rPr>
      </w:pPr>
    </w:p>
    <w:p w:rsidR="00CD3F6D" w:rsidRPr="00322BD0" w:rsidRDefault="0070276D" w:rsidP="0090177E">
      <w:pPr>
        <w:spacing w:after="120" w:line="25" w:lineRule="atLeast"/>
        <w:ind w:firstLine="0"/>
        <w:jc w:val="both"/>
        <w:rPr>
          <w:rFonts w:ascii="Cambria" w:eastAsia="Times New Roman" w:hAnsi="Cambria" w:cs="Cambria"/>
          <w:bCs/>
          <w:iCs/>
          <w:lang w:val="en-GB"/>
        </w:rPr>
      </w:pPr>
      <w:r>
        <w:rPr>
          <w:noProof/>
          <w:lang w:val="ro-RO" w:eastAsia="ro-RO"/>
        </w:rPr>
        <w:drawing>
          <wp:inline distT="0" distB="0" distL="0" distR="0" wp14:anchorId="4020B04E" wp14:editId="4118796D">
            <wp:extent cx="5734050" cy="1838325"/>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D3F6D" w:rsidRPr="00322BD0" w:rsidRDefault="0055084E" w:rsidP="00CD3F6D">
      <w:pPr>
        <w:spacing w:after="0" w:line="240" w:lineRule="auto"/>
        <w:ind w:left="1440" w:firstLine="720"/>
        <w:jc w:val="both"/>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Chart</w:t>
      </w:r>
      <w:r w:rsidR="00CD2A65">
        <w:rPr>
          <w:rFonts w:ascii="Cambria" w:eastAsia="Times New Roman" w:hAnsi="Cambria" w:cs="Times New Roman"/>
          <w:b/>
          <w:i/>
          <w:sz w:val="16"/>
          <w:szCs w:val="16"/>
          <w:lang w:val="en-GB" w:eastAsia="ro-RO"/>
        </w:rPr>
        <w:t xml:space="preserve"> 25</w:t>
      </w:r>
      <w:r w:rsidR="00CD3F6D" w:rsidRPr="00322BD0">
        <w:rPr>
          <w:rFonts w:ascii="Cambria" w:eastAsia="Times New Roman" w:hAnsi="Cambria" w:cs="Times New Roman"/>
          <w:b/>
          <w:i/>
          <w:sz w:val="16"/>
          <w:szCs w:val="16"/>
          <w:lang w:val="en-GB" w:eastAsia="ro-RO"/>
        </w:rPr>
        <w:t xml:space="preserve">– </w:t>
      </w:r>
      <w:r w:rsidR="00CD2A65">
        <w:rPr>
          <w:rFonts w:ascii="Cambria" w:eastAsia="Times New Roman" w:hAnsi="Cambria" w:cs="Times New Roman"/>
          <w:b/>
          <w:i/>
          <w:sz w:val="16"/>
          <w:szCs w:val="16"/>
          <w:lang w:val="en-GB" w:eastAsia="ro-RO"/>
        </w:rPr>
        <w:t>2016</w:t>
      </w:r>
      <w:r w:rsidR="00E74429" w:rsidRPr="00322BD0">
        <w:rPr>
          <w:rFonts w:ascii="Cambria" w:eastAsia="Times New Roman" w:hAnsi="Cambria" w:cs="Times New Roman"/>
          <w:b/>
          <w:i/>
          <w:sz w:val="16"/>
          <w:szCs w:val="16"/>
          <w:lang w:val="en-GB" w:eastAsia="ro-RO"/>
        </w:rPr>
        <w:t xml:space="preserve"> achievements</w:t>
      </w:r>
      <w:r w:rsidR="00CD3F6D" w:rsidRPr="00322BD0">
        <w:rPr>
          <w:rFonts w:ascii="Cambria" w:eastAsia="Times New Roman" w:hAnsi="Cambria" w:cs="Times New Roman"/>
          <w:b/>
          <w:i/>
          <w:sz w:val="16"/>
          <w:szCs w:val="16"/>
          <w:lang w:val="en-GB" w:eastAsia="ro-RO"/>
        </w:rPr>
        <w:t xml:space="preserve"> vs </w:t>
      </w:r>
      <w:r w:rsidR="00CE3BCA">
        <w:rPr>
          <w:rFonts w:ascii="Cambria" w:eastAsia="Times New Roman" w:hAnsi="Cambria" w:cs="Times New Roman"/>
          <w:b/>
          <w:i/>
          <w:sz w:val="16"/>
          <w:szCs w:val="16"/>
          <w:lang w:val="en-GB" w:eastAsia="ro-RO"/>
        </w:rPr>
        <w:t xml:space="preserve">2016 PMDI </w:t>
      </w:r>
      <w:r w:rsidR="00CD3F6D" w:rsidRPr="00322BD0">
        <w:rPr>
          <w:rFonts w:ascii="Cambria" w:eastAsia="Times New Roman" w:hAnsi="Cambria" w:cs="Times New Roman"/>
          <w:b/>
          <w:i/>
          <w:sz w:val="16"/>
          <w:szCs w:val="16"/>
          <w:lang w:val="en-GB" w:eastAsia="ro-RO"/>
        </w:rPr>
        <w:t>program</w:t>
      </w:r>
      <w:r w:rsidR="00E74429" w:rsidRPr="00322BD0">
        <w:rPr>
          <w:rFonts w:ascii="Cambria" w:eastAsia="Times New Roman" w:hAnsi="Cambria" w:cs="Times New Roman"/>
          <w:b/>
          <w:i/>
          <w:sz w:val="16"/>
          <w:szCs w:val="16"/>
          <w:lang w:val="en-GB" w:eastAsia="ro-RO"/>
        </w:rPr>
        <w:t>me by chapters</w:t>
      </w:r>
      <w:r w:rsidR="00CD3F6D" w:rsidRPr="00322BD0">
        <w:rPr>
          <w:rFonts w:ascii="Cambria" w:eastAsia="Times New Roman" w:hAnsi="Cambria" w:cs="Times New Roman"/>
          <w:b/>
          <w:i/>
          <w:sz w:val="16"/>
          <w:szCs w:val="16"/>
          <w:lang w:val="en-GB" w:eastAsia="ro-RO"/>
        </w:rPr>
        <w:t xml:space="preserve"> </w:t>
      </w:r>
    </w:p>
    <w:p w:rsidR="00CD3F6D" w:rsidRPr="00322BD0" w:rsidRDefault="00CD3F6D" w:rsidP="0090177E">
      <w:pPr>
        <w:spacing w:after="120" w:line="25" w:lineRule="atLeast"/>
        <w:ind w:firstLine="0"/>
        <w:jc w:val="both"/>
        <w:rPr>
          <w:rFonts w:ascii="Cambria" w:eastAsia="Times New Roman" w:hAnsi="Cambria" w:cs="Cambria"/>
          <w:bCs/>
          <w:iCs/>
          <w:lang w:val="en-GB"/>
        </w:rPr>
      </w:pPr>
    </w:p>
    <w:p w:rsidR="00CE3BCA" w:rsidRDefault="00CE3BCA" w:rsidP="00AB2B75">
      <w:pPr>
        <w:spacing w:after="0" w:line="240" w:lineRule="auto"/>
        <w:ind w:firstLine="0"/>
        <w:jc w:val="both"/>
        <w:rPr>
          <w:rFonts w:asciiTheme="majorHAnsi" w:eastAsia="Times New Roman" w:hAnsiTheme="majorHAnsi" w:cs="Times New Roman"/>
          <w:sz w:val="24"/>
          <w:szCs w:val="24"/>
          <w:lang w:val="ro-RO" w:eastAsia="ro-RO"/>
        </w:rPr>
      </w:pPr>
      <w:r w:rsidRPr="00CE3BCA">
        <w:rPr>
          <w:rFonts w:asciiTheme="majorHAnsi" w:eastAsia="Times New Roman" w:hAnsiTheme="majorHAnsi" w:cs="Times New Roman"/>
          <w:sz w:val="24"/>
          <w:szCs w:val="24"/>
          <w:lang w:val="ro-RO" w:eastAsia="ro-RO"/>
        </w:rPr>
        <w:t xml:space="preserve">The value of the </w:t>
      </w:r>
      <w:r>
        <w:rPr>
          <w:rFonts w:asciiTheme="majorHAnsi" w:eastAsia="Times New Roman" w:hAnsiTheme="majorHAnsi" w:cs="Times New Roman"/>
          <w:sz w:val="24"/>
          <w:szCs w:val="24"/>
          <w:lang w:val="ro-RO" w:eastAsia="ro-RO"/>
        </w:rPr>
        <w:t xml:space="preserve">investment fund for 2016, approved in the revenue and expense budget for 2016 is RON </w:t>
      </w:r>
      <w:r w:rsidRPr="00CE3BCA">
        <w:rPr>
          <w:rFonts w:asciiTheme="majorHAnsi" w:eastAsia="Times New Roman" w:hAnsiTheme="majorHAnsi" w:cs="Times New Roman"/>
          <w:sz w:val="24"/>
          <w:szCs w:val="24"/>
          <w:lang w:val="ro-RO" w:eastAsia="ro-RO"/>
        </w:rPr>
        <w:t>721.902.260</w:t>
      </w:r>
      <w:r>
        <w:rPr>
          <w:rFonts w:asciiTheme="majorHAnsi" w:eastAsia="Times New Roman" w:hAnsiTheme="majorHAnsi" w:cs="Times New Roman"/>
          <w:sz w:val="24"/>
          <w:szCs w:val="24"/>
          <w:lang w:val="ro-RO" w:eastAsia="ro-RO"/>
        </w:rPr>
        <w:t xml:space="preserve">. The value of the achievements </w:t>
      </w:r>
      <w:r w:rsidR="008B194D">
        <w:rPr>
          <w:rFonts w:asciiTheme="majorHAnsi" w:eastAsia="Times New Roman" w:hAnsiTheme="majorHAnsi" w:cs="Times New Roman"/>
          <w:sz w:val="24"/>
          <w:szCs w:val="24"/>
          <w:lang w:val="ro-RO" w:eastAsia="ro-RO"/>
        </w:rPr>
        <w:t xml:space="preserve">of RON </w:t>
      </w:r>
      <w:r w:rsidR="008B194D" w:rsidRPr="00CE3BCA">
        <w:rPr>
          <w:rFonts w:asciiTheme="majorHAnsi" w:eastAsia="Times New Roman" w:hAnsiTheme="majorHAnsi" w:cs="Times New Roman"/>
          <w:sz w:val="24"/>
          <w:szCs w:val="24"/>
          <w:lang w:val="ro-RO" w:eastAsia="ro-RO"/>
        </w:rPr>
        <w:t>119.822.424</w:t>
      </w:r>
      <w:r w:rsidR="008B194D">
        <w:rPr>
          <w:rFonts w:asciiTheme="majorHAnsi" w:eastAsia="Times New Roman" w:hAnsiTheme="majorHAnsi" w:cs="Times New Roman"/>
          <w:sz w:val="24"/>
          <w:szCs w:val="24"/>
          <w:lang w:val="ro-RO" w:eastAsia="ro-RO"/>
        </w:rPr>
        <w:t xml:space="preserve"> includes also the amount of RON </w:t>
      </w:r>
      <w:r w:rsidR="008B194D" w:rsidRPr="00CE3BCA">
        <w:rPr>
          <w:rFonts w:asciiTheme="majorHAnsi" w:eastAsia="Times New Roman" w:hAnsiTheme="majorHAnsi" w:cs="Times New Roman"/>
          <w:sz w:val="24"/>
          <w:szCs w:val="24"/>
          <w:lang w:val="ro-RO" w:eastAsia="ro-RO"/>
        </w:rPr>
        <w:t>7.273.216</w:t>
      </w:r>
      <w:r w:rsidR="008B194D">
        <w:rPr>
          <w:rFonts w:asciiTheme="majorHAnsi" w:eastAsia="Times New Roman" w:hAnsiTheme="majorHAnsi" w:cs="Times New Roman"/>
          <w:sz w:val="24"/>
          <w:szCs w:val="24"/>
          <w:lang w:val="ro-RO" w:eastAsia="ro-RO"/>
        </w:rPr>
        <w:t xml:space="preserve"> representing the works related to the connection to the NTS of new consummers of which RON </w:t>
      </w:r>
      <w:r w:rsidR="008B194D" w:rsidRPr="00CE3BCA">
        <w:rPr>
          <w:rFonts w:asciiTheme="majorHAnsi" w:eastAsia="Times New Roman" w:hAnsiTheme="majorHAnsi" w:cs="Times New Roman"/>
          <w:sz w:val="24"/>
          <w:szCs w:val="24"/>
          <w:lang w:val="ro-RO" w:eastAsia="ro-RO"/>
        </w:rPr>
        <w:t>2.861.236</w:t>
      </w:r>
      <w:r w:rsidR="008B194D">
        <w:rPr>
          <w:rFonts w:asciiTheme="majorHAnsi" w:eastAsia="Times New Roman" w:hAnsiTheme="majorHAnsi" w:cs="Times New Roman"/>
          <w:sz w:val="24"/>
          <w:szCs w:val="24"/>
          <w:lang w:val="ro-RO" w:eastAsia="ro-RO"/>
        </w:rPr>
        <w:t xml:space="preserve"> achieved based on the NTS access regulation approved by GD no </w:t>
      </w:r>
      <w:r w:rsidR="008B194D" w:rsidRPr="00CE3BCA">
        <w:rPr>
          <w:rFonts w:asciiTheme="majorHAnsi" w:eastAsia="Times New Roman" w:hAnsiTheme="majorHAnsi" w:cs="Times New Roman"/>
          <w:sz w:val="24"/>
          <w:szCs w:val="24"/>
          <w:lang w:val="ro-RO" w:eastAsia="ro-RO"/>
        </w:rPr>
        <w:t>1043/2004</w:t>
      </w:r>
      <w:r w:rsidR="008B194D">
        <w:rPr>
          <w:rFonts w:asciiTheme="majorHAnsi" w:eastAsia="Times New Roman" w:hAnsiTheme="majorHAnsi" w:cs="Times New Roman"/>
          <w:sz w:val="24"/>
          <w:szCs w:val="24"/>
          <w:lang w:val="ro-RO" w:eastAsia="ro-RO"/>
        </w:rPr>
        <w:t xml:space="preserve"> and RON </w:t>
      </w:r>
      <w:r w:rsidR="008B194D" w:rsidRPr="00CE3BCA">
        <w:rPr>
          <w:rFonts w:asciiTheme="majorHAnsi" w:eastAsia="Times New Roman" w:hAnsiTheme="majorHAnsi" w:cs="Times New Roman"/>
          <w:sz w:val="24"/>
          <w:szCs w:val="24"/>
          <w:lang w:val="ro-RO" w:eastAsia="ro-RO"/>
        </w:rPr>
        <w:t>4.411.979</w:t>
      </w:r>
      <w:r w:rsidR="008B194D">
        <w:rPr>
          <w:rFonts w:asciiTheme="majorHAnsi" w:eastAsia="Times New Roman" w:hAnsiTheme="majorHAnsi" w:cs="Times New Roman"/>
          <w:sz w:val="24"/>
          <w:szCs w:val="24"/>
          <w:lang w:val="ro-RO" w:eastAsia="ro-RO"/>
        </w:rPr>
        <w:t xml:space="preserve"> achieved from the funds allocated by the inevstment program for 2016. </w:t>
      </w:r>
    </w:p>
    <w:p w:rsidR="008B194D" w:rsidRPr="00CE3BCA" w:rsidRDefault="008B194D" w:rsidP="00AB2B75">
      <w:pPr>
        <w:spacing w:after="0" w:line="240" w:lineRule="auto"/>
        <w:ind w:firstLine="0"/>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 xml:space="preserve">It is worth mentioning that the financing sources for the initiation of the </w:t>
      </w:r>
      <w:r w:rsidRPr="008B194D">
        <w:rPr>
          <w:rFonts w:asciiTheme="majorHAnsi" w:eastAsia="Times New Roman" w:hAnsiTheme="majorHAnsi" w:cs="Times New Roman"/>
          <w:b/>
          <w:sz w:val="24"/>
          <w:szCs w:val="24"/>
          <w:lang w:val="ro-RO" w:eastAsia="ro-RO"/>
        </w:rPr>
        <w:t xml:space="preserve">BRUA Project and the </w:t>
      </w:r>
      <w:r>
        <w:rPr>
          <w:rFonts w:asciiTheme="majorHAnsi" w:eastAsia="Times New Roman" w:hAnsiTheme="majorHAnsi" w:cs="Times New Roman"/>
          <w:b/>
          <w:sz w:val="24"/>
          <w:szCs w:val="24"/>
          <w:lang w:val="ro-RO" w:eastAsia="ro-RO"/>
        </w:rPr>
        <w:t>D</w:t>
      </w:r>
      <w:r w:rsidRPr="008B194D">
        <w:rPr>
          <w:rFonts w:asciiTheme="majorHAnsi" w:eastAsia="Times New Roman" w:hAnsiTheme="majorHAnsi" w:cs="Times New Roman"/>
          <w:b/>
          <w:sz w:val="24"/>
          <w:szCs w:val="24"/>
          <w:lang w:val="ro-RO" w:eastAsia="ro-RO"/>
        </w:rPr>
        <w:t xml:space="preserve">evelopment </w:t>
      </w:r>
      <w:r>
        <w:rPr>
          <w:rFonts w:asciiTheme="majorHAnsi" w:eastAsia="Times New Roman" w:hAnsiTheme="majorHAnsi" w:cs="Times New Roman"/>
          <w:b/>
          <w:sz w:val="24"/>
          <w:szCs w:val="24"/>
          <w:lang w:val="ro-RO" w:eastAsia="ro-RO"/>
        </w:rPr>
        <w:t xml:space="preserve">of the </w:t>
      </w:r>
      <w:r w:rsidRPr="008B194D">
        <w:rPr>
          <w:rFonts w:asciiTheme="majorHAnsi" w:eastAsia="Times New Roman" w:hAnsiTheme="majorHAnsi" w:cs="Times New Roman"/>
          <w:b/>
          <w:sz w:val="24"/>
          <w:szCs w:val="24"/>
          <w:lang w:val="ro-RO" w:eastAsia="ro-RO"/>
        </w:rPr>
        <w:t>NTS in the North-Eastern area of Romania</w:t>
      </w:r>
      <w:r>
        <w:rPr>
          <w:rFonts w:asciiTheme="majorHAnsi" w:eastAsia="Times New Roman" w:hAnsiTheme="majorHAnsi" w:cs="Times New Roman"/>
          <w:sz w:val="24"/>
          <w:szCs w:val="24"/>
          <w:lang w:val="ro-RO" w:eastAsia="ro-RO"/>
        </w:rPr>
        <w:t xml:space="preserve"> were also included in the PMDI as well as the assurance of the transmission capacity towards the Republic of Moldova, amounting to </w:t>
      </w:r>
      <w:r w:rsidRPr="008B194D">
        <w:rPr>
          <w:rFonts w:asciiTheme="majorHAnsi" w:eastAsia="Times New Roman" w:hAnsiTheme="majorHAnsi" w:cs="Times New Roman"/>
          <w:b/>
          <w:sz w:val="24"/>
          <w:szCs w:val="24"/>
          <w:lang w:val="ro-RO" w:eastAsia="ro-RO"/>
        </w:rPr>
        <w:t xml:space="preserve">RON </w:t>
      </w:r>
      <w:r w:rsidRPr="008B194D">
        <w:rPr>
          <w:rFonts w:asciiTheme="majorHAnsi" w:eastAsia="Times New Roman" w:hAnsiTheme="majorHAnsi" w:cs="Times New Roman"/>
          <w:b/>
          <w:bCs/>
          <w:sz w:val="24"/>
          <w:szCs w:val="24"/>
          <w:lang w:val="ro-RO" w:eastAsia="ro-RO"/>
        </w:rPr>
        <w:t>248.010</w:t>
      </w:r>
      <w:r w:rsidR="00BB6DFB">
        <w:rPr>
          <w:rFonts w:asciiTheme="majorHAnsi" w:eastAsia="Times New Roman" w:hAnsiTheme="majorHAnsi" w:cs="Times New Roman"/>
          <w:b/>
          <w:bCs/>
          <w:sz w:val="24"/>
          <w:szCs w:val="24"/>
          <w:lang w:val="ro-RO" w:eastAsia="ro-RO"/>
        </w:rPr>
        <w:t xml:space="preserve"> </w:t>
      </w:r>
      <w:r w:rsidR="00BB6DFB" w:rsidRPr="00BB6DFB">
        <w:rPr>
          <w:rFonts w:asciiTheme="majorHAnsi" w:eastAsia="Times New Roman" w:hAnsiTheme="majorHAnsi" w:cs="Times New Roman"/>
          <w:bCs/>
          <w:sz w:val="24"/>
          <w:szCs w:val="24"/>
          <w:lang w:val="ro-RO" w:eastAsia="ro-RO"/>
        </w:rPr>
        <w:t>which is</w:t>
      </w:r>
      <w:r w:rsidR="00BB6DFB">
        <w:rPr>
          <w:rFonts w:asciiTheme="majorHAnsi" w:eastAsia="Times New Roman" w:hAnsiTheme="majorHAnsi" w:cs="Times New Roman"/>
          <w:b/>
          <w:bCs/>
          <w:sz w:val="24"/>
          <w:szCs w:val="24"/>
          <w:lang w:val="ro-RO" w:eastAsia="ro-RO"/>
        </w:rPr>
        <w:t xml:space="preserve"> </w:t>
      </w:r>
      <w:r w:rsidR="00BB6DFB">
        <w:rPr>
          <w:rFonts w:asciiTheme="majorHAnsi" w:eastAsia="Times New Roman" w:hAnsiTheme="majorHAnsi" w:cs="Times New Roman"/>
          <w:sz w:val="24"/>
          <w:szCs w:val="24"/>
          <w:lang w:val="ro-RO" w:eastAsia="ro-RO"/>
        </w:rPr>
        <w:t xml:space="preserve">34% of the total program, but such projects will be implemented as of 2017, after the construction permits are obtained. </w:t>
      </w:r>
      <w:r w:rsidRPr="00BB6DFB">
        <w:rPr>
          <w:rFonts w:asciiTheme="majorHAnsi" w:eastAsia="Times New Roman" w:hAnsiTheme="majorHAnsi" w:cs="Times New Roman"/>
          <w:sz w:val="24"/>
          <w:szCs w:val="24"/>
          <w:lang w:val="ro-RO" w:eastAsia="ro-RO"/>
        </w:rPr>
        <w:t xml:space="preserve"> </w:t>
      </w:r>
    </w:p>
    <w:p w:rsidR="00AB2B75" w:rsidRPr="00383831" w:rsidRDefault="00BB6DFB" w:rsidP="00AB2B75">
      <w:pPr>
        <w:spacing w:after="0" w:line="240" w:lineRule="auto"/>
        <w:ind w:firstLine="0"/>
        <w:jc w:val="both"/>
        <w:rPr>
          <w:rFonts w:asciiTheme="majorHAnsi" w:eastAsia="Times New Roman" w:hAnsiTheme="majorHAnsi" w:cs="Times New Roman"/>
          <w:sz w:val="24"/>
          <w:szCs w:val="24"/>
          <w:lang w:val="ro-RO" w:eastAsia="ro-RO"/>
        </w:rPr>
      </w:pPr>
      <w:r w:rsidRPr="00BB6DFB">
        <w:rPr>
          <w:rFonts w:asciiTheme="majorHAnsi" w:eastAsia="Times New Roman" w:hAnsiTheme="majorHAnsi" w:cs="Times New Roman"/>
          <w:sz w:val="24"/>
          <w:szCs w:val="24"/>
          <w:lang w:val="ro-RO" w:eastAsia="ro-RO"/>
        </w:rPr>
        <w:t xml:space="preserve">At the same time </w:t>
      </w:r>
      <w:r>
        <w:rPr>
          <w:rFonts w:asciiTheme="majorHAnsi" w:eastAsia="Times New Roman" w:hAnsiTheme="majorHAnsi" w:cs="Times New Roman"/>
          <w:sz w:val="24"/>
          <w:szCs w:val="24"/>
          <w:lang w:val="ro-RO" w:eastAsia="ro-RO"/>
        </w:rPr>
        <w:t xml:space="preserve">the Information Technology and Communication Division requested the </w:t>
      </w:r>
      <w:r w:rsidR="00383831">
        <w:rPr>
          <w:rFonts w:asciiTheme="majorHAnsi" w:eastAsia="Times New Roman" w:hAnsiTheme="majorHAnsi" w:cs="Times New Roman"/>
          <w:sz w:val="24"/>
          <w:szCs w:val="24"/>
          <w:lang w:val="ro-RO" w:eastAsia="ro-RO"/>
        </w:rPr>
        <w:t xml:space="preserve">inclusion in the PMDI of the investment related to information technology and telecommunications (Annex 5 of the PMDI) summing up RON </w:t>
      </w:r>
      <w:r w:rsidR="00383831" w:rsidRPr="00383831">
        <w:rPr>
          <w:rFonts w:asciiTheme="majorHAnsi" w:eastAsia="Times New Roman" w:hAnsiTheme="majorHAnsi" w:cs="Times New Roman"/>
          <w:b/>
          <w:bCs/>
          <w:sz w:val="24"/>
          <w:szCs w:val="24"/>
          <w:lang w:val="ro-RO" w:eastAsia="ro-RO"/>
        </w:rPr>
        <w:t>121.978</w:t>
      </w:r>
      <w:r w:rsidR="00383831">
        <w:rPr>
          <w:rFonts w:asciiTheme="majorHAnsi" w:eastAsia="Times New Roman" w:hAnsiTheme="majorHAnsi" w:cs="Times New Roman"/>
          <w:b/>
          <w:bCs/>
          <w:sz w:val="24"/>
          <w:szCs w:val="24"/>
          <w:lang w:val="ro-RO" w:eastAsia="ro-RO"/>
        </w:rPr>
        <w:t xml:space="preserve"> thousand </w:t>
      </w:r>
      <w:r w:rsidR="00383831">
        <w:rPr>
          <w:rFonts w:asciiTheme="majorHAnsi" w:eastAsia="Times New Roman" w:hAnsiTheme="majorHAnsi" w:cs="Times New Roman"/>
          <w:bCs/>
          <w:sz w:val="24"/>
          <w:szCs w:val="24"/>
          <w:lang w:val="ro-RO" w:eastAsia="ro-RO"/>
        </w:rPr>
        <w:t xml:space="preserve">representing 17% of the total amount of the program, but in the end the amount of the achievements was only of RON 4.542,81 thousand of the allocated amount. </w:t>
      </w:r>
    </w:p>
    <w:p w:rsidR="00AB2B75" w:rsidRPr="00AB2B75" w:rsidRDefault="00383831" w:rsidP="00AB2B75">
      <w:pPr>
        <w:spacing w:after="0" w:line="240" w:lineRule="auto"/>
        <w:ind w:firstLine="0"/>
        <w:jc w:val="both"/>
        <w:rPr>
          <w:rFonts w:asciiTheme="majorHAnsi" w:eastAsia="Times New Roman" w:hAnsiTheme="majorHAnsi" w:cs="Times New Roman"/>
          <w:sz w:val="24"/>
          <w:szCs w:val="24"/>
          <w:highlight w:val="yellow"/>
          <w:lang w:val="ro-RO" w:eastAsia="ro-RO"/>
        </w:rPr>
      </w:pPr>
      <w:r w:rsidRPr="00383831">
        <w:rPr>
          <w:rFonts w:asciiTheme="majorHAnsi" w:eastAsia="Times New Roman" w:hAnsiTheme="majorHAnsi" w:cs="Times New Roman"/>
          <w:sz w:val="24"/>
          <w:szCs w:val="24"/>
          <w:lang w:val="ro-RO" w:eastAsia="ro-RO"/>
        </w:rPr>
        <w:t>To sum up,</w:t>
      </w:r>
      <w:r w:rsidR="00143C79">
        <w:rPr>
          <w:rFonts w:asciiTheme="majorHAnsi" w:eastAsia="Times New Roman" w:hAnsiTheme="majorHAnsi" w:cs="Times New Roman"/>
          <w:sz w:val="24"/>
          <w:szCs w:val="24"/>
          <w:lang w:val="ro-RO" w:eastAsia="ro-RO"/>
        </w:rPr>
        <w:t xml:space="preserve"> the amounts allocated for BRUA, Moldova and Annex 5 (out of which the achievements were deducted) sum up over 50% of the total program.</w:t>
      </w:r>
    </w:p>
    <w:p w:rsidR="00A92B54" w:rsidRPr="00143C79" w:rsidRDefault="00A92B54" w:rsidP="00A92B54">
      <w:pPr>
        <w:spacing w:after="0" w:line="240" w:lineRule="auto"/>
        <w:ind w:firstLine="0"/>
        <w:jc w:val="both"/>
        <w:rPr>
          <w:rFonts w:ascii="Cambria" w:eastAsia="Times New Roman" w:hAnsi="Cambria" w:cs="Times New Roman"/>
          <w:sz w:val="24"/>
          <w:szCs w:val="24"/>
          <w:lang w:val="en-GB" w:eastAsia="ro-RO"/>
        </w:rPr>
      </w:pPr>
      <w:r w:rsidRPr="00143C79">
        <w:rPr>
          <w:rFonts w:ascii="Cambria" w:eastAsia="Times New Roman" w:hAnsi="Cambria" w:cs="Times New Roman"/>
          <w:sz w:val="24"/>
          <w:szCs w:val="24"/>
          <w:lang w:val="en-GB" w:eastAsia="ro-RO"/>
        </w:rPr>
        <w:t xml:space="preserve">The causes that led to a fulfilment of the investment </w:t>
      </w:r>
      <w:r w:rsidR="002C144B" w:rsidRPr="00143C79">
        <w:rPr>
          <w:rFonts w:ascii="Cambria" w:eastAsia="Times New Roman" w:hAnsi="Cambria" w:cs="Times New Roman"/>
          <w:sz w:val="24"/>
          <w:szCs w:val="24"/>
          <w:lang w:val="en-GB" w:eastAsia="ro-RO"/>
        </w:rPr>
        <w:t>Programme</w:t>
      </w:r>
      <w:r w:rsidR="00B812A7" w:rsidRPr="00143C79">
        <w:rPr>
          <w:rFonts w:ascii="Cambria" w:eastAsia="Times New Roman" w:hAnsi="Cambria" w:cs="Times New Roman"/>
          <w:sz w:val="24"/>
          <w:szCs w:val="24"/>
          <w:lang w:val="en-GB" w:eastAsia="ro-RO"/>
        </w:rPr>
        <w:t xml:space="preserve"> in a percentage of only </w:t>
      </w:r>
      <w:r w:rsidR="00A42E0F" w:rsidRPr="00143C79">
        <w:rPr>
          <w:rFonts w:asciiTheme="majorHAnsi" w:eastAsia="Times New Roman" w:hAnsiTheme="majorHAnsi" w:cs="Times New Roman"/>
          <w:sz w:val="24"/>
          <w:szCs w:val="24"/>
          <w:lang w:eastAsia="ro-RO"/>
        </w:rPr>
        <w:t xml:space="preserve">16,60% </w:t>
      </w:r>
      <w:r w:rsidRPr="00143C79">
        <w:rPr>
          <w:rFonts w:ascii="Cambria" w:eastAsia="Times New Roman" w:hAnsi="Cambria" w:cs="Times New Roman"/>
          <w:sz w:val="24"/>
          <w:szCs w:val="24"/>
          <w:lang w:val="en-GB" w:eastAsia="ro-RO"/>
        </w:rPr>
        <w:t xml:space="preserve"> </w:t>
      </w:r>
      <w:r w:rsidRPr="00143C79">
        <w:rPr>
          <w:rFonts w:ascii="Cambria" w:eastAsia="Times New Roman" w:hAnsi="Cambria" w:cs="Cambria"/>
          <w:sz w:val="24"/>
          <w:szCs w:val="24"/>
          <w:lang w:val="en-GB"/>
        </w:rPr>
        <w:t xml:space="preserve">mainly consist of legal matters related to </w:t>
      </w:r>
      <w:r w:rsidR="006771C4" w:rsidRPr="00143C79">
        <w:rPr>
          <w:rFonts w:ascii="Cambria" w:eastAsia="Times New Roman" w:hAnsi="Cambria" w:cs="Cambria"/>
          <w:sz w:val="24"/>
          <w:szCs w:val="24"/>
          <w:lang w:val="en-GB"/>
        </w:rPr>
        <w:t xml:space="preserve">land </w:t>
      </w:r>
      <w:r w:rsidRPr="00143C79">
        <w:rPr>
          <w:rFonts w:ascii="Cambria" w:eastAsia="Times New Roman" w:hAnsi="Cambria" w:cs="Cambria"/>
          <w:sz w:val="24"/>
          <w:szCs w:val="24"/>
          <w:lang w:val="en-GB"/>
        </w:rPr>
        <w:t xml:space="preserve">access, </w:t>
      </w:r>
      <w:r w:rsidR="006771C4" w:rsidRPr="00143C79">
        <w:rPr>
          <w:rFonts w:ascii="Cambria" w:eastAsia="Times New Roman" w:hAnsi="Cambria" w:cs="Cambria"/>
          <w:sz w:val="24"/>
          <w:szCs w:val="24"/>
          <w:lang w:val="en-GB"/>
        </w:rPr>
        <w:t>permits</w:t>
      </w:r>
      <w:r w:rsidRPr="00143C79">
        <w:rPr>
          <w:rFonts w:ascii="Cambria" w:eastAsia="Times New Roman" w:hAnsi="Cambria" w:cs="Cambria"/>
          <w:sz w:val="24"/>
          <w:szCs w:val="24"/>
          <w:lang w:val="en-GB"/>
        </w:rPr>
        <w:t xml:space="preserve"> which were not obtained in due time, changes by NAPP in the tender validation procedures</w:t>
      </w:r>
      <w:r w:rsidRPr="00143C79">
        <w:rPr>
          <w:rFonts w:ascii="Cambria" w:eastAsia="Times New Roman" w:hAnsi="Cambria" w:cs="Times New Roman"/>
          <w:sz w:val="24"/>
          <w:szCs w:val="24"/>
          <w:lang w:val="en-GB" w:eastAsia="ro-RO"/>
        </w:rPr>
        <w:t xml:space="preserve">, etc. </w:t>
      </w:r>
      <w:r w:rsidR="00A42E0F" w:rsidRPr="00143C79">
        <w:rPr>
          <w:rFonts w:ascii="Cambria" w:eastAsia="Times New Roman" w:hAnsi="Cambria" w:cs="Times New Roman"/>
          <w:sz w:val="24"/>
          <w:szCs w:val="24"/>
          <w:lang w:val="en-GB" w:eastAsia="ro-RO"/>
        </w:rPr>
        <w:t xml:space="preserve"> </w:t>
      </w:r>
    </w:p>
    <w:p w:rsidR="00A92B54" w:rsidRPr="00322BD0" w:rsidRDefault="00A92B54" w:rsidP="00E11FEB">
      <w:pPr>
        <w:spacing w:after="0" w:line="240" w:lineRule="auto"/>
        <w:ind w:firstLine="0"/>
        <w:jc w:val="both"/>
        <w:rPr>
          <w:rFonts w:ascii="Cambria" w:hAnsi="Cambria"/>
          <w:sz w:val="24"/>
          <w:szCs w:val="24"/>
          <w:lang w:val="en-GB"/>
        </w:rPr>
      </w:pPr>
    </w:p>
    <w:p w:rsidR="00A92B54" w:rsidRPr="00322BD0" w:rsidRDefault="0097146F" w:rsidP="00A92B54">
      <w:pPr>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Times New Roman"/>
          <w:b/>
          <w:sz w:val="24"/>
          <w:szCs w:val="24"/>
          <w:lang w:val="en-GB" w:eastAsia="ro-RO"/>
        </w:rPr>
        <w:t>T</w:t>
      </w:r>
      <w:r w:rsidR="00A92B54" w:rsidRPr="00322BD0">
        <w:rPr>
          <w:rFonts w:ascii="Cambria" w:eastAsia="Times New Roman" w:hAnsi="Cambria" w:cs="Times New Roman"/>
          <w:b/>
          <w:sz w:val="24"/>
          <w:szCs w:val="24"/>
          <w:lang w:val="en-GB" w:eastAsia="ro-RO"/>
        </w:rPr>
        <w:t xml:space="preserve">he causes that led to the fulfilment of the </w:t>
      </w:r>
      <w:r w:rsidR="00CD2A65">
        <w:rPr>
          <w:rFonts w:ascii="Cambria" w:eastAsia="Times New Roman" w:hAnsi="Cambria" w:cs="Times New Roman"/>
          <w:b/>
          <w:sz w:val="24"/>
          <w:szCs w:val="24"/>
          <w:lang w:val="en-GB" w:eastAsia="ro-RO"/>
        </w:rPr>
        <w:t>2016</w:t>
      </w:r>
      <w:r w:rsidRPr="00322BD0">
        <w:rPr>
          <w:rFonts w:ascii="Cambria" w:eastAsia="Times New Roman" w:hAnsi="Cambria" w:cs="Times New Roman"/>
          <w:b/>
          <w:sz w:val="24"/>
          <w:szCs w:val="24"/>
          <w:lang w:val="en-GB" w:eastAsia="ro-RO"/>
        </w:rPr>
        <w:t xml:space="preserve"> </w:t>
      </w:r>
      <w:r w:rsidR="00A92B54" w:rsidRPr="00322BD0">
        <w:rPr>
          <w:rFonts w:ascii="Cambria" w:eastAsia="Times New Roman" w:hAnsi="Cambria" w:cs="Times New Roman"/>
          <w:b/>
          <w:sz w:val="24"/>
          <w:szCs w:val="24"/>
          <w:lang w:val="en-GB" w:eastAsia="ro-RO"/>
        </w:rPr>
        <w:t>investment modernization and development program</w:t>
      </w:r>
      <w:r w:rsidRPr="00322BD0">
        <w:rPr>
          <w:rFonts w:ascii="Cambria" w:eastAsia="Times New Roman" w:hAnsi="Cambria" w:cs="Times New Roman"/>
          <w:b/>
          <w:sz w:val="24"/>
          <w:szCs w:val="24"/>
          <w:lang w:val="en-GB" w:eastAsia="ro-RO"/>
        </w:rPr>
        <w:t>me</w:t>
      </w:r>
      <w:r w:rsidR="00A92B54" w:rsidRPr="00322BD0">
        <w:rPr>
          <w:rFonts w:ascii="Cambria" w:eastAsia="Times New Roman" w:hAnsi="Cambria" w:cs="Times New Roman"/>
          <w:b/>
          <w:sz w:val="24"/>
          <w:szCs w:val="24"/>
          <w:lang w:val="en-GB" w:eastAsia="ro-RO"/>
        </w:rPr>
        <w:t xml:space="preserve"> </w:t>
      </w:r>
      <w:r w:rsidR="00B812A7" w:rsidRPr="00322BD0">
        <w:rPr>
          <w:rFonts w:ascii="Cambria" w:eastAsia="Times New Roman" w:hAnsi="Cambria" w:cs="Times New Roman"/>
          <w:b/>
          <w:sz w:val="24"/>
          <w:szCs w:val="24"/>
          <w:lang w:val="en-GB" w:eastAsia="ro-RO"/>
        </w:rPr>
        <w:t xml:space="preserve">in a percentage of only </w:t>
      </w:r>
      <w:r w:rsidR="00BC4E92" w:rsidRPr="008A589C">
        <w:rPr>
          <w:rFonts w:asciiTheme="majorHAnsi" w:eastAsia="Times New Roman" w:hAnsiTheme="majorHAnsi" w:cs="Times New Roman"/>
          <w:b/>
          <w:sz w:val="24"/>
          <w:szCs w:val="24"/>
          <w:lang w:val="fr-FR" w:eastAsia="ro-RO"/>
        </w:rPr>
        <w:t xml:space="preserve">16,60%, </w:t>
      </w:r>
      <w:r w:rsidR="00A92B54" w:rsidRPr="00322BD0">
        <w:rPr>
          <w:rFonts w:ascii="Cambria" w:eastAsia="Times New Roman" w:hAnsi="Cambria" w:cs="Times New Roman"/>
          <w:b/>
          <w:sz w:val="24"/>
          <w:szCs w:val="24"/>
          <w:lang w:val="en-GB" w:eastAsia="ro-RO"/>
        </w:rPr>
        <w:t>are presen</w:t>
      </w:r>
      <w:r w:rsidR="00B812A7" w:rsidRPr="00322BD0">
        <w:rPr>
          <w:rFonts w:ascii="Cambria" w:eastAsia="Times New Roman" w:hAnsi="Cambria" w:cs="Times New Roman"/>
          <w:b/>
          <w:sz w:val="24"/>
          <w:szCs w:val="24"/>
          <w:lang w:val="en-GB" w:eastAsia="ro-RO"/>
        </w:rPr>
        <w:t xml:space="preserve">ted </w:t>
      </w:r>
      <w:r w:rsidRPr="00322BD0">
        <w:rPr>
          <w:rFonts w:ascii="Cambria" w:eastAsia="Times New Roman" w:hAnsi="Cambria" w:cs="Times New Roman"/>
          <w:b/>
          <w:sz w:val="24"/>
          <w:szCs w:val="24"/>
          <w:lang w:val="en-GB" w:eastAsia="ro-RO"/>
        </w:rPr>
        <w:t xml:space="preserve">in detail </w:t>
      </w:r>
      <w:r w:rsidR="00B812A7" w:rsidRPr="00322BD0">
        <w:rPr>
          <w:rFonts w:ascii="Cambria" w:eastAsia="Times New Roman" w:hAnsi="Cambria" w:cs="Times New Roman"/>
          <w:b/>
          <w:sz w:val="24"/>
          <w:szCs w:val="24"/>
          <w:lang w:val="en-GB" w:eastAsia="ro-RO"/>
        </w:rPr>
        <w:t xml:space="preserve">in Chapter </w:t>
      </w:r>
      <w:r w:rsidR="00A92B54" w:rsidRPr="00322BD0">
        <w:rPr>
          <w:rFonts w:ascii="Cambria" w:eastAsia="Times New Roman" w:hAnsi="Cambria" w:cs="Times New Roman"/>
          <w:b/>
          <w:sz w:val="24"/>
          <w:szCs w:val="24"/>
          <w:lang w:val="en-GB" w:eastAsia="ro-RO"/>
        </w:rPr>
        <w:t>3.2.2.</w:t>
      </w:r>
    </w:p>
    <w:p w:rsidR="00401654" w:rsidRPr="00322BD0" w:rsidRDefault="00401654" w:rsidP="00783814">
      <w:pPr>
        <w:spacing w:after="0" w:line="240" w:lineRule="auto"/>
        <w:ind w:firstLine="0"/>
        <w:jc w:val="both"/>
        <w:rPr>
          <w:rFonts w:ascii="Cambria" w:eastAsia="Times New Roman" w:hAnsi="Cambria" w:cs="Times New Roman"/>
          <w:b/>
          <w:sz w:val="24"/>
          <w:szCs w:val="24"/>
          <w:lang w:val="en-GB" w:eastAsia="ro-RO"/>
        </w:rPr>
      </w:pPr>
    </w:p>
    <w:p w:rsidR="00E675B7" w:rsidRPr="00322BD0" w:rsidRDefault="00E675B7" w:rsidP="00783814">
      <w:pPr>
        <w:spacing w:after="0" w:line="240" w:lineRule="auto"/>
        <w:ind w:firstLine="0"/>
        <w:jc w:val="both"/>
        <w:rPr>
          <w:rFonts w:ascii="Cambria" w:eastAsia="Times New Roman" w:hAnsi="Cambria" w:cs="Times New Roman"/>
          <w:b/>
          <w:sz w:val="24"/>
          <w:szCs w:val="24"/>
          <w:lang w:val="en-GB" w:eastAsia="ro-RO"/>
        </w:rPr>
      </w:pPr>
    </w:p>
    <w:p w:rsidR="00FF78F6" w:rsidRPr="00322BD0" w:rsidRDefault="00704E8A" w:rsidP="00F1112F">
      <w:pPr>
        <w:shd w:val="clear" w:color="auto" w:fill="DBE5F1" w:themeFill="accent1" w:themeFillTint="33"/>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Times New Roman"/>
          <w:b/>
          <w:sz w:val="24"/>
          <w:szCs w:val="24"/>
          <w:lang w:val="en-GB" w:eastAsia="ro-RO"/>
        </w:rPr>
        <w:t>SCADA</w:t>
      </w:r>
    </w:p>
    <w:p w:rsidR="00A86F51" w:rsidRPr="00322BD0" w:rsidRDefault="00A86F51" w:rsidP="00783814">
      <w:pPr>
        <w:spacing w:after="0" w:line="240" w:lineRule="auto"/>
        <w:ind w:firstLine="0"/>
        <w:jc w:val="both"/>
        <w:rPr>
          <w:rFonts w:ascii="Cambria" w:eastAsia="Times New Roman" w:hAnsi="Cambria" w:cs="Times New Roman"/>
          <w:b/>
          <w:sz w:val="24"/>
          <w:szCs w:val="24"/>
          <w:lang w:val="en-GB" w:eastAsia="ro-RO"/>
        </w:rPr>
      </w:pPr>
    </w:p>
    <w:p w:rsidR="00A92B54" w:rsidRDefault="00A92B54" w:rsidP="00A86F51">
      <w:pPr>
        <w:spacing w:after="0" w:line="240" w:lineRule="auto"/>
        <w:ind w:firstLine="0"/>
        <w:jc w:val="both"/>
        <w:rPr>
          <w:rFonts w:ascii="Cambria" w:hAnsi="Cambria"/>
          <w:sz w:val="24"/>
          <w:szCs w:val="24"/>
          <w:lang w:val="en-GB"/>
        </w:rPr>
      </w:pPr>
      <w:r w:rsidRPr="00322BD0">
        <w:rPr>
          <w:rFonts w:ascii="Cambria" w:eastAsia="TimesNewRoman" w:hAnsi="Cambria"/>
          <w:sz w:val="24"/>
          <w:szCs w:val="24"/>
          <w:lang w:val="en-GB"/>
        </w:rPr>
        <w:t xml:space="preserve">An important direction for the improvement of the quality </w:t>
      </w:r>
      <w:r w:rsidR="00520267" w:rsidRPr="00322BD0">
        <w:rPr>
          <w:rFonts w:ascii="Cambria" w:eastAsia="TimesNewRoman" w:hAnsi="Cambria"/>
          <w:sz w:val="24"/>
          <w:szCs w:val="24"/>
          <w:lang w:val="en-GB"/>
        </w:rPr>
        <w:t xml:space="preserve">of the execution and the efficiency of the operational activity of SNTGN Transgaz SA Mediaş </w:t>
      </w:r>
      <w:r w:rsidR="00CD2A65">
        <w:rPr>
          <w:rFonts w:ascii="Cambria" w:eastAsia="TimesNewRoman" w:hAnsi="Cambria"/>
          <w:sz w:val="24"/>
          <w:szCs w:val="24"/>
          <w:lang w:val="en-GB"/>
        </w:rPr>
        <w:t xml:space="preserve">was </w:t>
      </w:r>
      <w:r w:rsidR="00520267" w:rsidRPr="00322BD0">
        <w:rPr>
          <w:rFonts w:ascii="Cambria" w:eastAsia="TimesNewRoman" w:hAnsi="Cambria"/>
          <w:sz w:val="24"/>
          <w:szCs w:val="24"/>
          <w:lang w:val="en-GB"/>
        </w:rPr>
        <w:t xml:space="preserve"> the implementation of the Data control and acquisition System </w:t>
      </w:r>
      <w:r w:rsidR="00520267" w:rsidRPr="00322BD0">
        <w:rPr>
          <w:rFonts w:ascii="Cambria" w:hAnsi="Cambria"/>
          <w:sz w:val="24"/>
          <w:szCs w:val="24"/>
          <w:lang w:val="en-GB"/>
        </w:rPr>
        <w:t xml:space="preserve">(SCADA), which </w:t>
      </w:r>
      <w:r w:rsidR="00CD2A65">
        <w:rPr>
          <w:rFonts w:ascii="Cambria" w:hAnsi="Cambria"/>
          <w:sz w:val="24"/>
          <w:szCs w:val="24"/>
          <w:lang w:val="en-GB"/>
        </w:rPr>
        <w:t xml:space="preserve">was also </w:t>
      </w:r>
      <w:r w:rsidR="00520267" w:rsidRPr="00322BD0">
        <w:rPr>
          <w:rFonts w:ascii="Cambria" w:hAnsi="Cambria"/>
          <w:sz w:val="24"/>
          <w:szCs w:val="24"/>
          <w:lang w:val="en-GB"/>
        </w:rPr>
        <w:t xml:space="preserve"> a legal obligation, provided initially in Art 25 of Gas Law no. 351/2004 and reiterrated in Art. 130, point c, of Natural gas and Electricity Law no. 123/2012.</w:t>
      </w:r>
    </w:p>
    <w:p w:rsidR="00CD2A65" w:rsidRPr="00945A8E" w:rsidRDefault="00502984" w:rsidP="00CD2A65">
      <w:pPr>
        <w:spacing w:after="0" w:line="240" w:lineRule="auto"/>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Considering</w:t>
      </w:r>
      <w:r w:rsidR="00CD2A65" w:rsidRPr="00945A8E">
        <w:rPr>
          <w:rFonts w:asciiTheme="majorHAnsi" w:eastAsia="Times New Roman" w:hAnsiTheme="majorHAnsi" w:cs="Times New Roman"/>
          <w:sz w:val="24"/>
          <w:szCs w:val="24"/>
          <w:lang w:val="ro-RO" w:eastAsia="ro-RO"/>
        </w:rPr>
        <w:t>:</w:t>
      </w:r>
    </w:p>
    <w:p w:rsidR="00502984" w:rsidRDefault="00502984" w:rsidP="00FA6EB9">
      <w:pPr>
        <w:pStyle w:val="ListParagraph"/>
        <w:numPr>
          <w:ilvl w:val="0"/>
          <w:numId w:val="94"/>
        </w:numPr>
        <w:spacing w:after="0" w:line="240" w:lineRule="auto"/>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The completion of the implementation of the SCADA project;</w:t>
      </w:r>
    </w:p>
    <w:p w:rsidR="00502984" w:rsidRDefault="008A596E" w:rsidP="00FA6EB9">
      <w:pPr>
        <w:pStyle w:val="ListParagraph"/>
        <w:numPr>
          <w:ilvl w:val="0"/>
          <w:numId w:val="94"/>
        </w:numPr>
        <w:spacing w:after="0" w:line="240" w:lineRule="auto"/>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 xml:space="preserve">The warranty/maintenance period following the </w:t>
      </w:r>
      <w:r w:rsidR="004B1484">
        <w:rPr>
          <w:rFonts w:asciiTheme="majorHAnsi" w:eastAsia="Times New Roman" w:hAnsiTheme="majorHAnsi" w:cs="Times New Roman"/>
          <w:sz w:val="24"/>
          <w:szCs w:val="24"/>
          <w:lang w:val="ro-RO" w:eastAsia="ro-RO"/>
        </w:rPr>
        <w:t xml:space="preserve">end </w:t>
      </w:r>
      <w:r>
        <w:rPr>
          <w:rFonts w:asciiTheme="majorHAnsi" w:eastAsia="Times New Roman" w:hAnsiTheme="majorHAnsi" w:cs="Times New Roman"/>
          <w:sz w:val="24"/>
          <w:szCs w:val="24"/>
          <w:lang w:val="ro-RO" w:eastAsia="ro-RO"/>
        </w:rPr>
        <w:t xml:space="preserve">of the Grant </w:t>
      </w:r>
      <w:r w:rsidR="00B72F33">
        <w:rPr>
          <w:rFonts w:asciiTheme="majorHAnsi" w:eastAsia="Times New Roman" w:hAnsiTheme="majorHAnsi" w:cs="Times New Roman"/>
          <w:sz w:val="24"/>
          <w:szCs w:val="24"/>
          <w:lang w:val="ro-RO" w:eastAsia="ro-RO"/>
        </w:rPr>
        <w:t>Agreement</w:t>
      </w:r>
      <w:r>
        <w:rPr>
          <w:rFonts w:asciiTheme="majorHAnsi" w:eastAsia="Times New Roman" w:hAnsiTheme="majorHAnsi" w:cs="Times New Roman"/>
          <w:sz w:val="24"/>
          <w:szCs w:val="24"/>
          <w:lang w:val="ro-RO" w:eastAsia="ro-RO"/>
        </w:rPr>
        <w:t xml:space="preserve">   </w:t>
      </w:r>
    </w:p>
    <w:p w:rsidR="00CD2A65" w:rsidRPr="008A596E" w:rsidRDefault="00CD2A65" w:rsidP="008A596E">
      <w:pPr>
        <w:spacing w:after="0" w:line="240" w:lineRule="auto"/>
        <w:ind w:left="360" w:firstLine="0"/>
        <w:jc w:val="both"/>
        <w:rPr>
          <w:rFonts w:asciiTheme="majorHAnsi" w:eastAsia="Times New Roman" w:hAnsiTheme="majorHAnsi" w:cs="Times New Roman"/>
          <w:sz w:val="24"/>
          <w:szCs w:val="24"/>
          <w:lang w:val="ro-RO" w:eastAsia="ro-RO"/>
        </w:rPr>
      </w:pPr>
      <w:r w:rsidRPr="008A596E">
        <w:rPr>
          <w:rFonts w:asciiTheme="majorHAnsi" w:eastAsia="Times New Roman" w:hAnsiTheme="majorHAnsi" w:cs="Times New Roman"/>
          <w:sz w:val="24"/>
          <w:szCs w:val="24"/>
          <w:lang w:val="ro-RO" w:eastAsia="ro-RO"/>
        </w:rPr>
        <w:t>17095/2009;</w:t>
      </w:r>
    </w:p>
    <w:p w:rsidR="008A596E" w:rsidRDefault="002A537A" w:rsidP="00FA6EB9">
      <w:pPr>
        <w:pStyle w:val="ListParagraph"/>
        <w:numPr>
          <w:ilvl w:val="0"/>
          <w:numId w:val="94"/>
        </w:numPr>
        <w:spacing w:after="0" w:line="240" w:lineRule="auto"/>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 xml:space="preserve">The </w:t>
      </w:r>
      <w:r w:rsidR="004B1484">
        <w:rPr>
          <w:rFonts w:asciiTheme="majorHAnsi" w:eastAsia="Times New Roman" w:hAnsiTheme="majorHAnsi" w:cs="Times New Roman"/>
          <w:sz w:val="24"/>
          <w:szCs w:val="24"/>
          <w:lang w:val="ro-RO" w:eastAsia="ro-RO"/>
        </w:rPr>
        <w:t xml:space="preserve">durability period arising as a result of the end of the Grant Contract  </w:t>
      </w:r>
      <w:r w:rsidR="004B1484" w:rsidRPr="00945A8E">
        <w:rPr>
          <w:rFonts w:asciiTheme="majorHAnsi" w:eastAsia="Times New Roman" w:hAnsiTheme="majorHAnsi" w:cs="Times New Roman"/>
          <w:sz w:val="24"/>
          <w:szCs w:val="24"/>
          <w:lang w:val="ro-RO" w:eastAsia="ro-RO"/>
        </w:rPr>
        <w:t>5 T/2012;</w:t>
      </w:r>
    </w:p>
    <w:p w:rsidR="004B1484" w:rsidRDefault="004B1484" w:rsidP="00FA6EB9">
      <w:pPr>
        <w:pStyle w:val="ListParagraph"/>
        <w:numPr>
          <w:ilvl w:val="0"/>
          <w:numId w:val="94"/>
        </w:numPr>
        <w:spacing w:after="0" w:line="240" w:lineRule="auto"/>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The necessity to thoroughly monitor from a technological point of view the interaction of the industrial systems implemented at the level of the NTS (SCADA system, automation and control systems, etc.);</w:t>
      </w:r>
    </w:p>
    <w:p w:rsidR="004B1484" w:rsidRDefault="004B1484" w:rsidP="00CD2A65">
      <w:pPr>
        <w:spacing w:after="0" w:line="240" w:lineRule="auto"/>
        <w:ind w:firstLine="0"/>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ro-RO" w:eastAsia="ro-RO"/>
        </w:rPr>
        <w:t xml:space="preserve">The company’s management decided by the Decision of the Board of Administration </w:t>
      </w:r>
      <w:r w:rsidRPr="00945A8E">
        <w:rPr>
          <w:rFonts w:asciiTheme="majorHAnsi" w:eastAsia="Times New Roman" w:hAnsiTheme="majorHAnsi" w:cs="Times New Roman"/>
          <w:sz w:val="24"/>
          <w:szCs w:val="24"/>
          <w:lang w:val="ro-RO" w:eastAsia="ro-RO"/>
        </w:rPr>
        <w:t>HCA 29/2016</w:t>
      </w:r>
      <w:r>
        <w:rPr>
          <w:rFonts w:asciiTheme="majorHAnsi" w:eastAsia="Times New Roman" w:hAnsiTheme="majorHAnsi" w:cs="Times New Roman"/>
          <w:sz w:val="24"/>
          <w:szCs w:val="24"/>
          <w:lang w:val="ro-RO" w:eastAsia="ro-RO"/>
        </w:rPr>
        <w:t xml:space="preserve"> to establish within the Operation Division of the Automations and SCADA Unit. </w:t>
      </w:r>
    </w:p>
    <w:p w:rsidR="00CD2A65" w:rsidRPr="00945A8E" w:rsidRDefault="00CD2A65" w:rsidP="00CD2A65">
      <w:pPr>
        <w:spacing w:after="0" w:line="240" w:lineRule="auto"/>
        <w:jc w:val="both"/>
        <w:rPr>
          <w:rFonts w:asciiTheme="majorHAnsi" w:eastAsia="Times New Roman" w:hAnsiTheme="majorHAnsi" w:cs="Times New Roman"/>
          <w:color w:val="FF0000"/>
          <w:sz w:val="24"/>
          <w:szCs w:val="24"/>
          <w:lang w:val="fr-FR" w:eastAsia="ro-RO"/>
        </w:rPr>
      </w:pPr>
    </w:p>
    <w:p w:rsidR="004B1484" w:rsidRDefault="004B1484" w:rsidP="00CD2A65">
      <w:pPr>
        <w:spacing w:after="0" w:line="240" w:lineRule="auto"/>
        <w:ind w:firstLine="0"/>
        <w:jc w:val="both"/>
        <w:rPr>
          <w:rFonts w:asciiTheme="majorHAnsi" w:eastAsia="Times New Roman" w:hAnsiTheme="majorHAnsi" w:cs="Times New Roman"/>
          <w:sz w:val="24"/>
          <w:szCs w:val="24"/>
          <w:lang w:val="ro-RO" w:eastAsia="ro-RO"/>
        </w:rPr>
      </w:pPr>
      <w:r>
        <w:rPr>
          <w:rFonts w:asciiTheme="majorHAnsi" w:eastAsia="Times New Roman" w:hAnsiTheme="majorHAnsi" w:cs="Times New Roman"/>
          <w:sz w:val="24"/>
          <w:szCs w:val="24"/>
          <w:lang w:val="fr-FR" w:eastAsia="ro-RO"/>
        </w:rPr>
        <w:t>The main activities of the SCADA PMU/</w:t>
      </w:r>
      <w:r w:rsidRPr="004B1484">
        <w:rPr>
          <w:rFonts w:asciiTheme="majorHAnsi" w:eastAsia="Times New Roman" w:hAnsiTheme="majorHAnsi" w:cs="Times New Roman"/>
          <w:sz w:val="24"/>
          <w:szCs w:val="24"/>
          <w:lang w:val="ro-RO" w:eastAsia="ro-RO"/>
        </w:rPr>
        <w:t xml:space="preserve"> </w:t>
      </w:r>
      <w:r>
        <w:rPr>
          <w:rFonts w:asciiTheme="majorHAnsi" w:eastAsia="Times New Roman" w:hAnsiTheme="majorHAnsi" w:cs="Times New Roman"/>
          <w:sz w:val="24"/>
          <w:szCs w:val="24"/>
          <w:lang w:val="ro-RO" w:eastAsia="ro-RO"/>
        </w:rPr>
        <w:t xml:space="preserve">Automations and SCADA Unit </w:t>
      </w:r>
      <w:r w:rsidR="008B4082">
        <w:rPr>
          <w:rFonts w:asciiTheme="majorHAnsi" w:eastAsia="Times New Roman" w:hAnsiTheme="majorHAnsi" w:cs="Times New Roman"/>
          <w:sz w:val="24"/>
          <w:szCs w:val="24"/>
          <w:lang w:val="ro-RO" w:eastAsia="ro-RO"/>
        </w:rPr>
        <w:t>in 2016 were the implementation of the provisions of the contracts:</w:t>
      </w:r>
    </w:p>
    <w:p w:rsidR="00A42E0F" w:rsidRDefault="00A42E0F" w:rsidP="00CD2A65">
      <w:pPr>
        <w:spacing w:after="0" w:line="240" w:lineRule="auto"/>
        <w:ind w:firstLine="0"/>
        <w:jc w:val="both"/>
        <w:rPr>
          <w:rFonts w:asciiTheme="majorHAnsi" w:eastAsia="Times New Roman" w:hAnsiTheme="majorHAnsi" w:cs="Times New Roman"/>
          <w:sz w:val="24"/>
          <w:szCs w:val="24"/>
          <w:lang w:val="fr-FR" w:eastAsia="ro-RO"/>
        </w:rPr>
      </w:pPr>
    </w:p>
    <w:p w:rsidR="008B4082" w:rsidRPr="008B4082" w:rsidRDefault="008B4082" w:rsidP="00CD2A65">
      <w:pPr>
        <w:spacing w:after="0" w:line="240" w:lineRule="auto"/>
        <w:ind w:firstLine="0"/>
        <w:jc w:val="both"/>
        <w:rPr>
          <w:rFonts w:asciiTheme="majorHAnsi" w:eastAsia="Times New Roman" w:hAnsiTheme="majorHAnsi" w:cs="Times New Roman"/>
          <w:b/>
          <w:sz w:val="24"/>
          <w:szCs w:val="24"/>
          <w:lang w:val="fr-FR" w:eastAsia="ro-RO"/>
        </w:rPr>
      </w:pPr>
      <w:r w:rsidRPr="008B4082">
        <w:rPr>
          <w:rFonts w:asciiTheme="majorHAnsi" w:eastAsia="Times New Roman" w:hAnsiTheme="majorHAnsi" w:cs="Times New Roman"/>
          <w:b/>
          <w:sz w:val="24"/>
          <w:szCs w:val="24"/>
          <w:lang w:val="fr-FR" w:eastAsia="ro-RO"/>
        </w:rPr>
        <w:t>Supply</w:t>
      </w:r>
      <w:r>
        <w:rPr>
          <w:rFonts w:asciiTheme="majorHAnsi" w:eastAsia="Times New Roman" w:hAnsiTheme="majorHAnsi" w:cs="Times New Roman"/>
          <w:b/>
          <w:sz w:val="24"/>
          <w:szCs w:val="24"/>
          <w:lang w:val="fr-FR" w:eastAsia="ro-RO"/>
        </w:rPr>
        <w:t xml:space="preserve"> contract no. </w:t>
      </w:r>
      <w:r w:rsidRPr="00945A8E">
        <w:rPr>
          <w:rFonts w:asciiTheme="majorHAnsi" w:eastAsia="Calibri" w:hAnsiTheme="majorHAnsi" w:cs="Times New Roman"/>
          <w:b/>
          <w:sz w:val="24"/>
          <w:szCs w:val="24"/>
          <w:lang w:val="ro-RO"/>
        </w:rPr>
        <w:t>17095/2009 –</w:t>
      </w:r>
      <w:r>
        <w:rPr>
          <w:rFonts w:asciiTheme="majorHAnsi" w:eastAsia="Calibri" w:hAnsiTheme="majorHAnsi" w:cs="Times New Roman"/>
          <w:b/>
          <w:sz w:val="24"/>
          <w:szCs w:val="24"/>
          <w:lang w:val="ro-RO"/>
        </w:rPr>
        <w:t xml:space="preserve"> „SCADA System for the national gas transmission system”:</w:t>
      </w:r>
    </w:p>
    <w:p w:rsidR="008B4082" w:rsidRPr="008B4082" w:rsidRDefault="008B4082" w:rsidP="00FA6EB9">
      <w:pPr>
        <w:numPr>
          <w:ilvl w:val="0"/>
          <w:numId w:val="95"/>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On 15.01.2016 the Report on the Commissioning of the „SCADA System for the national gas transmission system” was successfully concluded following the examination of the submitted documentation, of the technological probes and the examination in the field of the executed works;</w:t>
      </w:r>
    </w:p>
    <w:p w:rsidR="008B4082" w:rsidRPr="008B4082" w:rsidRDefault="008B4082" w:rsidP="00FA6EB9">
      <w:pPr>
        <w:numPr>
          <w:ilvl w:val="0"/>
          <w:numId w:val="95"/>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According to the provisions of the Supply contract no. </w:t>
      </w:r>
      <w:r w:rsidRPr="00945A8E">
        <w:rPr>
          <w:rFonts w:asciiTheme="majorHAnsi" w:eastAsia="Calibri" w:hAnsiTheme="majorHAnsi" w:cs="Times New Roman"/>
          <w:sz w:val="24"/>
          <w:szCs w:val="24"/>
          <w:lang w:val="ro-RO"/>
        </w:rPr>
        <w:t>17095/2009,</w:t>
      </w:r>
      <w:r>
        <w:rPr>
          <w:rFonts w:asciiTheme="majorHAnsi" w:eastAsia="Calibri" w:hAnsiTheme="majorHAnsi" w:cs="Times New Roman"/>
          <w:sz w:val="24"/>
          <w:szCs w:val="24"/>
          <w:lang w:val="ro-RO"/>
        </w:rPr>
        <w:t xml:space="preserve"> </w:t>
      </w:r>
      <w:r w:rsidR="00F604F5">
        <w:rPr>
          <w:rFonts w:asciiTheme="majorHAnsi" w:eastAsia="Calibri" w:hAnsiTheme="majorHAnsi" w:cs="Times New Roman"/>
          <w:sz w:val="24"/>
          <w:szCs w:val="24"/>
          <w:lang w:val="ro-RO"/>
        </w:rPr>
        <w:t>during 2016, to be continued until the end of 2018, the Consortium carries out  under the direct surveillance of the representatives of SCADA PMU /</w:t>
      </w:r>
      <w:r w:rsidR="00F604F5">
        <w:rPr>
          <w:rFonts w:asciiTheme="majorHAnsi" w:eastAsia="Times New Roman" w:hAnsiTheme="majorHAnsi" w:cs="Times New Roman"/>
          <w:sz w:val="24"/>
          <w:szCs w:val="24"/>
          <w:lang w:val="ro-RO" w:eastAsia="ro-RO"/>
        </w:rPr>
        <w:t xml:space="preserve">Automations and SCADA Unit specific maintenance/guarrantee activities related to the </w:t>
      </w:r>
      <w:r w:rsidR="00F604F5">
        <w:rPr>
          <w:rFonts w:asciiTheme="majorHAnsi" w:eastAsia="Calibri" w:hAnsiTheme="majorHAnsi" w:cs="Times New Roman"/>
          <w:sz w:val="24"/>
          <w:szCs w:val="24"/>
          <w:lang w:val="ro-RO"/>
        </w:rPr>
        <w:t>„SCADA System for the natio</w:t>
      </w:r>
      <w:r w:rsidR="00A42E0F">
        <w:rPr>
          <w:rFonts w:asciiTheme="majorHAnsi" w:eastAsia="Calibri" w:hAnsiTheme="majorHAnsi" w:cs="Times New Roman"/>
          <w:sz w:val="24"/>
          <w:szCs w:val="24"/>
          <w:lang w:val="ro-RO"/>
        </w:rPr>
        <w:t>nal gas transmission system”.</w:t>
      </w:r>
    </w:p>
    <w:p w:rsidR="00CD2A65" w:rsidRDefault="00CD2A65" w:rsidP="00CD2A65">
      <w:pPr>
        <w:spacing w:after="0" w:line="240" w:lineRule="auto"/>
        <w:ind w:firstLine="0"/>
        <w:contextualSpacing/>
        <w:jc w:val="both"/>
        <w:rPr>
          <w:rFonts w:asciiTheme="majorHAnsi" w:eastAsia="Calibri" w:hAnsiTheme="majorHAnsi" w:cs="Times New Roman"/>
          <w:sz w:val="24"/>
          <w:szCs w:val="24"/>
          <w:lang w:val="ro-RO"/>
        </w:rPr>
      </w:pPr>
    </w:p>
    <w:p w:rsidR="00F604F5" w:rsidRPr="00BC4E92" w:rsidRDefault="00B72F33" w:rsidP="00B72F33">
      <w:pPr>
        <w:spacing w:after="0" w:line="240" w:lineRule="auto"/>
        <w:ind w:firstLine="0"/>
        <w:contextualSpacing/>
        <w:jc w:val="both"/>
        <w:rPr>
          <w:rFonts w:asciiTheme="majorHAnsi" w:eastAsia="Calibri" w:hAnsiTheme="majorHAnsi" w:cs="Times New Roman"/>
          <w:b/>
          <w:sz w:val="24"/>
          <w:szCs w:val="24"/>
          <w:lang w:val="ro-RO"/>
        </w:rPr>
      </w:pPr>
      <w:r w:rsidRPr="00BC4E92">
        <w:rPr>
          <w:rFonts w:asciiTheme="majorHAnsi" w:eastAsia="Calibri" w:hAnsiTheme="majorHAnsi" w:cs="Times New Roman"/>
          <w:b/>
          <w:sz w:val="24"/>
          <w:szCs w:val="24"/>
          <w:lang w:val="ro-RO"/>
        </w:rPr>
        <w:t xml:space="preserve">Grant Agreement </w:t>
      </w:r>
      <w:r w:rsidR="00BC4E92" w:rsidRPr="00BC4E92">
        <w:rPr>
          <w:rFonts w:asciiTheme="majorHAnsi" w:eastAsia="Calibri" w:hAnsiTheme="majorHAnsi" w:cs="Times New Roman"/>
          <w:b/>
          <w:sz w:val="24"/>
          <w:szCs w:val="24"/>
          <w:lang w:val="ro-RO"/>
        </w:rPr>
        <w:t xml:space="preserve">5T/2012 </w:t>
      </w:r>
      <w:r w:rsidRPr="00BC4E92">
        <w:rPr>
          <w:rFonts w:asciiTheme="majorHAnsi" w:eastAsia="Calibri" w:hAnsiTheme="majorHAnsi" w:cs="Times New Roman"/>
          <w:b/>
          <w:sz w:val="24"/>
          <w:szCs w:val="24"/>
          <w:lang w:val="ro-RO"/>
        </w:rPr>
        <w:t>– „Implementation of a surveillance and automated data procurement system in the entire gas transmission system – SCADA”:</w:t>
      </w:r>
    </w:p>
    <w:p w:rsidR="00B72F33" w:rsidRPr="00B72F33" w:rsidRDefault="00B72F33" w:rsidP="00FA6EB9">
      <w:pPr>
        <w:numPr>
          <w:ilvl w:val="0"/>
          <w:numId w:val="96"/>
        </w:numPr>
        <w:spacing w:after="0" w:line="240" w:lineRule="auto"/>
        <w:ind w:left="714" w:hanging="357"/>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In quarter I 2016 </w:t>
      </w:r>
      <w:r w:rsidR="00991E34">
        <w:rPr>
          <w:rFonts w:asciiTheme="majorHAnsi" w:eastAsia="Calibri" w:hAnsiTheme="majorHAnsi" w:cs="Times New Roman"/>
          <w:sz w:val="24"/>
          <w:szCs w:val="24"/>
          <w:lang w:val="ro-RO"/>
        </w:rPr>
        <w:t xml:space="preserve">the documents related to the </w:t>
      </w:r>
      <w:r w:rsidR="002E3990">
        <w:rPr>
          <w:rFonts w:asciiTheme="majorHAnsi" w:eastAsia="Calibri" w:hAnsiTheme="majorHAnsi" w:cs="Times New Roman"/>
          <w:sz w:val="24"/>
          <w:szCs w:val="24"/>
          <w:lang w:val="ro-RO"/>
        </w:rPr>
        <w:t>A</w:t>
      </w:r>
      <w:r w:rsidR="003241F2">
        <w:rPr>
          <w:rFonts w:asciiTheme="majorHAnsi" w:eastAsia="Calibri" w:hAnsiTheme="majorHAnsi" w:cs="Times New Roman"/>
          <w:sz w:val="24"/>
          <w:szCs w:val="24"/>
          <w:lang w:val="ro-RO"/>
        </w:rPr>
        <w:t xml:space="preserve">pplication for Reimbursement no 3 – Final for the amount of RON </w:t>
      </w:r>
      <w:r w:rsidR="003241F2" w:rsidRPr="00945A8E">
        <w:rPr>
          <w:rFonts w:asciiTheme="majorHAnsi" w:eastAsia="Calibri" w:hAnsiTheme="majorHAnsi" w:cs="Times New Roman"/>
          <w:sz w:val="24"/>
          <w:szCs w:val="24"/>
          <w:lang w:val="ro-RO"/>
        </w:rPr>
        <w:t>7.754.616,84</w:t>
      </w:r>
      <w:r w:rsidR="003241F2">
        <w:rPr>
          <w:rFonts w:asciiTheme="majorHAnsi" w:eastAsia="Calibri" w:hAnsiTheme="majorHAnsi" w:cs="Times New Roman"/>
          <w:sz w:val="24"/>
          <w:szCs w:val="24"/>
          <w:lang w:val="ro-RO"/>
        </w:rPr>
        <w:t xml:space="preserve"> according to the specifications of the </w:t>
      </w:r>
      <w:r w:rsidR="002E3990">
        <w:rPr>
          <w:rFonts w:asciiTheme="majorHAnsi" w:eastAsia="Calibri" w:hAnsiTheme="majorHAnsi" w:cs="Times New Roman"/>
          <w:sz w:val="24"/>
          <w:szCs w:val="24"/>
          <w:lang w:val="ro-RO"/>
        </w:rPr>
        <w:t xml:space="preserve">Grant agreement </w:t>
      </w:r>
      <w:r w:rsidR="002E3990" w:rsidRPr="00945A8E">
        <w:rPr>
          <w:rFonts w:asciiTheme="majorHAnsi" w:eastAsia="Calibri" w:hAnsiTheme="majorHAnsi" w:cs="Times New Roman"/>
          <w:sz w:val="24"/>
          <w:szCs w:val="24"/>
          <w:lang w:val="ro-RO"/>
        </w:rPr>
        <w:t>5T/2012;</w:t>
      </w:r>
    </w:p>
    <w:p w:rsidR="002E3990" w:rsidRDefault="002E3990" w:rsidP="00FA6EB9">
      <w:pPr>
        <w:numPr>
          <w:ilvl w:val="0"/>
          <w:numId w:val="96"/>
        </w:numPr>
        <w:spacing w:after="0" w:line="240" w:lineRule="auto"/>
        <w:ind w:left="714" w:hanging="357"/>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In line with the reimbursement schedule, on 26.02.2016 the documents related to the Application for Reimbursement no 3 – Final for the amount of RON </w:t>
      </w:r>
      <w:r w:rsidRPr="00945A8E">
        <w:rPr>
          <w:rFonts w:asciiTheme="majorHAnsi" w:eastAsia="Calibri" w:hAnsiTheme="majorHAnsi" w:cs="Times New Roman"/>
          <w:sz w:val="24"/>
          <w:szCs w:val="24"/>
          <w:lang w:val="ro-RO"/>
        </w:rPr>
        <w:t>7.754.616,84</w:t>
      </w:r>
      <w:r>
        <w:rPr>
          <w:rFonts w:asciiTheme="majorHAnsi" w:eastAsia="Calibri" w:hAnsiTheme="majorHAnsi" w:cs="Times New Roman"/>
          <w:sz w:val="24"/>
          <w:szCs w:val="24"/>
          <w:lang w:val="ro-RO"/>
        </w:rPr>
        <w:t xml:space="preserve"> were sent to the intermediate body for energy in view of analysis and approval for payment. </w:t>
      </w:r>
    </w:p>
    <w:p w:rsidR="00CD2A65" w:rsidRPr="00945A8E" w:rsidRDefault="00CD2A65" w:rsidP="00CD2A65">
      <w:pPr>
        <w:spacing w:after="0" w:line="240" w:lineRule="auto"/>
        <w:ind w:left="714"/>
        <w:contextualSpacing/>
        <w:jc w:val="both"/>
        <w:rPr>
          <w:rFonts w:asciiTheme="majorHAnsi" w:eastAsia="Calibri" w:hAnsiTheme="majorHAnsi" w:cs="Times New Roman"/>
          <w:sz w:val="24"/>
          <w:szCs w:val="24"/>
          <w:lang w:val="ro-RO"/>
        </w:rPr>
      </w:pPr>
    </w:p>
    <w:p w:rsidR="00E55B01" w:rsidRPr="00CD2A65" w:rsidRDefault="002E3990" w:rsidP="002E3990">
      <w:pPr>
        <w:spacing w:after="0" w:line="240" w:lineRule="auto"/>
        <w:jc w:val="both"/>
        <w:rPr>
          <w:rFonts w:asciiTheme="majorHAnsi" w:eastAsia="Times New Roman" w:hAnsiTheme="majorHAnsi" w:cs="Times New Roman"/>
          <w:sz w:val="24"/>
          <w:szCs w:val="24"/>
          <w:lang w:eastAsia="ro-RO"/>
        </w:rPr>
      </w:pPr>
      <w:r>
        <w:rPr>
          <w:rFonts w:asciiTheme="majorHAnsi" w:eastAsia="Times New Roman" w:hAnsiTheme="majorHAnsi" w:cs="Times New Roman"/>
          <w:sz w:val="24"/>
          <w:szCs w:val="24"/>
          <w:lang w:eastAsia="ro-RO"/>
        </w:rPr>
        <w:t>Reimbursement schedule</w:t>
      </w:r>
      <w:r w:rsidRPr="00945A8E">
        <w:rPr>
          <w:rFonts w:asciiTheme="majorHAnsi" w:eastAsia="Times New Roman" w:hAnsiTheme="majorHAnsi" w:cs="Times New Roman"/>
          <w:sz w:val="24"/>
          <w:szCs w:val="24"/>
          <w:lang w:eastAsia="ro-RO"/>
        </w:rPr>
        <w:t>:</w:t>
      </w:r>
    </w:p>
    <w:tbl>
      <w:tblPr>
        <w:tblStyle w:val="TableGrid"/>
        <w:tblW w:w="8930"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838"/>
        <w:gridCol w:w="3776"/>
        <w:gridCol w:w="2316"/>
      </w:tblGrid>
      <w:tr w:rsidR="00CD2A65" w:rsidRPr="00945A8E" w:rsidTr="0069634B">
        <w:trPr>
          <w:trHeight w:val="247"/>
          <w:tblCellSpacing w:w="20" w:type="dxa"/>
          <w:jc w:val="center"/>
        </w:trPr>
        <w:tc>
          <w:tcPr>
            <w:tcW w:w="2778" w:type="dxa"/>
            <w:shd w:val="clear" w:color="auto" w:fill="DBE5F1" w:themeFill="accent1" w:themeFillTint="33"/>
            <w:vAlign w:val="center"/>
          </w:tcPr>
          <w:p w:rsidR="00CD2A65" w:rsidRPr="00945A8E" w:rsidRDefault="002E3990" w:rsidP="002E3990">
            <w:pPr>
              <w:spacing w:after="0" w:line="240" w:lineRule="auto"/>
              <w:jc w:val="center"/>
              <w:rPr>
                <w:rFonts w:asciiTheme="majorHAnsi" w:hAnsiTheme="majorHAnsi"/>
                <w:b/>
                <w:sz w:val="20"/>
                <w:szCs w:val="20"/>
                <w:lang w:val="ro-RO"/>
              </w:rPr>
            </w:pPr>
            <w:r>
              <w:rPr>
                <w:rFonts w:asciiTheme="majorHAnsi" w:hAnsiTheme="majorHAnsi"/>
                <w:b/>
                <w:sz w:val="20"/>
                <w:szCs w:val="20"/>
                <w:lang w:val="ro-RO"/>
              </w:rPr>
              <w:t xml:space="preserve">Application for reimbursement no. </w:t>
            </w:r>
          </w:p>
        </w:tc>
        <w:tc>
          <w:tcPr>
            <w:tcW w:w="3736" w:type="dxa"/>
            <w:shd w:val="clear" w:color="auto" w:fill="DBE5F1" w:themeFill="accent1" w:themeFillTint="33"/>
            <w:vAlign w:val="center"/>
          </w:tcPr>
          <w:p w:rsidR="00CD2A65" w:rsidRPr="00945A8E" w:rsidRDefault="002E3990" w:rsidP="002E3990">
            <w:pPr>
              <w:spacing w:after="0" w:line="240" w:lineRule="auto"/>
              <w:jc w:val="center"/>
              <w:rPr>
                <w:rFonts w:asciiTheme="majorHAnsi" w:hAnsiTheme="majorHAnsi"/>
                <w:b/>
                <w:sz w:val="20"/>
                <w:szCs w:val="20"/>
                <w:lang w:val="ro-RO"/>
              </w:rPr>
            </w:pPr>
            <w:r>
              <w:rPr>
                <w:rFonts w:asciiTheme="majorHAnsi" w:hAnsiTheme="majorHAnsi"/>
                <w:b/>
                <w:sz w:val="20"/>
                <w:szCs w:val="20"/>
                <w:lang w:val="ro-RO"/>
              </w:rPr>
              <w:t xml:space="preserve">Requested amount for reimbursement </w:t>
            </w:r>
            <w:r w:rsidR="00CD2A65" w:rsidRPr="00945A8E">
              <w:rPr>
                <w:rFonts w:asciiTheme="majorHAnsi" w:hAnsiTheme="majorHAnsi"/>
                <w:b/>
                <w:sz w:val="20"/>
                <w:szCs w:val="20"/>
                <w:lang w:val="ro-RO"/>
              </w:rPr>
              <w:t>(lei)</w:t>
            </w:r>
          </w:p>
        </w:tc>
        <w:tc>
          <w:tcPr>
            <w:tcW w:w="2256" w:type="dxa"/>
            <w:shd w:val="clear" w:color="auto" w:fill="DBE5F1" w:themeFill="accent1" w:themeFillTint="33"/>
            <w:vAlign w:val="center"/>
          </w:tcPr>
          <w:p w:rsidR="00CD2A65" w:rsidRPr="00CD2A65" w:rsidRDefault="00CD2A65" w:rsidP="0069634B">
            <w:pPr>
              <w:spacing w:after="0" w:line="240" w:lineRule="auto"/>
              <w:jc w:val="center"/>
              <w:rPr>
                <w:rFonts w:asciiTheme="majorHAnsi" w:hAnsiTheme="majorHAnsi"/>
                <w:b/>
                <w:sz w:val="20"/>
                <w:szCs w:val="20"/>
                <w:lang w:val="en-GB"/>
              </w:rPr>
            </w:pPr>
            <w:r w:rsidRPr="00CD2A65">
              <w:rPr>
                <w:rFonts w:asciiTheme="majorHAnsi" w:hAnsiTheme="majorHAnsi"/>
                <w:b/>
                <w:sz w:val="20"/>
                <w:szCs w:val="20"/>
                <w:lang w:val="en-GB"/>
              </w:rPr>
              <w:t>Submission date</w:t>
            </w:r>
          </w:p>
        </w:tc>
      </w:tr>
      <w:tr w:rsidR="00CD2A65" w:rsidRPr="00945A8E" w:rsidTr="0069634B">
        <w:trPr>
          <w:trHeight w:val="308"/>
          <w:tblCellSpacing w:w="20" w:type="dxa"/>
          <w:jc w:val="center"/>
        </w:trPr>
        <w:tc>
          <w:tcPr>
            <w:tcW w:w="2778" w:type="dxa"/>
            <w:vAlign w:val="center"/>
          </w:tcPr>
          <w:p w:rsidR="00CD2A65" w:rsidRPr="00945A8E" w:rsidRDefault="00CD2A65"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1.</w:t>
            </w:r>
          </w:p>
        </w:tc>
        <w:tc>
          <w:tcPr>
            <w:tcW w:w="3736" w:type="dxa"/>
            <w:vAlign w:val="center"/>
          </w:tcPr>
          <w:p w:rsidR="00CD2A65" w:rsidRPr="00945A8E" w:rsidRDefault="00CD2A65" w:rsidP="0069634B">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39.146.126,25</w:t>
            </w:r>
          </w:p>
        </w:tc>
        <w:tc>
          <w:tcPr>
            <w:tcW w:w="2256" w:type="dxa"/>
            <w:vAlign w:val="center"/>
          </w:tcPr>
          <w:p w:rsidR="00CD2A65" w:rsidRPr="00CD2A65" w:rsidRDefault="00CD2A65" w:rsidP="0069634B">
            <w:pPr>
              <w:spacing w:after="0" w:line="240" w:lineRule="auto"/>
              <w:ind w:firstLine="0"/>
              <w:rPr>
                <w:rFonts w:asciiTheme="majorHAnsi" w:hAnsiTheme="majorHAnsi"/>
                <w:sz w:val="20"/>
                <w:szCs w:val="20"/>
                <w:lang w:val="en-GB"/>
              </w:rPr>
            </w:pPr>
            <w:r w:rsidRPr="00CD2A65">
              <w:rPr>
                <w:rFonts w:asciiTheme="majorHAnsi" w:hAnsiTheme="majorHAnsi"/>
                <w:sz w:val="20"/>
                <w:szCs w:val="20"/>
                <w:lang w:val="en-GB"/>
              </w:rPr>
              <w:t>-until 31.03.2013</w:t>
            </w:r>
          </w:p>
        </w:tc>
      </w:tr>
      <w:tr w:rsidR="00CD2A65" w:rsidRPr="00945A8E" w:rsidTr="0069634B">
        <w:trPr>
          <w:trHeight w:val="308"/>
          <w:tblCellSpacing w:w="20" w:type="dxa"/>
          <w:jc w:val="center"/>
        </w:trPr>
        <w:tc>
          <w:tcPr>
            <w:tcW w:w="2778" w:type="dxa"/>
            <w:vAlign w:val="center"/>
          </w:tcPr>
          <w:p w:rsidR="00CD2A65" w:rsidRPr="00945A8E" w:rsidRDefault="00CD2A65"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2.</w:t>
            </w:r>
          </w:p>
        </w:tc>
        <w:tc>
          <w:tcPr>
            <w:tcW w:w="3736" w:type="dxa"/>
            <w:vAlign w:val="center"/>
          </w:tcPr>
          <w:p w:rsidR="00CD2A65" w:rsidRPr="00945A8E" w:rsidRDefault="00CD2A65" w:rsidP="0069634B">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10.385.059,02</w:t>
            </w:r>
          </w:p>
        </w:tc>
        <w:tc>
          <w:tcPr>
            <w:tcW w:w="2256" w:type="dxa"/>
            <w:vAlign w:val="center"/>
          </w:tcPr>
          <w:p w:rsidR="00CD2A65" w:rsidRPr="00CD2A65" w:rsidRDefault="00CD2A65" w:rsidP="0069634B">
            <w:pPr>
              <w:spacing w:after="0" w:line="240" w:lineRule="auto"/>
              <w:ind w:firstLine="0"/>
              <w:rPr>
                <w:rFonts w:asciiTheme="majorHAnsi" w:hAnsiTheme="majorHAnsi"/>
                <w:sz w:val="20"/>
                <w:szCs w:val="20"/>
                <w:lang w:val="en-GB"/>
              </w:rPr>
            </w:pPr>
            <w:r w:rsidRPr="00CD2A65">
              <w:rPr>
                <w:rFonts w:asciiTheme="majorHAnsi" w:hAnsiTheme="majorHAnsi"/>
                <w:sz w:val="20"/>
                <w:szCs w:val="20"/>
                <w:lang w:val="en-GB"/>
              </w:rPr>
              <w:t>-until  la 31.12.2014</w:t>
            </w:r>
          </w:p>
        </w:tc>
      </w:tr>
      <w:tr w:rsidR="00CD2A65" w:rsidRPr="00945A8E" w:rsidTr="0069634B">
        <w:trPr>
          <w:trHeight w:val="290"/>
          <w:tblCellSpacing w:w="20" w:type="dxa"/>
          <w:jc w:val="center"/>
        </w:trPr>
        <w:tc>
          <w:tcPr>
            <w:tcW w:w="2778" w:type="dxa"/>
            <w:vAlign w:val="center"/>
          </w:tcPr>
          <w:p w:rsidR="00CD2A65" w:rsidRPr="00945A8E" w:rsidRDefault="00CD2A65"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lastRenderedPageBreak/>
              <w:t>3.</w:t>
            </w:r>
          </w:p>
        </w:tc>
        <w:tc>
          <w:tcPr>
            <w:tcW w:w="3736" w:type="dxa"/>
            <w:vAlign w:val="center"/>
          </w:tcPr>
          <w:p w:rsidR="00CD2A65" w:rsidRPr="00945A8E" w:rsidRDefault="00CD2A65" w:rsidP="0069634B">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7.754.616,84</w:t>
            </w:r>
          </w:p>
        </w:tc>
        <w:tc>
          <w:tcPr>
            <w:tcW w:w="2256" w:type="dxa"/>
            <w:vAlign w:val="center"/>
          </w:tcPr>
          <w:p w:rsidR="00CD2A65" w:rsidRPr="00CD2A65" w:rsidRDefault="00CD2A65" w:rsidP="0069634B">
            <w:pPr>
              <w:spacing w:after="0" w:line="240" w:lineRule="auto"/>
              <w:ind w:firstLine="0"/>
              <w:rPr>
                <w:rFonts w:asciiTheme="majorHAnsi" w:hAnsiTheme="majorHAnsi"/>
                <w:sz w:val="20"/>
                <w:szCs w:val="20"/>
                <w:lang w:val="en-GB"/>
              </w:rPr>
            </w:pPr>
            <w:r w:rsidRPr="00CD2A65">
              <w:rPr>
                <w:rFonts w:asciiTheme="majorHAnsi" w:hAnsiTheme="majorHAnsi"/>
                <w:sz w:val="20"/>
                <w:szCs w:val="20"/>
                <w:lang w:val="en-GB"/>
              </w:rPr>
              <w:t>-until la 29.02.2016</w:t>
            </w:r>
          </w:p>
        </w:tc>
      </w:tr>
      <w:tr w:rsidR="00CD2A65" w:rsidRPr="00945A8E" w:rsidTr="0069634B">
        <w:trPr>
          <w:trHeight w:val="183"/>
          <w:tblCellSpacing w:w="20" w:type="dxa"/>
          <w:jc w:val="center"/>
        </w:trPr>
        <w:tc>
          <w:tcPr>
            <w:tcW w:w="2778" w:type="dxa"/>
            <w:shd w:val="clear" w:color="auto" w:fill="DBE5F1" w:themeFill="accent1" w:themeFillTint="33"/>
            <w:vAlign w:val="center"/>
          </w:tcPr>
          <w:p w:rsidR="00CD2A65" w:rsidRPr="00945A8E" w:rsidRDefault="00CD2A65" w:rsidP="0069634B">
            <w:pPr>
              <w:spacing w:after="0" w:line="240" w:lineRule="auto"/>
              <w:jc w:val="both"/>
              <w:rPr>
                <w:rFonts w:asciiTheme="majorHAnsi" w:hAnsiTheme="majorHAnsi"/>
                <w:b/>
                <w:sz w:val="20"/>
                <w:szCs w:val="20"/>
                <w:lang w:val="ro-RO"/>
              </w:rPr>
            </w:pPr>
            <w:r w:rsidRPr="00945A8E">
              <w:rPr>
                <w:rFonts w:asciiTheme="majorHAnsi" w:hAnsiTheme="majorHAnsi"/>
                <w:b/>
                <w:sz w:val="20"/>
                <w:szCs w:val="20"/>
                <w:lang w:val="ro-RO"/>
              </w:rPr>
              <w:t>TOTAL</w:t>
            </w:r>
          </w:p>
        </w:tc>
        <w:tc>
          <w:tcPr>
            <w:tcW w:w="3736" w:type="dxa"/>
            <w:shd w:val="clear" w:color="auto" w:fill="DBE5F1" w:themeFill="accent1" w:themeFillTint="33"/>
            <w:vAlign w:val="center"/>
          </w:tcPr>
          <w:p w:rsidR="00CD2A65" w:rsidRPr="00945A8E" w:rsidRDefault="00CD2A65" w:rsidP="0069634B">
            <w:pPr>
              <w:spacing w:after="0" w:line="240" w:lineRule="auto"/>
              <w:jc w:val="right"/>
              <w:rPr>
                <w:rFonts w:asciiTheme="majorHAnsi" w:hAnsiTheme="majorHAnsi"/>
                <w:b/>
                <w:sz w:val="20"/>
                <w:szCs w:val="20"/>
                <w:lang w:val="ro-RO"/>
              </w:rPr>
            </w:pPr>
            <w:r w:rsidRPr="00945A8E">
              <w:rPr>
                <w:rFonts w:asciiTheme="majorHAnsi" w:hAnsiTheme="majorHAnsi"/>
                <w:b/>
                <w:sz w:val="20"/>
                <w:szCs w:val="20"/>
                <w:lang w:val="ro-RO"/>
              </w:rPr>
              <w:t>57.285.802,11</w:t>
            </w:r>
          </w:p>
        </w:tc>
        <w:tc>
          <w:tcPr>
            <w:tcW w:w="2256" w:type="dxa"/>
            <w:shd w:val="clear" w:color="auto" w:fill="DBE5F1" w:themeFill="accent1" w:themeFillTint="33"/>
            <w:vAlign w:val="center"/>
          </w:tcPr>
          <w:p w:rsidR="00CD2A65" w:rsidRPr="00945A8E" w:rsidRDefault="00CD2A65" w:rsidP="0069634B">
            <w:pPr>
              <w:spacing w:after="0" w:line="240" w:lineRule="auto"/>
              <w:jc w:val="both"/>
              <w:rPr>
                <w:rFonts w:asciiTheme="majorHAnsi" w:hAnsiTheme="majorHAnsi"/>
                <w:b/>
                <w:sz w:val="20"/>
                <w:szCs w:val="20"/>
                <w:lang w:val="ro-RO"/>
              </w:rPr>
            </w:pPr>
          </w:p>
        </w:tc>
      </w:tr>
    </w:tbl>
    <w:p w:rsidR="00E55B01" w:rsidRPr="00322BD0" w:rsidRDefault="00E55B01" w:rsidP="00A86F51">
      <w:pPr>
        <w:spacing w:after="0" w:line="240" w:lineRule="auto"/>
        <w:ind w:firstLine="0"/>
        <w:jc w:val="both"/>
        <w:rPr>
          <w:rFonts w:ascii="Cambria" w:hAnsi="Cambria"/>
          <w:bCs/>
          <w:sz w:val="24"/>
          <w:szCs w:val="24"/>
          <w:lang w:val="en-GB"/>
        </w:rPr>
      </w:pPr>
    </w:p>
    <w:p w:rsidR="002E3990" w:rsidRDefault="002E3990" w:rsidP="00B05450">
      <w:pPr>
        <w:spacing w:after="0" w:line="240" w:lineRule="auto"/>
        <w:ind w:firstLine="0"/>
        <w:jc w:val="both"/>
        <w:rPr>
          <w:rFonts w:asciiTheme="majorHAnsi" w:eastAsia="Times New Roman" w:hAnsiTheme="majorHAnsi" w:cs="Times New Roman"/>
          <w:sz w:val="24"/>
          <w:szCs w:val="24"/>
          <w:lang w:val="fr-FR" w:eastAsia="ro-RO"/>
        </w:rPr>
      </w:pPr>
      <w:r>
        <w:rPr>
          <w:rFonts w:asciiTheme="majorHAnsi" w:eastAsia="Times New Roman" w:hAnsiTheme="majorHAnsi" w:cs="Times New Roman"/>
          <w:sz w:val="24"/>
          <w:szCs w:val="24"/>
          <w:lang w:val="fr-FR" w:eastAsia="ro-RO"/>
        </w:rPr>
        <w:t xml:space="preserve">According to the Grant agreement no </w:t>
      </w:r>
      <w:r w:rsidRPr="00945A8E">
        <w:rPr>
          <w:rFonts w:asciiTheme="majorHAnsi" w:eastAsia="Times New Roman" w:hAnsiTheme="majorHAnsi" w:cs="Times New Roman"/>
          <w:sz w:val="24"/>
          <w:szCs w:val="24"/>
          <w:lang w:val="fr-FR" w:eastAsia="ro-RO"/>
        </w:rPr>
        <w:t>5T/2012 SNTGN TRANSGAZ SA</w:t>
      </w:r>
      <w:r>
        <w:rPr>
          <w:rFonts w:asciiTheme="majorHAnsi" w:eastAsia="Times New Roman" w:hAnsiTheme="majorHAnsi" w:cs="Times New Roman"/>
          <w:sz w:val="24"/>
          <w:szCs w:val="24"/>
          <w:lang w:val="fr-FR" w:eastAsia="ro-RO"/>
        </w:rPr>
        <w:t xml:space="preserve"> has to monitor and annually report the </w:t>
      </w:r>
      <w:r w:rsidRPr="007E0EBE">
        <w:rPr>
          <w:rFonts w:asciiTheme="majorHAnsi" w:eastAsia="Times New Roman" w:hAnsiTheme="majorHAnsi" w:cs="Times New Roman"/>
          <w:b/>
          <w:sz w:val="24"/>
          <w:szCs w:val="24"/>
          <w:lang w:val="fr-FR" w:eastAsia="ro-RO"/>
        </w:rPr>
        <w:t>result indicators</w:t>
      </w:r>
      <w:r>
        <w:rPr>
          <w:rFonts w:asciiTheme="majorHAnsi" w:eastAsia="Times New Roman" w:hAnsiTheme="majorHAnsi" w:cs="Times New Roman"/>
          <w:sz w:val="24"/>
          <w:szCs w:val="24"/>
          <w:lang w:val="fr-FR" w:eastAsia="ro-RO"/>
        </w:rPr>
        <w:t xml:space="preserve"> </w:t>
      </w:r>
      <w:r w:rsidR="007E0EBE">
        <w:rPr>
          <w:rFonts w:asciiTheme="majorHAnsi" w:eastAsia="Times New Roman" w:hAnsiTheme="majorHAnsi" w:cs="Times New Roman"/>
          <w:sz w:val="24"/>
          <w:szCs w:val="24"/>
          <w:lang w:val="fr-FR" w:eastAsia="ro-RO"/>
        </w:rPr>
        <w:t xml:space="preserve">provided in art. </w:t>
      </w:r>
      <w:r w:rsidR="007E0EBE" w:rsidRPr="00945A8E">
        <w:rPr>
          <w:rFonts w:asciiTheme="majorHAnsi" w:eastAsia="Times New Roman" w:hAnsiTheme="majorHAnsi" w:cs="Times New Roman"/>
          <w:sz w:val="24"/>
          <w:szCs w:val="24"/>
          <w:lang w:val="fr-FR" w:eastAsia="ro-RO"/>
        </w:rPr>
        <w:t>7 A(2)</w:t>
      </w:r>
      <w:r w:rsidR="007E0EBE">
        <w:rPr>
          <w:rFonts w:asciiTheme="majorHAnsi" w:eastAsia="Times New Roman" w:hAnsiTheme="majorHAnsi" w:cs="Times New Roman"/>
          <w:sz w:val="24"/>
          <w:szCs w:val="24"/>
          <w:lang w:val="fr-FR" w:eastAsia="ro-RO"/>
        </w:rPr>
        <w:t xml:space="preserve"> during a 5 years durability period since the commissioning of the SCADA system.  </w:t>
      </w:r>
    </w:p>
    <w:p w:rsidR="00B05450" w:rsidRPr="00425223" w:rsidRDefault="00B05450" w:rsidP="00B05450">
      <w:pPr>
        <w:spacing w:after="0" w:line="240" w:lineRule="auto"/>
        <w:ind w:firstLine="0"/>
        <w:jc w:val="both"/>
        <w:rPr>
          <w:rFonts w:asciiTheme="majorHAnsi" w:hAnsiTheme="majorHAnsi"/>
          <w:sz w:val="24"/>
          <w:lang w:val="fr-FR"/>
        </w:rPr>
      </w:pPr>
    </w:p>
    <w:p w:rsidR="007E0EBE" w:rsidRDefault="007E0EBE" w:rsidP="00B05450">
      <w:pPr>
        <w:spacing w:after="0" w:line="240" w:lineRule="auto"/>
        <w:ind w:firstLine="0"/>
        <w:jc w:val="both"/>
        <w:rPr>
          <w:rFonts w:asciiTheme="majorHAnsi" w:hAnsiTheme="majorHAnsi"/>
          <w:sz w:val="24"/>
          <w:lang w:val="fr-FR"/>
        </w:rPr>
      </w:pPr>
      <w:r>
        <w:rPr>
          <w:rFonts w:asciiTheme="majorHAnsi" w:hAnsiTheme="majorHAnsi"/>
          <w:sz w:val="24"/>
          <w:lang w:val="fr-FR"/>
        </w:rPr>
        <w:t xml:space="preserve">Therefore in the end of 2016 the following result indicators were identified and ready to be reported in line with the undertaken commitments, the quantified indicators fall within the values set under the contract : </w:t>
      </w:r>
    </w:p>
    <w:p w:rsidR="00B05450" w:rsidRDefault="00B05450" w:rsidP="00433090">
      <w:pPr>
        <w:spacing w:after="0" w:line="240" w:lineRule="auto"/>
        <w:ind w:firstLine="0"/>
        <w:jc w:val="both"/>
        <w:rPr>
          <w:rFonts w:asciiTheme="majorHAnsi" w:hAnsiTheme="majorHAnsi"/>
          <w:sz w:val="24"/>
          <w:szCs w:val="24"/>
          <w:lang w:val="en-GB"/>
        </w:rPr>
      </w:pPr>
    </w:p>
    <w:tbl>
      <w:tblPr>
        <w:tblStyle w:val="TableGrid"/>
        <w:tblW w:w="907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536"/>
        <w:gridCol w:w="1984"/>
        <w:gridCol w:w="2552"/>
      </w:tblGrid>
      <w:tr w:rsidR="00B05450" w:rsidRPr="00945A8E" w:rsidTr="0069634B">
        <w:trPr>
          <w:trHeight w:val="319"/>
          <w:tblCellSpacing w:w="20" w:type="dxa"/>
          <w:jc w:val="center"/>
        </w:trPr>
        <w:tc>
          <w:tcPr>
            <w:tcW w:w="4476" w:type="dxa"/>
            <w:shd w:val="clear" w:color="auto" w:fill="DBE5F1" w:themeFill="accent1" w:themeFillTint="33"/>
            <w:vAlign w:val="center"/>
          </w:tcPr>
          <w:p w:rsidR="00B05450" w:rsidRPr="00945A8E" w:rsidRDefault="007E0EBE" w:rsidP="0069634B">
            <w:pPr>
              <w:spacing w:after="0" w:line="240" w:lineRule="auto"/>
              <w:jc w:val="center"/>
              <w:rPr>
                <w:rFonts w:asciiTheme="majorHAnsi" w:hAnsiTheme="majorHAnsi"/>
                <w:b/>
                <w:sz w:val="20"/>
                <w:szCs w:val="20"/>
                <w:lang w:val="ro-RO"/>
              </w:rPr>
            </w:pPr>
            <w:r>
              <w:rPr>
                <w:rFonts w:asciiTheme="majorHAnsi" w:hAnsiTheme="majorHAnsi"/>
                <w:b/>
                <w:sz w:val="20"/>
                <w:szCs w:val="20"/>
                <w:lang w:val="ro-RO"/>
              </w:rPr>
              <w:t>Result indicators</w:t>
            </w:r>
          </w:p>
        </w:tc>
        <w:tc>
          <w:tcPr>
            <w:tcW w:w="1944" w:type="dxa"/>
            <w:shd w:val="clear" w:color="auto" w:fill="DBE5F1" w:themeFill="accent1" w:themeFillTint="33"/>
            <w:vAlign w:val="center"/>
          </w:tcPr>
          <w:p w:rsidR="00B05450" w:rsidRPr="00945A8E" w:rsidRDefault="007E0EBE" w:rsidP="007E0EBE">
            <w:pPr>
              <w:spacing w:after="0" w:line="240" w:lineRule="auto"/>
              <w:jc w:val="center"/>
              <w:rPr>
                <w:rFonts w:asciiTheme="majorHAnsi" w:hAnsiTheme="majorHAnsi"/>
                <w:b/>
                <w:sz w:val="20"/>
                <w:szCs w:val="20"/>
                <w:lang w:val="ro-RO"/>
              </w:rPr>
            </w:pPr>
            <w:r>
              <w:rPr>
                <w:rFonts w:asciiTheme="majorHAnsi" w:hAnsiTheme="majorHAnsi"/>
                <w:b/>
                <w:sz w:val="20"/>
                <w:szCs w:val="20"/>
                <w:lang w:val="ro-RO"/>
              </w:rPr>
              <w:t xml:space="preserve">The value at the end of the project implementing period </w:t>
            </w:r>
          </w:p>
        </w:tc>
        <w:tc>
          <w:tcPr>
            <w:tcW w:w="2492" w:type="dxa"/>
            <w:shd w:val="clear" w:color="auto" w:fill="DBE5F1" w:themeFill="accent1" w:themeFillTint="33"/>
            <w:vAlign w:val="center"/>
          </w:tcPr>
          <w:p w:rsidR="00B05450" w:rsidRPr="00945A8E" w:rsidRDefault="007E0EBE" w:rsidP="00AE611C">
            <w:pPr>
              <w:spacing w:after="0" w:line="240" w:lineRule="auto"/>
              <w:jc w:val="center"/>
              <w:rPr>
                <w:rFonts w:asciiTheme="majorHAnsi" w:hAnsiTheme="majorHAnsi"/>
                <w:b/>
                <w:sz w:val="20"/>
                <w:szCs w:val="20"/>
                <w:lang w:val="ro-RO"/>
              </w:rPr>
            </w:pPr>
            <w:r>
              <w:rPr>
                <w:rFonts w:asciiTheme="majorHAnsi" w:hAnsiTheme="majorHAnsi"/>
                <w:b/>
                <w:sz w:val="20"/>
                <w:szCs w:val="20"/>
                <w:lang w:val="ro-RO"/>
              </w:rPr>
              <w:t>The value at the end of the</w:t>
            </w:r>
            <w:r w:rsidRPr="00945A8E">
              <w:rPr>
                <w:rFonts w:asciiTheme="majorHAnsi" w:hAnsiTheme="majorHAnsi"/>
                <w:b/>
                <w:sz w:val="20"/>
                <w:szCs w:val="20"/>
                <w:lang w:val="ro-RO"/>
              </w:rPr>
              <w:t xml:space="preserve"> </w:t>
            </w:r>
            <w:r w:rsidR="00AE611C">
              <w:rPr>
                <w:rFonts w:asciiTheme="majorHAnsi" w:hAnsiTheme="majorHAnsi"/>
                <w:b/>
                <w:sz w:val="20"/>
                <w:szCs w:val="20"/>
                <w:lang w:val="ro-RO"/>
              </w:rPr>
              <w:t xml:space="preserve">period related to the mandatory maintenance of the investment </w:t>
            </w:r>
          </w:p>
        </w:tc>
      </w:tr>
      <w:tr w:rsidR="00B05450" w:rsidRPr="00945A8E" w:rsidTr="0069634B">
        <w:trPr>
          <w:trHeight w:val="119"/>
          <w:tblCellSpacing w:w="20" w:type="dxa"/>
          <w:jc w:val="center"/>
        </w:trPr>
        <w:tc>
          <w:tcPr>
            <w:tcW w:w="4476" w:type="dxa"/>
            <w:vAlign w:val="center"/>
          </w:tcPr>
          <w:p w:rsidR="00B05450" w:rsidRPr="00945A8E" w:rsidRDefault="000C3591" w:rsidP="000C3591">
            <w:pPr>
              <w:spacing w:after="0" w:line="240" w:lineRule="auto"/>
              <w:jc w:val="both"/>
              <w:rPr>
                <w:rFonts w:asciiTheme="majorHAnsi" w:hAnsiTheme="majorHAnsi"/>
                <w:sz w:val="20"/>
                <w:szCs w:val="20"/>
                <w:lang w:val="ro-RO"/>
              </w:rPr>
            </w:pPr>
            <w:r>
              <w:rPr>
                <w:rFonts w:asciiTheme="majorHAnsi" w:hAnsiTheme="majorHAnsi"/>
                <w:sz w:val="20"/>
                <w:szCs w:val="20"/>
                <w:lang w:val="ro-RO"/>
              </w:rPr>
              <w:t xml:space="preserve">The reduction of the losses from technical incidents by the reduction of duration for the intervention in view of their elimination (reported to the annual average in the reference period 2008-2011; a reduction by 49% is estimated)  </w:t>
            </w:r>
          </w:p>
        </w:tc>
        <w:tc>
          <w:tcPr>
            <w:tcW w:w="1944"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51%</w:t>
            </w:r>
          </w:p>
        </w:tc>
        <w:tc>
          <w:tcPr>
            <w:tcW w:w="2492"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51%</w:t>
            </w:r>
          </w:p>
        </w:tc>
      </w:tr>
      <w:tr w:rsidR="00B05450" w:rsidRPr="00945A8E" w:rsidTr="0069634B">
        <w:trPr>
          <w:trHeight w:val="308"/>
          <w:tblCellSpacing w:w="20" w:type="dxa"/>
          <w:jc w:val="center"/>
        </w:trPr>
        <w:tc>
          <w:tcPr>
            <w:tcW w:w="4476" w:type="dxa"/>
            <w:vAlign w:val="center"/>
          </w:tcPr>
          <w:p w:rsidR="00B05450" w:rsidRPr="000C3591" w:rsidRDefault="000C3591" w:rsidP="000C3591">
            <w:pPr>
              <w:spacing w:after="0" w:line="240" w:lineRule="auto"/>
              <w:jc w:val="both"/>
              <w:rPr>
                <w:rFonts w:asciiTheme="majorHAnsi" w:hAnsiTheme="majorHAnsi"/>
                <w:sz w:val="20"/>
                <w:szCs w:val="20"/>
                <w:lang w:val="ro-RO"/>
              </w:rPr>
            </w:pPr>
            <w:r>
              <w:rPr>
                <w:rFonts w:asciiTheme="majorHAnsi" w:hAnsiTheme="majorHAnsi"/>
                <w:sz w:val="20"/>
                <w:szCs w:val="20"/>
                <w:lang w:val="ro-RO"/>
              </w:rPr>
              <w:t xml:space="preserve">The reduction of the losses from non-sealing and pores (reported to the annual average in the reference period 2008-2011; a reduction by 5% is estimated)  </w:t>
            </w:r>
          </w:p>
        </w:tc>
        <w:tc>
          <w:tcPr>
            <w:tcW w:w="1944"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95%</w:t>
            </w:r>
          </w:p>
        </w:tc>
        <w:tc>
          <w:tcPr>
            <w:tcW w:w="2492"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67,44%</w:t>
            </w:r>
          </w:p>
        </w:tc>
      </w:tr>
      <w:tr w:rsidR="00B05450" w:rsidRPr="00945A8E" w:rsidTr="0069634B">
        <w:trPr>
          <w:trHeight w:val="290"/>
          <w:tblCellSpacing w:w="20" w:type="dxa"/>
          <w:jc w:val="center"/>
        </w:trPr>
        <w:tc>
          <w:tcPr>
            <w:tcW w:w="4476" w:type="dxa"/>
            <w:vAlign w:val="center"/>
          </w:tcPr>
          <w:p w:rsidR="000C3591" w:rsidRDefault="000C3591" w:rsidP="0069634B">
            <w:pPr>
              <w:spacing w:after="0" w:line="240" w:lineRule="auto"/>
              <w:rPr>
                <w:rFonts w:asciiTheme="majorHAnsi" w:hAnsiTheme="majorHAnsi"/>
                <w:sz w:val="20"/>
                <w:szCs w:val="20"/>
                <w:lang w:val="ro-RO"/>
              </w:rPr>
            </w:pPr>
            <w:r>
              <w:rPr>
                <w:rFonts w:asciiTheme="majorHAnsi" w:hAnsiTheme="majorHAnsi"/>
                <w:sz w:val="20"/>
                <w:szCs w:val="20"/>
                <w:lang w:val="ro-RO"/>
              </w:rPr>
              <w:t xml:space="preserve">Elimination of the penalties from legal provisions related to SCADA: </w:t>
            </w:r>
          </w:p>
          <w:p w:rsidR="00B05450" w:rsidRPr="00945A8E" w:rsidRDefault="00B05450" w:rsidP="0069634B">
            <w:pPr>
              <w:spacing w:after="0" w:line="240" w:lineRule="auto"/>
              <w:rPr>
                <w:rFonts w:asciiTheme="majorHAnsi" w:hAnsiTheme="majorHAnsi"/>
                <w:sz w:val="20"/>
                <w:szCs w:val="20"/>
              </w:rPr>
            </w:pPr>
            <w:r w:rsidRPr="00945A8E">
              <w:rPr>
                <w:rFonts w:asciiTheme="majorHAnsi" w:hAnsiTheme="majorHAnsi"/>
                <w:sz w:val="20"/>
                <w:szCs w:val="20"/>
              </w:rPr>
              <w:t xml:space="preserve">- </w:t>
            </w:r>
            <w:r w:rsidR="000C3591">
              <w:rPr>
                <w:rFonts w:asciiTheme="majorHAnsi" w:hAnsiTheme="majorHAnsi"/>
                <w:sz w:val="20"/>
                <w:szCs w:val="20"/>
              </w:rPr>
              <w:t xml:space="preserve">Gas law no. </w:t>
            </w:r>
            <w:r w:rsidRPr="00945A8E">
              <w:rPr>
                <w:rFonts w:asciiTheme="majorHAnsi" w:hAnsiTheme="majorHAnsi"/>
                <w:sz w:val="20"/>
                <w:szCs w:val="20"/>
              </w:rPr>
              <w:t>351/2004;</w:t>
            </w:r>
          </w:p>
          <w:p w:rsidR="00B05450" w:rsidRPr="00945A8E" w:rsidRDefault="000C3591" w:rsidP="00FA6EB9">
            <w:pPr>
              <w:pStyle w:val="ListParagraph"/>
              <w:numPr>
                <w:ilvl w:val="0"/>
                <w:numId w:val="97"/>
              </w:numPr>
              <w:spacing w:after="0" w:line="240" w:lineRule="auto"/>
              <w:ind w:left="128" w:hanging="128"/>
              <w:jc w:val="both"/>
              <w:rPr>
                <w:rFonts w:asciiTheme="majorHAnsi" w:hAnsiTheme="majorHAnsi"/>
                <w:sz w:val="20"/>
                <w:szCs w:val="20"/>
              </w:rPr>
            </w:pPr>
            <w:r>
              <w:rPr>
                <w:rFonts w:asciiTheme="majorHAnsi" w:hAnsiTheme="majorHAnsi"/>
                <w:sz w:val="20"/>
                <w:szCs w:val="20"/>
              </w:rPr>
              <w:t xml:space="preserve">The transmission license no. </w:t>
            </w:r>
            <w:r w:rsidR="00B05450" w:rsidRPr="00945A8E">
              <w:rPr>
                <w:rFonts w:asciiTheme="majorHAnsi" w:hAnsiTheme="majorHAnsi"/>
                <w:sz w:val="20"/>
                <w:szCs w:val="20"/>
              </w:rPr>
              <w:t>40/2001.</w:t>
            </w:r>
          </w:p>
        </w:tc>
        <w:tc>
          <w:tcPr>
            <w:tcW w:w="1944"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0 lei</w:t>
            </w:r>
          </w:p>
        </w:tc>
        <w:tc>
          <w:tcPr>
            <w:tcW w:w="2492"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0 lei</w:t>
            </w:r>
          </w:p>
        </w:tc>
      </w:tr>
      <w:tr w:rsidR="00B05450" w:rsidRPr="00945A8E" w:rsidTr="0069634B">
        <w:trPr>
          <w:trHeight w:val="56"/>
          <w:tblCellSpacing w:w="20" w:type="dxa"/>
          <w:jc w:val="center"/>
        </w:trPr>
        <w:tc>
          <w:tcPr>
            <w:tcW w:w="4476" w:type="dxa"/>
            <w:vAlign w:val="center"/>
          </w:tcPr>
          <w:p w:rsidR="00B05450" w:rsidRPr="00945A8E" w:rsidRDefault="00B05450" w:rsidP="0069634B">
            <w:pPr>
              <w:spacing w:after="0" w:line="240" w:lineRule="auto"/>
              <w:jc w:val="both"/>
              <w:rPr>
                <w:rFonts w:asciiTheme="majorHAnsi" w:hAnsiTheme="majorHAnsi"/>
                <w:sz w:val="20"/>
                <w:szCs w:val="20"/>
                <w:lang w:val="ro-RO"/>
              </w:rPr>
            </w:pPr>
            <w:r w:rsidRPr="00945A8E">
              <w:rPr>
                <w:rFonts w:asciiTheme="majorHAnsi" w:hAnsiTheme="majorHAnsi"/>
                <w:sz w:val="20"/>
                <w:szCs w:val="20"/>
                <w:lang w:val="ro-RO"/>
              </w:rPr>
              <w:t>SCADA</w:t>
            </w:r>
            <w:r w:rsidR="000C3591">
              <w:rPr>
                <w:rFonts w:asciiTheme="majorHAnsi" w:hAnsiTheme="majorHAnsi"/>
                <w:sz w:val="20"/>
                <w:szCs w:val="20"/>
                <w:lang w:val="ro-RO"/>
              </w:rPr>
              <w:t xml:space="preserve"> integrated system </w:t>
            </w:r>
          </w:p>
        </w:tc>
        <w:tc>
          <w:tcPr>
            <w:tcW w:w="1944"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1</w:t>
            </w:r>
          </w:p>
        </w:tc>
        <w:tc>
          <w:tcPr>
            <w:tcW w:w="2492" w:type="dxa"/>
            <w:vAlign w:val="center"/>
          </w:tcPr>
          <w:p w:rsidR="00B05450" w:rsidRPr="00945A8E" w:rsidRDefault="00B05450" w:rsidP="0069634B">
            <w:pPr>
              <w:spacing w:after="0" w:line="240" w:lineRule="auto"/>
              <w:jc w:val="center"/>
              <w:rPr>
                <w:rFonts w:asciiTheme="majorHAnsi" w:hAnsiTheme="majorHAnsi"/>
                <w:sz w:val="20"/>
                <w:szCs w:val="20"/>
                <w:lang w:val="ro-RO"/>
              </w:rPr>
            </w:pPr>
            <w:r w:rsidRPr="00945A8E">
              <w:rPr>
                <w:rFonts w:asciiTheme="majorHAnsi" w:hAnsiTheme="majorHAnsi"/>
                <w:sz w:val="20"/>
                <w:szCs w:val="20"/>
                <w:lang w:val="ro-RO"/>
              </w:rPr>
              <w:t>1</w:t>
            </w:r>
          </w:p>
        </w:tc>
      </w:tr>
    </w:tbl>
    <w:p w:rsidR="00B05450" w:rsidRPr="00945A8E" w:rsidRDefault="00B05450" w:rsidP="00B05450">
      <w:pPr>
        <w:spacing w:after="0" w:line="240" w:lineRule="auto"/>
        <w:jc w:val="center"/>
        <w:rPr>
          <w:rFonts w:asciiTheme="majorHAnsi" w:eastAsia="Times New Roman" w:hAnsiTheme="majorHAnsi" w:cs="Times New Roman"/>
          <w:b/>
          <w:i/>
          <w:sz w:val="16"/>
          <w:szCs w:val="16"/>
          <w:lang w:eastAsia="ro-RO"/>
        </w:rPr>
      </w:pPr>
      <w:r w:rsidRPr="00945A8E">
        <w:rPr>
          <w:rFonts w:asciiTheme="majorHAnsi" w:eastAsia="Times New Roman" w:hAnsiTheme="majorHAnsi" w:cs="Times New Roman"/>
          <w:b/>
          <w:i/>
          <w:sz w:val="16"/>
          <w:szCs w:val="16"/>
          <w:lang w:eastAsia="ro-RO"/>
        </w:rPr>
        <w:t>Tabel 1</w:t>
      </w:r>
      <w:r>
        <w:rPr>
          <w:rFonts w:asciiTheme="majorHAnsi" w:eastAsia="Times New Roman" w:hAnsiTheme="majorHAnsi" w:cs="Times New Roman"/>
          <w:b/>
          <w:i/>
          <w:sz w:val="16"/>
          <w:szCs w:val="16"/>
          <w:lang w:eastAsia="ro-RO"/>
        </w:rPr>
        <w:t>4</w:t>
      </w:r>
      <w:r w:rsidRPr="00945A8E">
        <w:rPr>
          <w:rFonts w:asciiTheme="majorHAnsi" w:eastAsia="Times New Roman" w:hAnsiTheme="majorHAnsi" w:cs="Times New Roman"/>
          <w:b/>
          <w:i/>
          <w:sz w:val="16"/>
          <w:szCs w:val="16"/>
          <w:lang w:eastAsia="ro-RO"/>
        </w:rPr>
        <w:t xml:space="preserve">- </w:t>
      </w:r>
      <w:r w:rsidR="003414E8">
        <w:rPr>
          <w:rFonts w:asciiTheme="majorHAnsi" w:eastAsia="Times New Roman" w:hAnsiTheme="majorHAnsi" w:cs="Times New Roman"/>
          <w:b/>
          <w:i/>
          <w:sz w:val="16"/>
          <w:szCs w:val="16"/>
          <w:lang w:eastAsia="ro-RO"/>
        </w:rPr>
        <w:t xml:space="preserve">the level of the result indicators on </w:t>
      </w:r>
      <w:r w:rsidRPr="00945A8E">
        <w:rPr>
          <w:rFonts w:asciiTheme="majorHAnsi" w:eastAsia="Times New Roman" w:hAnsiTheme="majorHAnsi" w:cs="Times New Roman"/>
          <w:b/>
          <w:i/>
          <w:sz w:val="16"/>
          <w:szCs w:val="16"/>
          <w:lang w:eastAsia="ro-RO"/>
        </w:rPr>
        <w:t>31.12.2016</w:t>
      </w:r>
      <w:r w:rsidR="003414E8">
        <w:rPr>
          <w:rFonts w:asciiTheme="majorHAnsi" w:eastAsia="Times New Roman" w:hAnsiTheme="majorHAnsi" w:cs="Times New Roman"/>
          <w:b/>
          <w:i/>
          <w:sz w:val="16"/>
          <w:szCs w:val="16"/>
          <w:lang w:eastAsia="ro-RO"/>
        </w:rPr>
        <w:t xml:space="preserve"> </w:t>
      </w:r>
    </w:p>
    <w:p w:rsidR="00B05450" w:rsidRDefault="00B05450" w:rsidP="00B05450">
      <w:pPr>
        <w:spacing w:after="0" w:line="240" w:lineRule="auto"/>
        <w:ind w:firstLine="0"/>
        <w:contextualSpacing/>
        <w:jc w:val="both"/>
        <w:rPr>
          <w:rFonts w:asciiTheme="majorHAnsi" w:eastAsia="Calibri" w:hAnsiTheme="majorHAnsi" w:cs="Times New Roman"/>
          <w:b/>
          <w:sz w:val="24"/>
          <w:szCs w:val="24"/>
          <w:lang w:val="ro-RO"/>
        </w:rPr>
      </w:pPr>
    </w:p>
    <w:p w:rsidR="000D490B" w:rsidRDefault="000D490B" w:rsidP="00B05450">
      <w:pPr>
        <w:spacing w:after="0" w:line="240" w:lineRule="auto"/>
        <w:ind w:firstLine="0"/>
        <w:contextualSpacing/>
        <w:jc w:val="both"/>
        <w:rPr>
          <w:rFonts w:asciiTheme="majorHAnsi" w:eastAsia="Calibri" w:hAnsiTheme="majorHAnsi" w:cs="Times New Roman"/>
          <w:b/>
          <w:sz w:val="24"/>
          <w:szCs w:val="24"/>
          <w:lang w:val="ro-RO"/>
        </w:rPr>
      </w:pPr>
      <w:r>
        <w:rPr>
          <w:rFonts w:asciiTheme="majorHAnsi" w:eastAsia="Calibri" w:hAnsiTheme="majorHAnsi" w:cs="Times New Roman"/>
          <w:b/>
          <w:sz w:val="24"/>
          <w:szCs w:val="24"/>
          <w:lang w:val="ro-RO"/>
        </w:rPr>
        <w:t>Services contract no 408/2014 „Services related to the passing of 76 metering lines from unidirectional metering to bi-directional metering”:</w:t>
      </w:r>
    </w:p>
    <w:p w:rsidR="000D490B" w:rsidRPr="000D490B" w:rsidRDefault="000D490B" w:rsidP="00FA6EB9">
      <w:pPr>
        <w:numPr>
          <w:ilvl w:val="0"/>
          <w:numId w:val="98"/>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In May 2016 the procedures related to the Acceptance upon the completion </w:t>
      </w:r>
      <w:r w:rsidR="007078DE">
        <w:rPr>
          <w:rFonts w:asciiTheme="majorHAnsi" w:eastAsia="Calibri" w:hAnsiTheme="majorHAnsi" w:cs="Times New Roman"/>
          <w:sz w:val="24"/>
          <w:szCs w:val="24"/>
          <w:lang w:val="ro-RO"/>
        </w:rPr>
        <w:t>of the works related to the fir</w:t>
      </w:r>
      <w:r>
        <w:rPr>
          <w:rFonts w:asciiTheme="majorHAnsi" w:eastAsia="Calibri" w:hAnsiTheme="majorHAnsi" w:cs="Times New Roman"/>
          <w:sz w:val="24"/>
          <w:szCs w:val="24"/>
          <w:lang w:val="ro-RO"/>
        </w:rPr>
        <w:t>s</w:t>
      </w:r>
      <w:r w:rsidR="007078DE">
        <w:rPr>
          <w:rFonts w:asciiTheme="majorHAnsi" w:eastAsia="Calibri" w:hAnsiTheme="majorHAnsi" w:cs="Times New Roman"/>
          <w:sz w:val="24"/>
          <w:szCs w:val="24"/>
          <w:lang w:val="ro-RO"/>
        </w:rPr>
        <w:t>t</w:t>
      </w:r>
      <w:r>
        <w:rPr>
          <w:rFonts w:asciiTheme="majorHAnsi" w:eastAsia="Calibri" w:hAnsiTheme="majorHAnsi" w:cs="Times New Roman"/>
          <w:sz w:val="24"/>
          <w:szCs w:val="24"/>
          <w:lang w:val="ro-RO"/>
        </w:rPr>
        <w:t xml:space="preserve"> lot of 38 bi-directional metering lines related to the Services Contract no </w:t>
      </w:r>
      <w:r w:rsidRPr="00945A8E">
        <w:rPr>
          <w:rFonts w:asciiTheme="majorHAnsi" w:eastAsia="Calibri" w:hAnsiTheme="majorHAnsi" w:cs="Times New Roman"/>
          <w:sz w:val="24"/>
          <w:szCs w:val="24"/>
          <w:lang w:val="ro-RO"/>
        </w:rPr>
        <w:t>408/2014</w:t>
      </w:r>
      <w:r>
        <w:rPr>
          <w:rFonts w:asciiTheme="majorHAnsi" w:eastAsia="Calibri" w:hAnsiTheme="majorHAnsi" w:cs="Times New Roman"/>
          <w:sz w:val="24"/>
          <w:szCs w:val="24"/>
          <w:lang w:val="ro-RO"/>
        </w:rPr>
        <w:t xml:space="preserve"> (stage III of the payment schedule) </w:t>
      </w:r>
      <w:r w:rsidR="007078DE">
        <w:rPr>
          <w:rFonts w:asciiTheme="majorHAnsi" w:eastAsia="Calibri" w:hAnsiTheme="majorHAnsi" w:cs="Times New Roman"/>
          <w:sz w:val="24"/>
          <w:szCs w:val="24"/>
          <w:lang w:val="ro-RO"/>
        </w:rPr>
        <w:t>were executed and completed;</w:t>
      </w:r>
    </w:p>
    <w:p w:rsidR="007078DE" w:rsidRDefault="007078DE" w:rsidP="00FA6EB9">
      <w:pPr>
        <w:numPr>
          <w:ilvl w:val="0"/>
          <w:numId w:val="98"/>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In December 2016 the procedures related to the Acceptance upon the completion of the works related to the last 38 bi-directional metering lines related to the Services Contract no </w:t>
      </w:r>
      <w:r w:rsidRPr="00945A8E">
        <w:rPr>
          <w:rFonts w:asciiTheme="majorHAnsi" w:eastAsia="Calibri" w:hAnsiTheme="majorHAnsi" w:cs="Times New Roman"/>
          <w:sz w:val="24"/>
          <w:szCs w:val="24"/>
          <w:lang w:val="ro-RO"/>
        </w:rPr>
        <w:t>408/2014</w:t>
      </w:r>
      <w:r>
        <w:rPr>
          <w:rFonts w:asciiTheme="majorHAnsi" w:eastAsia="Calibri" w:hAnsiTheme="majorHAnsi" w:cs="Times New Roman"/>
          <w:sz w:val="24"/>
          <w:szCs w:val="24"/>
          <w:lang w:val="ro-RO"/>
        </w:rPr>
        <w:t xml:space="preserve"> (stage IV of the payment schedule) were executed and completed;</w:t>
      </w:r>
    </w:p>
    <w:p w:rsidR="00B05450" w:rsidRPr="007078DE" w:rsidRDefault="00B05450" w:rsidP="007078DE">
      <w:pPr>
        <w:spacing w:after="0" w:line="240" w:lineRule="auto"/>
        <w:contextualSpacing/>
        <w:jc w:val="both"/>
        <w:rPr>
          <w:rFonts w:asciiTheme="majorHAnsi" w:hAnsiTheme="majorHAnsi"/>
          <w:sz w:val="24"/>
          <w:lang w:val="ro-RO"/>
        </w:rPr>
      </w:pPr>
    </w:p>
    <w:p w:rsidR="007078DE" w:rsidRDefault="007078DE" w:rsidP="00B05450">
      <w:pPr>
        <w:spacing w:after="0" w:line="240" w:lineRule="auto"/>
        <w:ind w:firstLine="0"/>
        <w:jc w:val="both"/>
        <w:rPr>
          <w:rFonts w:asciiTheme="majorHAnsi" w:hAnsiTheme="majorHAnsi"/>
          <w:b/>
          <w:sz w:val="24"/>
          <w:lang w:val="ro-RO"/>
        </w:rPr>
      </w:pPr>
      <w:r>
        <w:rPr>
          <w:rFonts w:asciiTheme="majorHAnsi" w:hAnsiTheme="majorHAnsi"/>
          <w:b/>
          <w:sz w:val="24"/>
          <w:lang w:val="ro-RO"/>
        </w:rPr>
        <w:t xml:space="preserve">Participation of the specialized personnel to the implementing and acceptance of the automation systems of the technological nodes: </w:t>
      </w:r>
    </w:p>
    <w:p w:rsidR="00B05450" w:rsidRPr="00945A8E" w:rsidRDefault="00B05450" w:rsidP="00FA6EB9">
      <w:pPr>
        <w:numPr>
          <w:ilvl w:val="0"/>
          <w:numId w:val="99"/>
        </w:numPr>
        <w:spacing w:after="0" w:line="240" w:lineRule="auto"/>
        <w:contextualSpacing/>
        <w:jc w:val="both"/>
        <w:rPr>
          <w:rFonts w:asciiTheme="majorHAnsi" w:eastAsia="Calibri" w:hAnsiTheme="majorHAnsi" w:cs="Times New Roman"/>
          <w:sz w:val="24"/>
          <w:szCs w:val="24"/>
          <w:lang w:val="ro-RO"/>
        </w:rPr>
      </w:pPr>
      <w:r w:rsidRPr="00DA67ED">
        <w:rPr>
          <w:rFonts w:asciiTheme="majorHAnsi" w:eastAsia="Calibri" w:hAnsiTheme="majorHAnsi" w:cs="Times New Roman"/>
          <w:sz w:val="24"/>
          <w:szCs w:val="24"/>
          <w:lang w:val="ro-RO"/>
        </w:rPr>
        <w:t>Contract</w:t>
      </w:r>
      <w:r w:rsidRPr="00945A8E">
        <w:rPr>
          <w:rFonts w:asciiTheme="majorHAnsi" w:eastAsia="Calibri" w:hAnsiTheme="majorHAnsi" w:cs="Times New Roman"/>
          <w:sz w:val="24"/>
          <w:szCs w:val="24"/>
          <w:lang w:val="ro-RO"/>
        </w:rPr>
        <w:t xml:space="preserve"> 87/23.02.2016 „</w:t>
      </w:r>
      <w:r w:rsidR="00E85793">
        <w:rPr>
          <w:rFonts w:asciiTheme="majorHAnsi" w:eastAsia="Calibri" w:hAnsiTheme="majorHAnsi" w:cs="Times New Roman"/>
          <w:sz w:val="24"/>
          <w:szCs w:val="24"/>
          <w:lang w:val="ro-RO"/>
        </w:rPr>
        <w:t>Upgrading Technological node</w:t>
      </w:r>
      <w:r w:rsidRPr="00945A8E">
        <w:rPr>
          <w:rFonts w:asciiTheme="majorHAnsi" w:eastAsia="Calibri" w:hAnsiTheme="majorHAnsi" w:cs="Times New Roman"/>
          <w:sz w:val="24"/>
          <w:szCs w:val="24"/>
          <w:lang w:val="ro-RO"/>
        </w:rPr>
        <w:t xml:space="preserve"> Ceanu Mare, </w:t>
      </w:r>
      <w:r w:rsidR="00E85793">
        <w:rPr>
          <w:rFonts w:asciiTheme="majorHAnsi" w:eastAsia="Calibri" w:hAnsiTheme="majorHAnsi" w:cs="Times New Roman"/>
          <w:sz w:val="24"/>
          <w:szCs w:val="24"/>
          <w:lang w:val="ro-RO"/>
        </w:rPr>
        <w:t>power supply of the actuation, automation and monitoring of the  components</w:t>
      </w:r>
      <w:r w:rsidRPr="00945A8E">
        <w:rPr>
          <w:rFonts w:asciiTheme="majorHAnsi" w:eastAsia="Calibri" w:hAnsiTheme="majorHAnsi" w:cs="Times New Roman"/>
          <w:sz w:val="24"/>
          <w:szCs w:val="24"/>
          <w:lang w:val="ro-RO"/>
        </w:rPr>
        <w:t>”;</w:t>
      </w:r>
    </w:p>
    <w:p w:rsidR="00B05450" w:rsidRPr="00945A8E" w:rsidRDefault="00B05450" w:rsidP="00FA6EB9">
      <w:pPr>
        <w:numPr>
          <w:ilvl w:val="0"/>
          <w:numId w:val="99"/>
        </w:numPr>
        <w:spacing w:after="0" w:line="240" w:lineRule="auto"/>
        <w:contextualSpacing/>
        <w:jc w:val="both"/>
        <w:rPr>
          <w:rFonts w:asciiTheme="majorHAnsi" w:eastAsia="Calibri" w:hAnsiTheme="majorHAnsi" w:cs="Times New Roman"/>
          <w:sz w:val="24"/>
          <w:szCs w:val="24"/>
          <w:lang w:val="ro-RO"/>
        </w:rPr>
      </w:pPr>
      <w:r w:rsidRPr="00945A8E">
        <w:rPr>
          <w:rFonts w:asciiTheme="majorHAnsi" w:eastAsia="Calibri" w:hAnsiTheme="majorHAnsi" w:cs="Times New Roman"/>
          <w:sz w:val="24"/>
          <w:szCs w:val="24"/>
          <w:lang w:val="ro-RO"/>
        </w:rPr>
        <w:t>Contract 224/29.04.2016 „</w:t>
      </w:r>
      <w:r w:rsidR="00053425">
        <w:rPr>
          <w:rFonts w:asciiTheme="majorHAnsi" w:eastAsia="Calibri" w:hAnsiTheme="majorHAnsi" w:cs="Times New Roman"/>
          <w:sz w:val="24"/>
          <w:szCs w:val="24"/>
          <w:lang w:val="ro-RO"/>
        </w:rPr>
        <w:t>Upgrading Technological node</w:t>
      </w:r>
      <w:r w:rsidR="00053425" w:rsidRPr="00945A8E" w:rsidDel="00053425">
        <w:rPr>
          <w:rFonts w:asciiTheme="majorHAnsi" w:eastAsia="Calibri" w:hAnsiTheme="majorHAnsi" w:cs="Times New Roman"/>
          <w:sz w:val="24"/>
          <w:szCs w:val="24"/>
          <w:lang w:val="ro-RO"/>
        </w:rPr>
        <w:t xml:space="preserve"> </w:t>
      </w:r>
      <w:r w:rsidRPr="00945A8E">
        <w:rPr>
          <w:rFonts w:asciiTheme="majorHAnsi" w:eastAsia="Calibri" w:hAnsiTheme="majorHAnsi" w:cs="Times New Roman"/>
          <w:sz w:val="24"/>
          <w:szCs w:val="24"/>
          <w:lang w:val="ro-RO"/>
        </w:rPr>
        <w:t xml:space="preserve">Moșu, </w:t>
      </w:r>
      <w:r w:rsidR="00E85793">
        <w:rPr>
          <w:rFonts w:asciiTheme="majorHAnsi" w:eastAsia="Calibri" w:hAnsiTheme="majorHAnsi" w:cs="Times New Roman"/>
          <w:sz w:val="24"/>
          <w:szCs w:val="24"/>
          <w:lang w:val="ro-RO"/>
        </w:rPr>
        <w:t>automation,</w:t>
      </w:r>
      <w:r w:rsidR="003C0079">
        <w:rPr>
          <w:rFonts w:asciiTheme="majorHAnsi" w:eastAsia="Calibri" w:hAnsiTheme="majorHAnsi" w:cs="Times New Roman"/>
          <w:sz w:val="24"/>
          <w:szCs w:val="24"/>
          <w:lang w:val="ro-RO"/>
        </w:rPr>
        <w:t xml:space="preserve"> anti-intrusion and video surveillance”</w:t>
      </w:r>
    </w:p>
    <w:p w:rsidR="00B05450" w:rsidRPr="00945A8E" w:rsidRDefault="00B05450" w:rsidP="00B05450">
      <w:pPr>
        <w:spacing w:after="0" w:line="240" w:lineRule="auto"/>
        <w:contextualSpacing/>
        <w:jc w:val="both"/>
        <w:rPr>
          <w:rFonts w:asciiTheme="majorHAnsi" w:eastAsia="Calibri" w:hAnsiTheme="majorHAnsi" w:cs="Times New Roman"/>
          <w:sz w:val="24"/>
          <w:szCs w:val="24"/>
          <w:lang w:val="ro-RO"/>
        </w:rPr>
      </w:pPr>
    </w:p>
    <w:p w:rsidR="003C0079" w:rsidRDefault="003C0079" w:rsidP="00B05450">
      <w:pPr>
        <w:spacing w:after="0" w:line="240" w:lineRule="auto"/>
        <w:ind w:firstLine="0"/>
        <w:jc w:val="both"/>
        <w:rPr>
          <w:rFonts w:asciiTheme="majorHAnsi" w:eastAsia="Calibri" w:hAnsiTheme="majorHAnsi" w:cs="Times New Roman"/>
          <w:b/>
          <w:sz w:val="24"/>
          <w:szCs w:val="24"/>
          <w:lang w:val="ro-RO"/>
        </w:rPr>
      </w:pPr>
      <w:r>
        <w:rPr>
          <w:rFonts w:asciiTheme="majorHAnsi" w:eastAsia="Calibri" w:hAnsiTheme="majorHAnsi" w:cs="Times New Roman"/>
          <w:b/>
          <w:sz w:val="24"/>
          <w:szCs w:val="24"/>
          <w:lang w:val="ro-RO"/>
        </w:rPr>
        <w:t>Participation of the specialized personnel in project teams on the implementation of the system for data transmission at the location:</w:t>
      </w:r>
    </w:p>
    <w:p w:rsidR="00B05450" w:rsidRPr="00945A8E" w:rsidRDefault="003C0079" w:rsidP="00FA6EB9">
      <w:pPr>
        <w:numPr>
          <w:ilvl w:val="0"/>
          <w:numId w:val="99"/>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lastRenderedPageBreak/>
        <w:t>Technological node</w:t>
      </w:r>
      <w:r w:rsidR="00B05450" w:rsidRPr="00945A8E">
        <w:rPr>
          <w:rFonts w:asciiTheme="majorHAnsi" w:eastAsia="Calibri" w:hAnsiTheme="majorHAnsi" w:cs="Times New Roman"/>
          <w:sz w:val="24"/>
          <w:szCs w:val="24"/>
          <w:lang w:val="ro-RO"/>
        </w:rPr>
        <w:t xml:space="preserve"> Lețcani (</w:t>
      </w:r>
      <w:r>
        <w:rPr>
          <w:rFonts w:asciiTheme="majorHAnsi" w:eastAsia="Calibri" w:hAnsiTheme="majorHAnsi" w:cs="Times New Roman"/>
          <w:sz w:val="24"/>
          <w:szCs w:val="24"/>
          <w:lang w:val="ro-RO"/>
        </w:rPr>
        <w:t xml:space="preserve">data transmission related to the </w:t>
      </w:r>
      <w:r w:rsidR="006070DD">
        <w:rPr>
          <w:rFonts w:asciiTheme="majorHAnsi" w:eastAsia="Calibri" w:hAnsiTheme="majorHAnsi" w:cs="Times New Roman"/>
          <w:sz w:val="24"/>
          <w:szCs w:val="24"/>
          <w:lang w:val="ro-RO"/>
        </w:rPr>
        <w:t xml:space="preserve">transmission pipeline </w:t>
      </w:r>
      <w:r w:rsidR="00B05450" w:rsidRPr="00945A8E">
        <w:rPr>
          <w:rFonts w:asciiTheme="majorHAnsi" w:eastAsia="Calibri" w:hAnsiTheme="majorHAnsi" w:cs="Times New Roman"/>
          <w:sz w:val="24"/>
          <w:szCs w:val="24"/>
          <w:lang w:val="ro-RO"/>
        </w:rPr>
        <w:t>Iași-Ungheni) ;</w:t>
      </w:r>
    </w:p>
    <w:p w:rsidR="00B05450" w:rsidRPr="00945A8E" w:rsidRDefault="006070DD" w:rsidP="00FA6EB9">
      <w:pPr>
        <w:numPr>
          <w:ilvl w:val="0"/>
          <w:numId w:val="99"/>
        </w:numPr>
        <w:spacing w:after="0" w:line="240" w:lineRule="auto"/>
        <w:contextualSpacing/>
        <w:jc w:val="both"/>
        <w:rPr>
          <w:rFonts w:asciiTheme="majorHAnsi" w:eastAsia="Calibri" w:hAnsiTheme="majorHAnsi" w:cs="Times New Roman"/>
          <w:sz w:val="24"/>
          <w:szCs w:val="24"/>
          <w:lang w:val="ro-RO"/>
        </w:rPr>
      </w:pPr>
      <w:r w:rsidRPr="00945A8E">
        <w:rPr>
          <w:rFonts w:asciiTheme="majorHAnsi" w:eastAsia="Calibri" w:hAnsiTheme="majorHAnsi" w:cs="Times New Roman"/>
          <w:sz w:val="24"/>
          <w:szCs w:val="24"/>
          <w:lang w:val="ro-RO"/>
        </w:rPr>
        <w:t xml:space="preserve">Giurgiu </w:t>
      </w:r>
      <w:r w:rsidR="00B05450" w:rsidRPr="00945A8E">
        <w:rPr>
          <w:rFonts w:asciiTheme="majorHAnsi" w:eastAsia="Calibri" w:hAnsiTheme="majorHAnsi" w:cs="Times New Roman"/>
          <w:sz w:val="24"/>
          <w:szCs w:val="24"/>
          <w:lang w:val="ro-RO"/>
        </w:rPr>
        <w:t>G</w:t>
      </w:r>
      <w:r w:rsidRPr="00945A8E">
        <w:rPr>
          <w:rFonts w:asciiTheme="majorHAnsi" w:eastAsia="Calibri" w:hAnsiTheme="majorHAnsi" w:cs="Times New Roman"/>
          <w:sz w:val="24"/>
          <w:szCs w:val="24"/>
          <w:lang w:val="ro-RO"/>
        </w:rPr>
        <w:t>MS</w:t>
      </w:r>
      <w:r w:rsidR="00B05450" w:rsidRPr="00945A8E">
        <w:rPr>
          <w:rFonts w:asciiTheme="majorHAnsi" w:eastAsia="Calibri" w:hAnsiTheme="majorHAnsi" w:cs="Times New Roman"/>
          <w:sz w:val="24"/>
          <w:szCs w:val="24"/>
          <w:lang w:val="ro-RO"/>
        </w:rPr>
        <w:t xml:space="preserve"> (</w:t>
      </w:r>
      <w:r w:rsidR="00327ED5">
        <w:rPr>
          <w:rFonts w:asciiTheme="majorHAnsi" w:eastAsia="Calibri" w:hAnsiTheme="majorHAnsi" w:cs="Times New Roman"/>
          <w:sz w:val="24"/>
          <w:szCs w:val="24"/>
          <w:lang w:val="ro-RO"/>
        </w:rPr>
        <w:t xml:space="preserve">data transmission related to the transmission </w:t>
      </w:r>
      <w:r w:rsidR="00B05450" w:rsidRPr="00945A8E">
        <w:rPr>
          <w:rFonts w:asciiTheme="majorHAnsi" w:eastAsia="Calibri" w:hAnsiTheme="majorHAnsi" w:cs="Times New Roman"/>
          <w:sz w:val="24"/>
          <w:szCs w:val="24"/>
          <w:lang w:val="ro-RO"/>
        </w:rPr>
        <w:t>Giurgiu-Ruse) ;</w:t>
      </w:r>
    </w:p>
    <w:p w:rsidR="00B05450" w:rsidRDefault="00B05450" w:rsidP="00FA6EB9">
      <w:pPr>
        <w:numPr>
          <w:ilvl w:val="0"/>
          <w:numId w:val="99"/>
        </w:numPr>
        <w:spacing w:after="0" w:line="240" w:lineRule="auto"/>
        <w:contextualSpacing/>
        <w:jc w:val="both"/>
        <w:rPr>
          <w:rFonts w:asciiTheme="majorHAnsi" w:eastAsia="Calibri" w:hAnsiTheme="majorHAnsi" w:cs="Times New Roman"/>
          <w:sz w:val="24"/>
          <w:szCs w:val="24"/>
          <w:lang w:val="ro-RO"/>
        </w:rPr>
      </w:pPr>
      <w:r w:rsidRPr="00945A8E">
        <w:rPr>
          <w:rFonts w:asciiTheme="majorHAnsi" w:eastAsia="Calibri" w:hAnsiTheme="majorHAnsi" w:cs="Times New Roman"/>
          <w:sz w:val="24"/>
          <w:szCs w:val="24"/>
          <w:lang w:val="ro-RO"/>
        </w:rPr>
        <w:t>SMG Negru Vodă Tran</w:t>
      </w:r>
      <w:r w:rsidR="00327ED5">
        <w:rPr>
          <w:rFonts w:asciiTheme="majorHAnsi" w:eastAsia="Calibri" w:hAnsiTheme="majorHAnsi" w:cs="Times New Roman"/>
          <w:sz w:val="24"/>
          <w:szCs w:val="24"/>
          <w:lang w:val="ro-RO"/>
        </w:rPr>
        <w:t>s</w:t>
      </w:r>
      <w:r w:rsidRPr="00945A8E">
        <w:rPr>
          <w:rFonts w:asciiTheme="majorHAnsi" w:eastAsia="Calibri" w:hAnsiTheme="majorHAnsi" w:cs="Times New Roman"/>
          <w:sz w:val="24"/>
          <w:szCs w:val="24"/>
          <w:lang w:val="ro-RO"/>
        </w:rPr>
        <w:t>it 1 (</w:t>
      </w:r>
      <w:r w:rsidR="00327ED5">
        <w:rPr>
          <w:rFonts w:asciiTheme="majorHAnsi" w:eastAsia="Calibri" w:hAnsiTheme="majorHAnsi" w:cs="Times New Roman"/>
          <w:sz w:val="24"/>
          <w:szCs w:val="24"/>
          <w:lang w:val="ro-RO"/>
        </w:rPr>
        <w:t>data transmission related to the</w:t>
      </w:r>
      <w:r w:rsidR="00327ED5" w:rsidRPr="00945A8E" w:rsidDel="00327ED5">
        <w:rPr>
          <w:rFonts w:asciiTheme="majorHAnsi" w:eastAsia="Calibri" w:hAnsiTheme="majorHAnsi" w:cs="Times New Roman"/>
          <w:sz w:val="24"/>
          <w:szCs w:val="24"/>
          <w:lang w:val="ro-RO"/>
        </w:rPr>
        <w:t xml:space="preserve"> </w:t>
      </w:r>
      <w:r w:rsidRPr="00945A8E">
        <w:rPr>
          <w:rFonts w:asciiTheme="majorHAnsi" w:eastAsia="Calibri" w:hAnsiTheme="majorHAnsi" w:cs="Times New Roman"/>
          <w:sz w:val="24"/>
          <w:szCs w:val="24"/>
          <w:lang w:val="ro-RO"/>
        </w:rPr>
        <w:t>Tran</w:t>
      </w:r>
      <w:r w:rsidR="00062FC7">
        <w:rPr>
          <w:rFonts w:asciiTheme="majorHAnsi" w:eastAsia="Calibri" w:hAnsiTheme="majorHAnsi" w:cs="Times New Roman"/>
          <w:sz w:val="24"/>
          <w:szCs w:val="24"/>
          <w:lang w:val="ro-RO"/>
        </w:rPr>
        <w:t>s</w:t>
      </w:r>
      <w:r w:rsidRPr="00945A8E">
        <w:rPr>
          <w:rFonts w:asciiTheme="majorHAnsi" w:eastAsia="Calibri" w:hAnsiTheme="majorHAnsi" w:cs="Times New Roman"/>
          <w:sz w:val="24"/>
          <w:szCs w:val="24"/>
          <w:lang w:val="ro-RO"/>
        </w:rPr>
        <w:t>it 1</w:t>
      </w:r>
      <w:r w:rsidR="00062FC7">
        <w:rPr>
          <w:rFonts w:asciiTheme="majorHAnsi" w:eastAsia="Calibri" w:hAnsiTheme="majorHAnsi" w:cs="Times New Roman"/>
          <w:sz w:val="24"/>
          <w:szCs w:val="24"/>
          <w:lang w:val="ro-RO"/>
        </w:rPr>
        <w:t xml:space="preserve"> pipeline</w:t>
      </w:r>
      <w:r w:rsidRPr="00945A8E">
        <w:rPr>
          <w:rFonts w:asciiTheme="majorHAnsi" w:eastAsia="Calibri" w:hAnsiTheme="majorHAnsi" w:cs="Times New Roman"/>
          <w:sz w:val="24"/>
          <w:szCs w:val="24"/>
          <w:lang w:val="ro-RO"/>
        </w:rPr>
        <w:t>).</w:t>
      </w:r>
    </w:p>
    <w:p w:rsidR="00B05450" w:rsidRPr="00945A8E" w:rsidRDefault="00B05450" w:rsidP="00FA6EB9">
      <w:pPr>
        <w:numPr>
          <w:ilvl w:val="0"/>
          <w:numId w:val="99"/>
        </w:numPr>
        <w:spacing w:after="0" w:line="240" w:lineRule="auto"/>
        <w:contextualSpacing/>
        <w:jc w:val="both"/>
        <w:rPr>
          <w:rFonts w:asciiTheme="majorHAnsi" w:eastAsia="Calibri" w:hAnsiTheme="majorHAnsi" w:cs="Times New Roman"/>
          <w:sz w:val="24"/>
          <w:szCs w:val="24"/>
          <w:lang w:val="ro-RO"/>
        </w:rPr>
      </w:pPr>
    </w:p>
    <w:tbl>
      <w:tblPr>
        <w:tblStyle w:val="TableGrid"/>
        <w:tblW w:w="822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240"/>
        <w:gridCol w:w="1984"/>
        <w:gridCol w:w="2038"/>
        <w:gridCol w:w="1961"/>
      </w:tblGrid>
      <w:tr w:rsidR="00B05450" w:rsidRPr="00945A8E" w:rsidTr="0069634B">
        <w:trPr>
          <w:trHeight w:val="305"/>
          <w:tblCellSpacing w:w="20" w:type="dxa"/>
          <w:jc w:val="center"/>
        </w:trPr>
        <w:tc>
          <w:tcPr>
            <w:tcW w:w="2180" w:type="dxa"/>
            <w:shd w:val="clear" w:color="auto" w:fill="DBE5F1" w:themeFill="accent1" w:themeFillTint="33"/>
            <w:vAlign w:val="center"/>
          </w:tcPr>
          <w:p w:rsidR="00B05450" w:rsidRPr="00945A8E" w:rsidRDefault="00062FC7" w:rsidP="0069634B">
            <w:pPr>
              <w:spacing w:after="0" w:line="240" w:lineRule="auto"/>
              <w:jc w:val="center"/>
              <w:rPr>
                <w:rFonts w:asciiTheme="majorHAnsi" w:hAnsiTheme="majorHAnsi"/>
                <w:b/>
                <w:sz w:val="16"/>
                <w:szCs w:val="16"/>
                <w:lang w:val="ro-RO"/>
              </w:rPr>
            </w:pPr>
            <w:r>
              <w:rPr>
                <w:rFonts w:asciiTheme="majorHAnsi" w:hAnsiTheme="majorHAnsi"/>
                <w:b/>
                <w:sz w:val="16"/>
                <w:szCs w:val="16"/>
                <w:lang w:val="ro-RO"/>
              </w:rPr>
              <w:t>Transmission system</w:t>
            </w:r>
          </w:p>
        </w:tc>
        <w:tc>
          <w:tcPr>
            <w:tcW w:w="1944" w:type="dxa"/>
            <w:shd w:val="clear" w:color="auto" w:fill="DBE5F1" w:themeFill="accent1" w:themeFillTint="33"/>
            <w:vAlign w:val="center"/>
          </w:tcPr>
          <w:p w:rsidR="00B05450" w:rsidRPr="00945A8E" w:rsidRDefault="00062FC7" w:rsidP="0069634B">
            <w:pPr>
              <w:spacing w:after="0" w:line="240" w:lineRule="auto"/>
              <w:jc w:val="center"/>
              <w:rPr>
                <w:rFonts w:asciiTheme="majorHAnsi" w:hAnsiTheme="majorHAnsi"/>
                <w:b/>
                <w:sz w:val="16"/>
                <w:szCs w:val="16"/>
                <w:lang w:val="ro-RO"/>
              </w:rPr>
            </w:pPr>
            <w:r>
              <w:rPr>
                <w:rFonts w:asciiTheme="majorHAnsi" w:hAnsiTheme="majorHAnsi"/>
                <w:b/>
                <w:sz w:val="16"/>
                <w:szCs w:val="16"/>
                <w:lang w:val="ro-RO"/>
              </w:rPr>
              <w:t xml:space="preserve">Allocated value </w:t>
            </w:r>
            <w:r w:rsidR="00B05450" w:rsidRPr="00945A8E">
              <w:rPr>
                <w:rFonts w:asciiTheme="majorHAnsi" w:hAnsiTheme="majorHAnsi"/>
                <w:b/>
                <w:sz w:val="16"/>
                <w:szCs w:val="16"/>
                <w:lang w:val="ro-RO"/>
              </w:rPr>
              <w:t>(lei)</w:t>
            </w:r>
          </w:p>
        </w:tc>
        <w:tc>
          <w:tcPr>
            <w:tcW w:w="1998" w:type="dxa"/>
            <w:shd w:val="clear" w:color="auto" w:fill="DBE5F1" w:themeFill="accent1" w:themeFillTint="33"/>
            <w:vAlign w:val="center"/>
          </w:tcPr>
          <w:p w:rsidR="00B05450" w:rsidRPr="00945A8E" w:rsidRDefault="00062FC7" w:rsidP="00062FC7">
            <w:pPr>
              <w:spacing w:after="0" w:line="240" w:lineRule="auto"/>
              <w:jc w:val="center"/>
              <w:rPr>
                <w:rFonts w:asciiTheme="majorHAnsi" w:hAnsiTheme="majorHAnsi"/>
                <w:b/>
                <w:sz w:val="16"/>
                <w:szCs w:val="16"/>
                <w:lang w:val="ro-RO"/>
              </w:rPr>
            </w:pPr>
            <w:r>
              <w:rPr>
                <w:rFonts w:asciiTheme="majorHAnsi" w:hAnsiTheme="majorHAnsi"/>
                <w:b/>
                <w:sz w:val="16"/>
                <w:szCs w:val="16"/>
                <w:lang w:val="ro-RO"/>
              </w:rPr>
              <w:t xml:space="preserve">Settled value </w:t>
            </w:r>
            <w:r w:rsidR="00B05450" w:rsidRPr="00945A8E">
              <w:rPr>
                <w:rFonts w:asciiTheme="majorHAnsi" w:hAnsiTheme="majorHAnsi"/>
                <w:b/>
                <w:sz w:val="16"/>
                <w:szCs w:val="16"/>
                <w:lang w:val="ro-RO"/>
              </w:rPr>
              <w:t>(lei)</w:t>
            </w:r>
          </w:p>
        </w:tc>
        <w:tc>
          <w:tcPr>
            <w:tcW w:w="1901" w:type="dxa"/>
            <w:shd w:val="clear" w:color="auto" w:fill="DBE5F1" w:themeFill="accent1" w:themeFillTint="33"/>
          </w:tcPr>
          <w:p w:rsidR="00B05450" w:rsidRDefault="00062FC7" w:rsidP="0069634B">
            <w:pPr>
              <w:spacing w:after="0" w:line="240" w:lineRule="auto"/>
              <w:jc w:val="center"/>
              <w:rPr>
                <w:rFonts w:asciiTheme="majorHAnsi" w:hAnsiTheme="majorHAnsi"/>
                <w:b/>
                <w:sz w:val="16"/>
                <w:szCs w:val="16"/>
                <w:lang w:val="ro-RO"/>
              </w:rPr>
            </w:pPr>
            <w:r>
              <w:rPr>
                <w:rFonts w:asciiTheme="majorHAnsi" w:hAnsiTheme="majorHAnsi"/>
                <w:b/>
                <w:sz w:val="16"/>
                <w:szCs w:val="16"/>
                <w:lang w:val="ro-RO"/>
              </w:rPr>
              <w:t xml:space="preserve">Percentage </w:t>
            </w:r>
          </w:p>
          <w:p w:rsidR="00062FC7" w:rsidRPr="00945A8E" w:rsidRDefault="00062FC7" w:rsidP="0069634B">
            <w:pPr>
              <w:spacing w:after="0" w:line="240" w:lineRule="auto"/>
              <w:jc w:val="center"/>
              <w:rPr>
                <w:rFonts w:asciiTheme="majorHAnsi" w:hAnsiTheme="majorHAnsi"/>
                <w:b/>
                <w:sz w:val="16"/>
                <w:szCs w:val="16"/>
                <w:lang w:val="ro-RO"/>
              </w:rPr>
            </w:pPr>
            <w:r>
              <w:rPr>
                <w:rFonts w:asciiTheme="majorHAnsi" w:hAnsiTheme="majorHAnsi"/>
                <w:b/>
                <w:sz w:val="16"/>
                <w:szCs w:val="16"/>
                <w:lang w:val="ro-RO"/>
              </w:rPr>
              <w:t xml:space="preserve">Completion </w:t>
            </w:r>
          </w:p>
        </w:tc>
      </w:tr>
      <w:tr w:rsidR="00B05450" w:rsidRPr="00945A8E" w:rsidTr="0069634B">
        <w:trPr>
          <w:trHeight w:val="114"/>
          <w:tblCellSpacing w:w="20" w:type="dxa"/>
          <w:jc w:val="center"/>
        </w:trPr>
        <w:tc>
          <w:tcPr>
            <w:tcW w:w="2180" w:type="dxa"/>
            <w:vAlign w:val="center"/>
          </w:tcPr>
          <w:p w:rsidR="00B05450" w:rsidRPr="00945A8E" w:rsidRDefault="00B05450" w:rsidP="0069634B">
            <w:pPr>
              <w:spacing w:after="0" w:line="240" w:lineRule="auto"/>
              <w:jc w:val="center"/>
              <w:rPr>
                <w:rFonts w:asciiTheme="majorHAnsi" w:hAnsiTheme="majorHAnsi"/>
                <w:sz w:val="16"/>
                <w:szCs w:val="16"/>
                <w:lang w:val="ro-RO"/>
              </w:rPr>
            </w:pPr>
            <w:r w:rsidRPr="00945A8E">
              <w:rPr>
                <w:rFonts w:asciiTheme="majorHAnsi" w:hAnsiTheme="majorHAnsi"/>
                <w:sz w:val="16"/>
                <w:szCs w:val="16"/>
                <w:lang w:val="ro-RO"/>
              </w:rPr>
              <w:t>SMG Giurgiu</w:t>
            </w:r>
          </w:p>
        </w:tc>
        <w:tc>
          <w:tcPr>
            <w:tcW w:w="1944"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90.000</w:t>
            </w:r>
          </w:p>
        </w:tc>
        <w:tc>
          <w:tcPr>
            <w:tcW w:w="1998"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90.000</w:t>
            </w:r>
          </w:p>
        </w:tc>
        <w:tc>
          <w:tcPr>
            <w:tcW w:w="1901" w:type="dxa"/>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100%</w:t>
            </w:r>
          </w:p>
        </w:tc>
      </w:tr>
      <w:tr w:rsidR="00B05450" w:rsidRPr="00945A8E" w:rsidTr="0069634B">
        <w:trPr>
          <w:trHeight w:val="295"/>
          <w:tblCellSpacing w:w="20" w:type="dxa"/>
          <w:jc w:val="center"/>
        </w:trPr>
        <w:tc>
          <w:tcPr>
            <w:tcW w:w="2180" w:type="dxa"/>
            <w:vAlign w:val="center"/>
          </w:tcPr>
          <w:p w:rsidR="00B05450" w:rsidRPr="00945A8E" w:rsidRDefault="00B05450" w:rsidP="0069634B">
            <w:pPr>
              <w:spacing w:after="0" w:line="240" w:lineRule="auto"/>
              <w:jc w:val="center"/>
              <w:rPr>
                <w:rFonts w:asciiTheme="majorHAnsi" w:hAnsiTheme="majorHAnsi"/>
                <w:sz w:val="16"/>
                <w:szCs w:val="16"/>
                <w:lang w:val="ro-RO"/>
              </w:rPr>
            </w:pPr>
            <w:r w:rsidRPr="00945A8E">
              <w:rPr>
                <w:rFonts w:asciiTheme="majorHAnsi" w:hAnsiTheme="majorHAnsi"/>
                <w:sz w:val="16"/>
                <w:szCs w:val="16"/>
                <w:lang w:val="ro-RO"/>
              </w:rPr>
              <w:t>NT Lețcani</w:t>
            </w:r>
          </w:p>
        </w:tc>
        <w:tc>
          <w:tcPr>
            <w:tcW w:w="1944"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45.960</w:t>
            </w:r>
          </w:p>
        </w:tc>
        <w:tc>
          <w:tcPr>
            <w:tcW w:w="1998"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45.960</w:t>
            </w:r>
          </w:p>
        </w:tc>
        <w:tc>
          <w:tcPr>
            <w:tcW w:w="1901" w:type="dxa"/>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100%</w:t>
            </w:r>
          </w:p>
        </w:tc>
      </w:tr>
      <w:tr w:rsidR="00B05450" w:rsidRPr="00945A8E" w:rsidTr="00B05450">
        <w:trPr>
          <w:trHeight w:val="278"/>
          <w:tblCellSpacing w:w="20" w:type="dxa"/>
          <w:jc w:val="center"/>
        </w:trPr>
        <w:tc>
          <w:tcPr>
            <w:tcW w:w="2180" w:type="dxa"/>
            <w:vAlign w:val="center"/>
          </w:tcPr>
          <w:p w:rsidR="00B05450" w:rsidRPr="00945A8E" w:rsidRDefault="00B05450" w:rsidP="0069634B">
            <w:pPr>
              <w:spacing w:after="0" w:line="240" w:lineRule="auto"/>
              <w:jc w:val="center"/>
              <w:rPr>
                <w:rFonts w:asciiTheme="majorHAnsi" w:hAnsiTheme="majorHAnsi"/>
                <w:sz w:val="16"/>
                <w:szCs w:val="16"/>
                <w:lang w:val="ro-RO"/>
              </w:rPr>
            </w:pPr>
            <w:r w:rsidRPr="00945A8E">
              <w:rPr>
                <w:rFonts w:asciiTheme="majorHAnsi" w:hAnsiTheme="majorHAnsi"/>
                <w:sz w:val="16"/>
                <w:szCs w:val="16"/>
                <w:lang w:val="ro-RO"/>
              </w:rPr>
              <w:t>SMG Negru Vodă</w:t>
            </w:r>
          </w:p>
        </w:tc>
        <w:tc>
          <w:tcPr>
            <w:tcW w:w="1944"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42.960</w:t>
            </w:r>
          </w:p>
        </w:tc>
        <w:tc>
          <w:tcPr>
            <w:tcW w:w="1998" w:type="dxa"/>
            <w:vAlign w:val="center"/>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42.960</w:t>
            </w:r>
          </w:p>
        </w:tc>
        <w:tc>
          <w:tcPr>
            <w:tcW w:w="1901" w:type="dxa"/>
          </w:tcPr>
          <w:p w:rsidR="00B05450" w:rsidRPr="00945A8E" w:rsidRDefault="00B05450" w:rsidP="0069634B">
            <w:pPr>
              <w:spacing w:after="0" w:line="240" w:lineRule="auto"/>
              <w:jc w:val="right"/>
              <w:rPr>
                <w:rFonts w:asciiTheme="majorHAnsi" w:hAnsiTheme="majorHAnsi"/>
                <w:sz w:val="16"/>
                <w:szCs w:val="16"/>
                <w:lang w:val="ro-RO"/>
              </w:rPr>
            </w:pPr>
            <w:r w:rsidRPr="00945A8E">
              <w:rPr>
                <w:rFonts w:asciiTheme="majorHAnsi" w:hAnsiTheme="majorHAnsi"/>
                <w:sz w:val="16"/>
                <w:szCs w:val="16"/>
                <w:lang w:val="ro-RO"/>
              </w:rPr>
              <w:t>100%</w:t>
            </w:r>
          </w:p>
        </w:tc>
      </w:tr>
    </w:tbl>
    <w:p w:rsidR="00B05450" w:rsidRDefault="00B05450" w:rsidP="00433090">
      <w:pPr>
        <w:spacing w:after="0" w:line="240" w:lineRule="auto"/>
        <w:ind w:firstLine="0"/>
        <w:jc w:val="both"/>
        <w:rPr>
          <w:rFonts w:asciiTheme="majorHAnsi" w:hAnsiTheme="majorHAnsi"/>
          <w:sz w:val="24"/>
          <w:szCs w:val="24"/>
          <w:lang w:val="en-GB"/>
        </w:rPr>
      </w:pPr>
    </w:p>
    <w:p w:rsidR="009D4833" w:rsidRDefault="009D4833" w:rsidP="00B05450">
      <w:pPr>
        <w:spacing w:after="0" w:line="240" w:lineRule="auto"/>
        <w:ind w:firstLine="0"/>
        <w:jc w:val="both"/>
        <w:rPr>
          <w:rFonts w:asciiTheme="majorHAnsi" w:hAnsiTheme="majorHAnsi"/>
          <w:b/>
          <w:sz w:val="24"/>
          <w:szCs w:val="24"/>
        </w:rPr>
      </w:pPr>
      <w:r>
        <w:rPr>
          <w:rFonts w:asciiTheme="majorHAnsi" w:hAnsiTheme="majorHAnsi"/>
          <w:b/>
          <w:sz w:val="24"/>
          <w:szCs w:val="24"/>
        </w:rPr>
        <w:t>Main measures implemented for the fulfillment of the goals of the unit in 2016:</w:t>
      </w:r>
    </w:p>
    <w:p w:rsidR="009D4833" w:rsidRDefault="009D4833"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SCADA PMU/The Automation and SCADA Unit participated in the commissioning of the SCADA system for the National Gas Transmission System Transgaz S.A. making available tests and the necessary documentation; </w:t>
      </w:r>
    </w:p>
    <w:p w:rsidR="009D4833" w:rsidRDefault="009D4833"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SCADA PMU/The Automation and SCADA Unit made available the technical specialized personnel for the surveillance and the appropriate conduct of the maintenance – guarantee of the </w:t>
      </w:r>
      <w:r w:rsidR="00B61117">
        <w:rPr>
          <w:rFonts w:asciiTheme="majorHAnsi" w:hAnsiTheme="majorHAnsi"/>
          <w:sz w:val="24"/>
          <w:szCs w:val="24"/>
          <w:lang w:val="ro-RO"/>
        </w:rPr>
        <w:t>implemented SCADA system;</w:t>
      </w:r>
    </w:p>
    <w:p w:rsidR="00B61117" w:rsidRDefault="00B61117"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The Automation and SCADA Unit ensured the maintenance of the software applications related to the SCADA system, the updating of the technological schemes </w:t>
      </w:r>
      <w:r w:rsidRPr="00945A8E">
        <w:rPr>
          <w:rFonts w:asciiTheme="majorHAnsi" w:hAnsiTheme="majorHAnsi"/>
          <w:sz w:val="24"/>
          <w:szCs w:val="24"/>
          <w:lang w:val="ro-RO"/>
        </w:rPr>
        <w:t>HIGH-LEIT,</w:t>
      </w:r>
      <w:r>
        <w:rPr>
          <w:rFonts w:asciiTheme="majorHAnsi" w:hAnsiTheme="majorHAnsi"/>
          <w:sz w:val="24"/>
          <w:szCs w:val="24"/>
          <w:lang w:val="ro-RO"/>
        </w:rPr>
        <w:t xml:space="preserve"> reparameterization of the new equipment in the system, the definition of some new types of reports requested by the users, operators of the SCADA system;</w:t>
      </w:r>
    </w:p>
    <w:p w:rsidR="00B61117" w:rsidRDefault="00B61117"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The Automation and SCADA Unit initiated in quarter IV of 2016 an action for the concentration of all the necessities, development requirements, integration of new equipment in SCADA expressed at the Regional Offices; </w:t>
      </w:r>
    </w:p>
    <w:p w:rsidR="00B61117" w:rsidRDefault="007602F2" w:rsidP="00FA6EB9">
      <w:pPr>
        <w:pStyle w:val="ListParagraph"/>
        <w:numPr>
          <w:ilvl w:val="0"/>
          <w:numId w:val="100"/>
        </w:numPr>
        <w:spacing w:after="0" w:line="240" w:lineRule="auto"/>
        <w:jc w:val="both"/>
        <w:rPr>
          <w:rFonts w:asciiTheme="majorHAnsi" w:hAnsiTheme="majorHAnsi"/>
          <w:sz w:val="24"/>
          <w:szCs w:val="24"/>
          <w:lang w:val="ro-RO"/>
        </w:rPr>
      </w:pPr>
      <w:r w:rsidRPr="007602F2">
        <w:rPr>
          <w:rFonts w:asciiTheme="majorHAnsi" w:hAnsiTheme="majorHAnsi"/>
          <w:sz w:val="24"/>
          <w:szCs w:val="24"/>
          <w:lang w:val="ro-RO"/>
        </w:rPr>
        <w:t>In order</w:t>
      </w:r>
      <w:r>
        <w:rPr>
          <w:rFonts w:asciiTheme="majorHAnsi" w:hAnsiTheme="majorHAnsi"/>
          <w:sz w:val="24"/>
          <w:szCs w:val="24"/>
          <w:lang w:val="ro-RO"/>
        </w:rPr>
        <w:t xml:space="preserve"> to observe</w:t>
      </w:r>
      <w:r w:rsidRPr="007602F2">
        <w:rPr>
          <w:rFonts w:asciiTheme="majorHAnsi" w:hAnsiTheme="majorHAnsi"/>
          <w:sz w:val="24"/>
          <w:szCs w:val="24"/>
          <w:lang w:val="ro-RO"/>
        </w:rPr>
        <w:t xml:space="preserve"> the legal provisions and </w:t>
      </w:r>
      <w:r>
        <w:rPr>
          <w:rFonts w:asciiTheme="majorHAnsi" w:hAnsiTheme="majorHAnsi"/>
          <w:sz w:val="24"/>
          <w:szCs w:val="24"/>
          <w:lang w:val="ro-RO"/>
        </w:rPr>
        <w:t>the obligations and commitments</w:t>
      </w:r>
      <w:r w:rsidRPr="007602F2">
        <w:rPr>
          <w:rFonts w:asciiTheme="majorHAnsi" w:hAnsiTheme="majorHAnsi"/>
          <w:sz w:val="24"/>
          <w:szCs w:val="24"/>
          <w:lang w:val="ro-RO"/>
        </w:rPr>
        <w:t>/ agreements to which Transgaz SA, as the Operator of the National Transmission System, is a signatory (ANRE order</w:t>
      </w:r>
      <w:r>
        <w:rPr>
          <w:rFonts w:asciiTheme="majorHAnsi" w:hAnsiTheme="majorHAnsi"/>
          <w:sz w:val="24"/>
          <w:szCs w:val="24"/>
          <w:lang w:val="ro-RO"/>
        </w:rPr>
        <w:t>s</w:t>
      </w:r>
      <w:r w:rsidRPr="007602F2">
        <w:rPr>
          <w:rFonts w:asciiTheme="majorHAnsi" w:hAnsiTheme="majorHAnsi"/>
          <w:sz w:val="24"/>
          <w:szCs w:val="24"/>
          <w:lang w:val="ro-RO"/>
        </w:rPr>
        <w:t xml:space="preserve">, intergovernmental agreements, European directives, etc.) the division / department / company conducted </w:t>
      </w:r>
      <w:r>
        <w:rPr>
          <w:rFonts w:asciiTheme="majorHAnsi" w:hAnsiTheme="majorHAnsi"/>
          <w:sz w:val="24"/>
          <w:szCs w:val="24"/>
          <w:lang w:val="ro-RO"/>
        </w:rPr>
        <w:t xml:space="preserve">a series of technical analysis </w:t>
      </w:r>
      <w:r w:rsidRPr="007602F2">
        <w:rPr>
          <w:rFonts w:asciiTheme="majorHAnsi" w:hAnsiTheme="majorHAnsi"/>
          <w:sz w:val="24"/>
          <w:szCs w:val="24"/>
          <w:lang w:val="ro-RO"/>
        </w:rPr>
        <w:t>aimed at identifying possib</w:t>
      </w:r>
      <w:r>
        <w:rPr>
          <w:rFonts w:asciiTheme="majorHAnsi" w:hAnsiTheme="majorHAnsi"/>
          <w:sz w:val="24"/>
          <w:szCs w:val="24"/>
          <w:lang w:val="ro-RO"/>
        </w:rPr>
        <w:t>ilities for development</w:t>
      </w:r>
      <w:r w:rsidRPr="007602F2">
        <w:rPr>
          <w:rFonts w:asciiTheme="majorHAnsi" w:hAnsiTheme="majorHAnsi"/>
          <w:sz w:val="24"/>
          <w:szCs w:val="24"/>
          <w:lang w:val="ro-RO"/>
        </w:rPr>
        <w:t xml:space="preserve">/ </w:t>
      </w:r>
      <w:r>
        <w:rPr>
          <w:rFonts w:asciiTheme="majorHAnsi" w:hAnsiTheme="majorHAnsi"/>
          <w:sz w:val="24"/>
          <w:szCs w:val="24"/>
          <w:lang w:val="ro-RO"/>
        </w:rPr>
        <w:t xml:space="preserve">upgrading </w:t>
      </w:r>
      <w:r w:rsidRPr="007602F2">
        <w:rPr>
          <w:rFonts w:asciiTheme="majorHAnsi" w:hAnsiTheme="majorHAnsi"/>
          <w:sz w:val="24"/>
          <w:szCs w:val="24"/>
          <w:lang w:val="ro-RO"/>
        </w:rPr>
        <w:t xml:space="preserve">of </w:t>
      </w:r>
      <w:r>
        <w:rPr>
          <w:rFonts w:asciiTheme="majorHAnsi" w:hAnsiTheme="majorHAnsi"/>
          <w:sz w:val="24"/>
          <w:szCs w:val="24"/>
          <w:lang w:val="ro-RO"/>
        </w:rPr>
        <w:t>the transmission</w:t>
      </w:r>
      <w:r w:rsidRPr="007602F2">
        <w:rPr>
          <w:rFonts w:asciiTheme="majorHAnsi" w:hAnsiTheme="majorHAnsi"/>
          <w:sz w:val="24"/>
          <w:szCs w:val="24"/>
          <w:lang w:val="ro-RO"/>
        </w:rPr>
        <w:t xml:space="preserve"> infrastructure for the </w:t>
      </w:r>
      <w:r>
        <w:rPr>
          <w:rFonts w:asciiTheme="majorHAnsi" w:hAnsiTheme="majorHAnsi"/>
          <w:sz w:val="24"/>
          <w:szCs w:val="24"/>
          <w:lang w:val="ro-RO"/>
        </w:rPr>
        <w:t xml:space="preserve">purpose and </w:t>
      </w:r>
      <w:r w:rsidRPr="007602F2">
        <w:rPr>
          <w:rFonts w:asciiTheme="majorHAnsi" w:hAnsiTheme="majorHAnsi"/>
          <w:sz w:val="24"/>
          <w:szCs w:val="24"/>
          <w:lang w:val="ro-RO"/>
        </w:rPr>
        <w:t>benefit</w:t>
      </w:r>
      <w:r>
        <w:rPr>
          <w:rFonts w:asciiTheme="majorHAnsi" w:hAnsiTheme="majorHAnsi"/>
          <w:sz w:val="24"/>
          <w:szCs w:val="24"/>
          <w:lang w:val="ro-RO"/>
        </w:rPr>
        <w:t xml:space="preserve"> of a modern natural gas market</w:t>
      </w:r>
      <w:r w:rsidRPr="007602F2">
        <w:rPr>
          <w:rFonts w:asciiTheme="majorHAnsi" w:hAnsiTheme="majorHAnsi"/>
          <w:sz w:val="24"/>
          <w:szCs w:val="24"/>
          <w:lang w:val="ro-RO"/>
        </w:rPr>
        <w:t>;</w:t>
      </w:r>
    </w:p>
    <w:p w:rsidR="007602F2" w:rsidRDefault="007602F2"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The Automation and SCADA Unit participated as of 2016 in the analysis and identification of the technical methods for development/upgrading of the interconnection points of the NTS with other transmission systems for the integration of the automation systems and SCADA;</w:t>
      </w:r>
    </w:p>
    <w:p w:rsidR="00461E56" w:rsidRDefault="00461E56" w:rsidP="00FA6EB9">
      <w:pPr>
        <w:pStyle w:val="ListParagraph"/>
        <w:numPr>
          <w:ilvl w:val="0"/>
          <w:numId w:val="100"/>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The Automation and SCADA Unit procured spare parts and accessories necessary for the maintenance within the normal operating parameters of the SCADA equipments which are no longer covered by the warranty period. </w:t>
      </w:r>
    </w:p>
    <w:p w:rsidR="00B05450" w:rsidRPr="00945A8E" w:rsidRDefault="00B05450" w:rsidP="00B05450">
      <w:pPr>
        <w:spacing w:after="0" w:line="240" w:lineRule="auto"/>
        <w:jc w:val="both"/>
        <w:rPr>
          <w:rFonts w:asciiTheme="majorHAnsi" w:hAnsiTheme="majorHAnsi"/>
          <w:sz w:val="24"/>
          <w:szCs w:val="24"/>
          <w:lang w:val="ro-RO"/>
        </w:rPr>
      </w:pPr>
    </w:p>
    <w:p w:rsidR="00B05450" w:rsidRPr="00945A8E" w:rsidRDefault="00461E56" w:rsidP="00B05450">
      <w:pPr>
        <w:spacing w:after="0" w:line="240" w:lineRule="auto"/>
        <w:ind w:firstLine="0"/>
        <w:jc w:val="both"/>
        <w:rPr>
          <w:rFonts w:asciiTheme="majorHAnsi" w:hAnsiTheme="majorHAnsi"/>
          <w:b/>
          <w:bCs/>
          <w:sz w:val="24"/>
          <w:szCs w:val="24"/>
          <w:lang w:val="ro-RO"/>
        </w:rPr>
      </w:pPr>
      <w:r>
        <w:rPr>
          <w:rFonts w:asciiTheme="majorHAnsi" w:hAnsiTheme="majorHAnsi"/>
          <w:b/>
          <w:bCs/>
          <w:sz w:val="24"/>
          <w:szCs w:val="24"/>
          <w:lang w:val="ro-RO"/>
        </w:rPr>
        <w:t>Main achievements specific to the field of activity of the unit</w:t>
      </w:r>
      <w:r w:rsidRPr="00461E56">
        <w:rPr>
          <w:rFonts w:asciiTheme="majorHAnsi" w:hAnsiTheme="majorHAnsi"/>
          <w:b/>
          <w:bCs/>
          <w:sz w:val="24"/>
          <w:szCs w:val="24"/>
          <w:lang w:val="ro-RO"/>
        </w:rPr>
        <w:t xml:space="preserve"> </w:t>
      </w:r>
      <w:r>
        <w:rPr>
          <w:rFonts w:asciiTheme="majorHAnsi" w:hAnsiTheme="majorHAnsi"/>
          <w:b/>
          <w:bCs/>
          <w:sz w:val="24"/>
          <w:szCs w:val="24"/>
          <w:lang w:val="ro-RO"/>
        </w:rPr>
        <w:t xml:space="preserve">during the period </w:t>
      </w:r>
      <w:r w:rsidR="00B05450" w:rsidRPr="00945A8E">
        <w:rPr>
          <w:rFonts w:asciiTheme="majorHAnsi" w:hAnsiTheme="majorHAnsi"/>
          <w:b/>
          <w:bCs/>
          <w:sz w:val="24"/>
          <w:szCs w:val="24"/>
          <w:lang w:val="ro-RO"/>
        </w:rPr>
        <w:t>2013-2016</w:t>
      </w:r>
    </w:p>
    <w:p w:rsidR="00B05450" w:rsidRPr="00C44AE9" w:rsidRDefault="0043351D" w:rsidP="00FA6EB9">
      <w:pPr>
        <w:pStyle w:val="ListParagraph"/>
        <w:numPr>
          <w:ilvl w:val="0"/>
          <w:numId w:val="101"/>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All the </w:t>
      </w:r>
      <w:r w:rsidR="00803D3A">
        <w:rPr>
          <w:rFonts w:asciiTheme="majorHAnsi" w:hAnsiTheme="majorHAnsi"/>
          <w:sz w:val="24"/>
          <w:szCs w:val="24"/>
          <w:lang w:val="ro-RO"/>
        </w:rPr>
        <w:t xml:space="preserve">executed </w:t>
      </w:r>
      <w:r>
        <w:rPr>
          <w:rFonts w:asciiTheme="majorHAnsi" w:hAnsiTheme="majorHAnsi"/>
          <w:sz w:val="24"/>
          <w:szCs w:val="24"/>
          <w:lang w:val="ro-RO"/>
        </w:rPr>
        <w:t>works</w:t>
      </w:r>
      <w:r w:rsidR="00803D3A">
        <w:rPr>
          <w:rFonts w:asciiTheme="majorHAnsi" w:hAnsiTheme="majorHAnsi"/>
          <w:sz w:val="24"/>
          <w:szCs w:val="24"/>
          <w:lang w:val="ro-RO"/>
        </w:rPr>
        <w:t>,</w:t>
      </w:r>
      <w:r>
        <w:rPr>
          <w:rFonts w:asciiTheme="majorHAnsi" w:hAnsiTheme="majorHAnsi"/>
          <w:sz w:val="24"/>
          <w:szCs w:val="24"/>
          <w:lang w:val="ro-RO"/>
        </w:rPr>
        <w:t xml:space="preserve"> all the provided services and the accepted </w:t>
      </w:r>
      <w:r w:rsidR="00803D3A">
        <w:rPr>
          <w:rFonts w:asciiTheme="majorHAnsi" w:hAnsiTheme="majorHAnsi"/>
          <w:sz w:val="24"/>
          <w:szCs w:val="24"/>
          <w:lang w:val="ro-RO"/>
        </w:rPr>
        <w:t xml:space="preserve">and commissioned </w:t>
      </w:r>
      <w:r>
        <w:rPr>
          <w:rFonts w:asciiTheme="majorHAnsi" w:hAnsiTheme="majorHAnsi"/>
          <w:sz w:val="24"/>
          <w:szCs w:val="24"/>
          <w:lang w:val="ro-RO"/>
        </w:rPr>
        <w:t xml:space="preserve">products  </w:t>
      </w:r>
      <w:r w:rsidR="00803D3A">
        <w:rPr>
          <w:rFonts w:asciiTheme="majorHAnsi" w:hAnsiTheme="majorHAnsi"/>
          <w:sz w:val="24"/>
          <w:szCs w:val="24"/>
          <w:lang w:val="ro-RO"/>
        </w:rPr>
        <w:t xml:space="preserve">all the technological equipment related to the SCADA System implementation which are monitored and represent the main activity of the SCADA PMU/The Automation and SCADA Unit </w:t>
      </w:r>
      <w:r>
        <w:rPr>
          <w:rFonts w:asciiTheme="majorHAnsi" w:hAnsiTheme="majorHAnsi"/>
          <w:sz w:val="24"/>
          <w:szCs w:val="24"/>
          <w:lang w:val="ro-RO"/>
        </w:rPr>
        <w:t xml:space="preserve">are reported in the period </w:t>
      </w:r>
      <w:r w:rsidR="00B05450" w:rsidRPr="00945A8E">
        <w:rPr>
          <w:rFonts w:asciiTheme="majorHAnsi" w:hAnsiTheme="majorHAnsi"/>
          <w:sz w:val="24"/>
          <w:szCs w:val="24"/>
          <w:lang w:val="ro-RO"/>
        </w:rPr>
        <w:t xml:space="preserve">2013-2016 </w:t>
      </w:r>
      <w:r>
        <w:rPr>
          <w:rFonts w:asciiTheme="majorHAnsi" w:hAnsiTheme="majorHAnsi"/>
          <w:sz w:val="24"/>
          <w:szCs w:val="24"/>
          <w:lang w:val="ro-RO"/>
        </w:rPr>
        <w:t xml:space="preserve">as executed and completed </w:t>
      </w:r>
      <w:r w:rsidR="00803D3A">
        <w:rPr>
          <w:rFonts w:asciiTheme="majorHAnsi" w:hAnsiTheme="majorHAnsi"/>
          <w:sz w:val="24"/>
          <w:szCs w:val="24"/>
          <w:lang w:val="ro-RO"/>
        </w:rPr>
        <w:t xml:space="preserve">based on the following two contracts: </w:t>
      </w:r>
    </w:p>
    <w:p w:rsidR="00B05450" w:rsidRPr="00945A8E" w:rsidRDefault="00B05450" w:rsidP="00B05450">
      <w:pPr>
        <w:pStyle w:val="ListParagraph"/>
        <w:spacing w:after="0" w:line="240" w:lineRule="auto"/>
        <w:ind w:firstLine="0"/>
        <w:jc w:val="both"/>
        <w:rPr>
          <w:rFonts w:asciiTheme="majorHAnsi" w:hAnsiTheme="majorHAnsi"/>
          <w:sz w:val="24"/>
          <w:szCs w:val="24"/>
          <w:lang w:val="ro-RO"/>
        </w:rPr>
      </w:pPr>
    </w:p>
    <w:p w:rsidR="00B05450" w:rsidRPr="00945A8E" w:rsidRDefault="00803D3A" w:rsidP="00FA6EB9">
      <w:pPr>
        <w:pStyle w:val="ListParagraph"/>
        <w:numPr>
          <w:ilvl w:val="0"/>
          <w:numId w:val="102"/>
        </w:numPr>
        <w:spacing w:after="0" w:line="240" w:lineRule="auto"/>
        <w:ind w:left="1134" w:hanging="425"/>
        <w:jc w:val="both"/>
        <w:rPr>
          <w:rFonts w:asciiTheme="majorHAnsi" w:hAnsiTheme="majorHAnsi"/>
          <w:sz w:val="24"/>
          <w:szCs w:val="24"/>
          <w:lang w:val="ro-RO"/>
        </w:rPr>
      </w:pPr>
      <w:r>
        <w:rPr>
          <w:rFonts w:asciiTheme="majorHAnsi" w:hAnsiTheme="majorHAnsi"/>
          <w:sz w:val="24"/>
          <w:szCs w:val="24"/>
        </w:rPr>
        <w:t xml:space="preserve">Supply </w:t>
      </w:r>
      <w:r w:rsidR="00B05450" w:rsidRPr="00945A8E">
        <w:rPr>
          <w:rFonts w:asciiTheme="majorHAnsi" w:hAnsiTheme="majorHAnsi"/>
          <w:sz w:val="24"/>
          <w:szCs w:val="24"/>
        </w:rPr>
        <w:t>Contract n</w:t>
      </w:r>
      <w:r>
        <w:rPr>
          <w:rFonts w:asciiTheme="majorHAnsi" w:hAnsiTheme="majorHAnsi"/>
          <w:sz w:val="24"/>
          <w:szCs w:val="24"/>
        </w:rPr>
        <w:t>o</w:t>
      </w:r>
      <w:r w:rsidR="00B05450" w:rsidRPr="00945A8E">
        <w:rPr>
          <w:rFonts w:asciiTheme="majorHAnsi" w:hAnsiTheme="majorHAnsi"/>
          <w:sz w:val="24"/>
          <w:szCs w:val="24"/>
        </w:rPr>
        <w:t xml:space="preserve">. 17095/2009 </w:t>
      </w:r>
      <w:r w:rsidR="00B05450" w:rsidRPr="00945A8E">
        <w:rPr>
          <w:rFonts w:asciiTheme="majorHAnsi" w:eastAsia="Calibri" w:hAnsiTheme="majorHAnsi" w:cs="Times New Roman"/>
          <w:sz w:val="24"/>
          <w:szCs w:val="24"/>
          <w:lang w:val="ro-RO"/>
        </w:rPr>
        <w:t>„</w:t>
      </w:r>
      <w:r>
        <w:rPr>
          <w:rFonts w:asciiTheme="majorHAnsi" w:eastAsia="Calibri" w:hAnsiTheme="majorHAnsi" w:cs="Times New Roman"/>
          <w:sz w:val="24"/>
          <w:szCs w:val="24"/>
          <w:lang w:val="ro-RO"/>
        </w:rPr>
        <w:t>SCADA System for the national gas transmission system</w:t>
      </w:r>
      <w:r w:rsidR="00B05450" w:rsidRPr="00945A8E">
        <w:rPr>
          <w:rFonts w:asciiTheme="majorHAnsi" w:eastAsia="Calibri" w:hAnsiTheme="majorHAnsi" w:cs="Times New Roman"/>
          <w:sz w:val="24"/>
          <w:szCs w:val="24"/>
          <w:lang w:val="ro-RO"/>
        </w:rPr>
        <w:t>”</w:t>
      </w:r>
      <w:r w:rsidR="00B05450" w:rsidRPr="00945A8E">
        <w:rPr>
          <w:rFonts w:asciiTheme="majorHAnsi" w:eastAsia="Calibri" w:hAnsiTheme="majorHAnsi" w:cs="Times New Roman"/>
          <w:sz w:val="24"/>
          <w:szCs w:val="24"/>
        </w:rPr>
        <w:t>:</w:t>
      </w:r>
    </w:p>
    <w:p w:rsidR="00B05450" w:rsidRDefault="00B05450" w:rsidP="00433090">
      <w:pPr>
        <w:spacing w:after="0" w:line="240" w:lineRule="auto"/>
        <w:ind w:firstLine="0"/>
        <w:jc w:val="both"/>
        <w:rPr>
          <w:rFonts w:asciiTheme="majorHAnsi" w:hAnsiTheme="majorHAnsi"/>
          <w:sz w:val="24"/>
          <w:szCs w:val="24"/>
          <w:lang w:val="en-GB"/>
        </w:rPr>
      </w:pPr>
    </w:p>
    <w:p w:rsidR="00B05450" w:rsidRDefault="00837371" w:rsidP="00433090">
      <w:pPr>
        <w:spacing w:after="0" w:line="240" w:lineRule="auto"/>
        <w:ind w:firstLine="0"/>
        <w:jc w:val="both"/>
        <w:rPr>
          <w:rFonts w:asciiTheme="majorHAnsi" w:hAnsiTheme="majorHAnsi"/>
          <w:sz w:val="24"/>
          <w:szCs w:val="24"/>
          <w:lang w:val="en-GB"/>
        </w:rPr>
      </w:pPr>
      <w:r>
        <w:rPr>
          <w:noProof/>
          <w:lang w:val="ro-RO" w:eastAsia="ro-RO"/>
        </w:rPr>
        <w:drawing>
          <wp:inline distT="0" distB="0" distL="0" distR="0" wp14:anchorId="62F72350" wp14:editId="3E12904D">
            <wp:extent cx="5305425" cy="234315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37371" w:rsidRDefault="00837371" w:rsidP="00433090">
      <w:pPr>
        <w:spacing w:after="0" w:line="240" w:lineRule="auto"/>
        <w:ind w:firstLine="0"/>
        <w:jc w:val="both"/>
        <w:rPr>
          <w:rFonts w:asciiTheme="majorHAnsi" w:hAnsiTheme="majorHAnsi"/>
          <w:sz w:val="24"/>
          <w:szCs w:val="24"/>
          <w:lang w:val="en-GB"/>
        </w:rPr>
      </w:pPr>
    </w:p>
    <w:p w:rsidR="00803D3A" w:rsidRDefault="00803D3A" w:rsidP="00FA6EB9">
      <w:pPr>
        <w:pStyle w:val="ListParagraph"/>
        <w:numPr>
          <w:ilvl w:val="0"/>
          <w:numId w:val="102"/>
        </w:numPr>
        <w:spacing w:after="0" w:line="240" w:lineRule="auto"/>
        <w:ind w:left="1134"/>
        <w:jc w:val="both"/>
        <w:rPr>
          <w:rFonts w:asciiTheme="majorHAnsi" w:hAnsiTheme="majorHAnsi"/>
          <w:sz w:val="24"/>
          <w:szCs w:val="24"/>
          <w:lang w:val="ro-RO"/>
        </w:rPr>
      </w:pPr>
      <w:r>
        <w:rPr>
          <w:rFonts w:asciiTheme="majorHAnsi" w:hAnsiTheme="majorHAnsi"/>
          <w:sz w:val="24"/>
          <w:szCs w:val="24"/>
          <w:lang w:val="ro-RO"/>
        </w:rPr>
        <w:t xml:space="preserve">Services contract 408/2014 „Services related to the transformation of 76 metering lines </w:t>
      </w:r>
      <w:r w:rsidR="00D01BFF">
        <w:rPr>
          <w:rFonts w:asciiTheme="majorHAnsi" w:hAnsiTheme="majorHAnsi"/>
          <w:sz w:val="24"/>
          <w:szCs w:val="24"/>
          <w:lang w:val="ro-RO"/>
        </w:rPr>
        <w:t>from unidirectional metering to bi-directional metering”:</w:t>
      </w:r>
    </w:p>
    <w:p w:rsidR="00837371" w:rsidRPr="00945A8E" w:rsidRDefault="00837371" w:rsidP="00803D3A">
      <w:pPr>
        <w:pStyle w:val="ListParagraph"/>
        <w:spacing w:after="0" w:line="240" w:lineRule="auto"/>
        <w:ind w:left="1134" w:firstLine="0"/>
        <w:jc w:val="both"/>
        <w:rPr>
          <w:rFonts w:asciiTheme="majorHAnsi" w:hAnsiTheme="majorHAnsi"/>
          <w:sz w:val="24"/>
          <w:szCs w:val="24"/>
          <w:lang w:val="ro-RO"/>
        </w:rPr>
      </w:pPr>
    </w:p>
    <w:tbl>
      <w:tblPr>
        <w:tblStyle w:val="TableGrid"/>
        <w:tblW w:w="6660"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862"/>
        <w:gridCol w:w="2798"/>
      </w:tblGrid>
      <w:tr w:rsidR="00837371" w:rsidRPr="00945A8E" w:rsidTr="00A56D34">
        <w:trPr>
          <w:trHeight w:val="92"/>
          <w:tblCellSpacing w:w="20" w:type="dxa"/>
          <w:jc w:val="center"/>
        </w:trPr>
        <w:tc>
          <w:tcPr>
            <w:tcW w:w="6580" w:type="dxa"/>
            <w:gridSpan w:val="2"/>
            <w:shd w:val="clear" w:color="auto" w:fill="DBE5F1" w:themeFill="accent1" w:themeFillTint="33"/>
            <w:vAlign w:val="center"/>
          </w:tcPr>
          <w:p w:rsidR="00837371" w:rsidRPr="00945A8E" w:rsidRDefault="00600834" w:rsidP="00600834">
            <w:pPr>
              <w:spacing w:after="0" w:line="240" w:lineRule="auto"/>
              <w:jc w:val="center"/>
              <w:rPr>
                <w:rFonts w:asciiTheme="majorHAnsi" w:hAnsiTheme="majorHAnsi"/>
                <w:b/>
                <w:sz w:val="20"/>
                <w:szCs w:val="20"/>
                <w:lang w:val="ro-RO"/>
              </w:rPr>
            </w:pPr>
            <w:r>
              <w:rPr>
                <w:rFonts w:asciiTheme="majorHAnsi" w:hAnsiTheme="majorHAnsi"/>
                <w:b/>
                <w:sz w:val="20"/>
                <w:szCs w:val="20"/>
                <w:lang w:val="ro-RO"/>
              </w:rPr>
              <w:t>Payment schedule Services Contract</w:t>
            </w:r>
            <w:r w:rsidR="00837371" w:rsidRPr="00945A8E">
              <w:rPr>
                <w:rFonts w:asciiTheme="majorHAnsi" w:hAnsiTheme="majorHAnsi"/>
                <w:b/>
                <w:sz w:val="20"/>
                <w:szCs w:val="20"/>
                <w:lang w:val="ro-RO"/>
              </w:rPr>
              <w:t xml:space="preserve"> n</w:t>
            </w:r>
            <w:r>
              <w:rPr>
                <w:rFonts w:asciiTheme="majorHAnsi" w:hAnsiTheme="majorHAnsi"/>
                <w:b/>
                <w:sz w:val="20"/>
                <w:szCs w:val="20"/>
                <w:lang w:val="ro-RO"/>
              </w:rPr>
              <w:t xml:space="preserve">o. </w:t>
            </w:r>
            <w:r w:rsidR="00837371" w:rsidRPr="00945A8E">
              <w:rPr>
                <w:rFonts w:asciiTheme="majorHAnsi" w:hAnsiTheme="majorHAnsi"/>
                <w:b/>
                <w:sz w:val="20"/>
                <w:szCs w:val="20"/>
                <w:lang w:val="ro-RO"/>
              </w:rPr>
              <w:t xml:space="preserve"> 408/2014</w:t>
            </w:r>
          </w:p>
        </w:tc>
      </w:tr>
      <w:tr w:rsidR="00837371" w:rsidRPr="00945A8E" w:rsidTr="00A56D34">
        <w:trPr>
          <w:trHeight w:val="188"/>
          <w:tblCellSpacing w:w="20" w:type="dxa"/>
          <w:jc w:val="center"/>
        </w:trPr>
        <w:tc>
          <w:tcPr>
            <w:tcW w:w="3802" w:type="dxa"/>
            <w:vAlign w:val="center"/>
          </w:tcPr>
          <w:p w:rsidR="00837371" w:rsidRPr="00945A8E" w:rsidRDefault="00600834" w:rsidP="00600834">
            <w:pPr>
              <w:spacing w:after="0" w:line="240" w:lineRule="auto"/>
              <w:rPr>
                <w:rFonts w:asciiTheme="majorHAnsi" w:hAnsiTheme="majorHAnsi"/>
                <w:sz w:val="20"/>
                <w:szCs w:val="20"/>
                <w:lang w:val="ro-RO"/>
              </w:rPr>
            </w:pPr>
            <w:r>
              <w:rPr>
                <w:rFonts w:asciiTheme="majorHAnsi" w:hAnsiTheme="majorHAnsi"/>
                <w:sz w:val="20"/>
                <w:szCs w:val="20"/>
                <w:lang w:val="ro-RO"/>
              </w:rPr>
              <w:t xml:space="preserve">Payment description </w:t>
            </w:r>
          </w:p>
        </w:tc>
        <w:tc>
          <w:tcPr>
            <w:tcW w:w="2738" w:type="dxa"/>
            <w:vAlign w:val="center"/>
          </w:tcPr>
          <w:p w:rsidR="00837371" w:rsidRPr="00945A8E" w:rsidRDefault="00600834" w:rsidP="00A56D34">
            <w:pPr>
              <w:spacing w:after="0" w:line="240" w:lineRule="auto"/>
              <w:jc w:val="right"/>
              <w:rPr>
                <w:rFonts w:asciiTheme="majorHAnsi" w:hAnsiTheme="majorHAnsi"/>
                <w:sz w:val="20"/>
                <w:szCs w:val="20"/>
                <w:lang w:val="ro-RO"/>
              </w:rPr>
            </w:pPr>
            <w:r>
              <w:rPr>
                <w:rFonts w:asciiTheme="majorHAnsi" w:hAnsiTheme="majorHAnsi"/>
                <w:sz w:val="20"/>
                <w:szCs w:val="20"/>
                <w:lang w:val="ro-RO"/>
              </w:rPr>
              <w:t>Amount</w:t>
            </w:r>
            <w:r w:rsidR="00837371" w:rsidRPr="00945A8E">
              <w:rPr>
                <w:rFonts w:asciiTheme="majorHAnsi" w:hAnsiTheme="majorHAnsi"/>
                <w:sz w:val="20"/>
                <w:szCs w:val="20"/>
                <w:lang w:val="ro-RO"/>
              </w:rPr>
              <w:t xml:space="preserve"> (Euro – </w:t>
            </w:r>
            <w:r>
              <w:rPr>
                <w:rFonts w:asciiTheme="majorHAnsi" w:hAnsiTheme="majorHAnsi"/>
                <w:sz w:val="20"/>
                <w:szCs w:val="20"/>
                <w:lang w:val="ro-RO"/>
              </w:rPr>
              <w:t>VAT excluded</w:t>
            </w:r>
            <w:r w:rsidR="00837371" w:rsidRPr="00945A8E">
              <w:rPr>
                <w:rFonts w:asciiTheme="majorHAnsi" w:hAnsiTheme="majorHAnsi"/>
                <w:sz w:val="20"/>
                <w:szCs w:val="20"/>
                <w:lang w:val="ro-RO"/>
              </w:rPr>
              <w:t>)</w:t>
            </w:r>
          </w:p>
        </w:tc>
      </w:tr>
      <w:tr w:rsidR="00837371" w:rsidRPr="00945A8E" w:rsidTr="00A56D34">
        <w:trPr>
          <w:trHeight w:val="55"/>
          <w:tblCellSpacing w:w="20" w:type="dxa"/>
          <w:jc w:val="center"/>
        </w:trPr>
        <w:tc>
          <w:tcPr>
            <w:tcW w:w="3802" w:type="dxa"/>
            <w:vAlign w:val="center"/>
          </w:tcPr>
          <w:p w:rsidR="00837371" w:rsidRPr="00945A8E" w:rsidRDefault="00600834" w:rsidP="00600834">
            <w:pPr>
              <w:spacing w:after="0" w:line="240" w:lineRule="auto"/>
              <w:rPr>
                <w:rFonts w:asciiTheme="majorHAnsi" w:hAnsiTheme="majorHAnsi"/>
                <w:sz w:val="20"/>
                <w:szCs w:val="20"/>
                <w:lang w:val="ro-RO"/>
              </w:rPr>
            </w:pPr>
            <w:r>
              <w:rPr>
                <w:rFonts w:asciiTheme="majorHAnsi" w:hAnsiTheme="majorHAnsi"/>
                <w:sz w:val="20"/>
                <w:szCs w:val="20"/>
                <w:lang w:val="ro-RO"/>
              </w:rPr>
              <w:t xml:space="preserve">Advance </w:t>
            </w:r>
          </w:p>
        </w:tc>
        <w:tc>
          <w:tcPr>
            <w:tcW w:w="2738" w:type="dxa"/>
            <w:vAlign w:val="center"/>
          </w:tcPr>
          <w:p w:rsidR="00837371" w:rsidRPr="00945A8E" w:rsidRDefault="00837371" w:rsidP="00A56D34">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388.566,60</w:t>
            </w:r>
          </w:p>
        </w:tc>
      </w:tr>
      <w:tr w:rsidR="00837371" w:rsidRPr="00945A8E" w:rsidTr="00A56D34">
        <w:trPr>
          <w:trHeight w:val="62"/>
          <w:tblCellSpacing w:w="20" w:type="dxa"/>
          <w:jc w:val="center"/>
        </w:trPr>
        <w:tc>
          <w:tcPr>
            <w:tcW w:w="3802" w:type="dxa"/>
            <w:vAlign w:val="center"/>
          </w:tcPr>
          <w:p w:rsidR="00837371" w:rsidRPr="00945A8E" w:rsidRDefault="00600834" w:rsidP="00600834">
            <w:pPr>
              <w:spacing w:after="0" w:line="240" w:lineRule="auto"/>
              <w:rPr>
                <w:rFonts w:asciiTheme="majorHAnsi" w:hAnsiTheme="majorHAnsi"/>
                <w:sz w:val="20"/>
                <w:szCs w:val="20"/>
                <w:lang w:val="ro-RO"/>
              </w:rPr>
            </w:pPr>
            <w:r>
              <w:rPr>
                <w:rFonts w:asciiTheme="majorHAnsi" w:hAnsiTheme="majorHAnsi"/>
                <w:sz w:val="20"/>
                <w:szCs w:val="20"/>
                <w:lang w:val="ro-RO"/>
              </w:rPr>
              <w:t xml:space="preserve">Submittal of the documentation </w:t>
            </w:r>
          </w:p>
        </w:tc>
        <w:tc>
          <w:tcPr>
            <w:tcW w:w="2738" w:type="dxa"/>
            <w:vAlign w:val="center"/>
          </w:tcPr>
          <w:p w:rsidR="00837371" w:rsidRPr="00945A8E" w:rsidRDefault="00837371" w:rsidP="00A56D34">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388.566,60</w:t>
            </w:r>
          </w:p>
        </w:tc>
      </w:tr>
      <w:tr w:rsidR="00837371" w:rsidRPr="00945A8E" w:rsidTr="00A56D34">
        <w:trPr>
          <w:trHeight w:val="55"/>
          <w:tblCellSpacing w:w="20" w:type="dxa"/>
          <w:jc w:val="center"/>
        </w:trPr>
        <w:tc>
          <w:tcPr>
            <w:tcW w:w="3802" w:type="dxa"/>
            <w:vAlign w:val="center"/>
          </w:tcPr>
          <w:p w:rsidR="00837371" w:rsidRPr="00945A8E" w:rsidRDefault="00600834" w:rsidP="00600834">
            <w:pPr>
              <w:spacing w:after="0" w:line="240" w:lineRule="auto"/>
              <w:rPr>
                <w:rFonts w:asciiTheme="majorHAnsi" w:hAnsiTheme="majorHAnsi"/>
                <w:sz w:val="20"/>
                <w:szCs w:val="20"/>
                <w:lang w:val="ro-RO"/>
              </w:rPr>
            </w:pPr>
            <w:r>
              <w:rPr>
                <w:rFonts w:asciiTheme="majorHAnsi" w:hAnsiTheme="majorHAnsi"/>
                <w:sz w:val="20"/>
                <w:szCs w:val="20"/>
                <w:lang w:val="ro-RO"/>
              </w:rPr>
              <w:t xml:space="preserve">Delivery 38 metering lines </w:t>
            </w:r>
          </w:p>
        </w:tc>
        <w:tc>
          <w:tcPr>
            <w:tcW w:w="2738" w:type="dxa"/>
            <w:vAlign w:val="center"/>
          </w:tcPr>
          <w:p w:rsidR="00837371" w:rsidRPr="00945A8E" w:rsidRDefault="00837371" w:rsidP="00A56D34">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259.044,40</w:t>
            </w:r>
          </w:p>
        </w:tc>
      </w:tr>
      <w:tr w:rsidR="00837371" w:rsidRPr="00945A8E" w:rsidTr="00A56D34">
        <w:trPr>
          <w:trHeight w:val="55"/>
          <w:tblCellSpacing w:w="20" w:type="dxa"/>
          <w:jc w:val="center"/>
        </w:trPr>
        <w:tc>
          <w:tcPr>
            <w:tcW w:w="3802" w:type="dxa"/>
            <w:vAlign w:val="center"/>
          </w:tcPr>
          <w:p w:rsidR="00837371" w:rsidRPr="00945A8E" w:rsidRDefault="00600834" w:rsidP="00600834">
            <w:pPr>
              <w:spacing w:after="0" w:line="240" w:lineRule="auto"/>
              <w:rPr>
                <w:rFonts w:asciiTheme="majorHAnsi" w:hAnsiTheme="majorHAnsi"/>
                <w:sz w:val="20"/>
                <w:szCs w:val="20"/>
                <w:lang w:val="ro-RO"/>
              </w:rPr>
            </w:pPr>
            <w:r>
              <w:rPr>
                <w:rFonts w:asciiTheme="majorHAnsi" w:hAnsiTheme="majorHAnsi"/>
                <w:sz w:val="20"/>
                <w:szCs w:val="20"/>
                <w:lang w:val="ro-RO"/>
              </w:rPr>
              <w:t xml:space="preserve">Delivery 38 metering lines </w:t>
            </w:r>
          </w:p>
        </w:tc>
        <w:tc>
          <w:tcPr>
            <w:tcW w:w="2738" w:type="dxa"/>
            <w:vAlign w:val="center"/>
          </w:tcPr>
          <w:p w:rsidR="00837371" w:rsidRPr="00945A8E" w:rsidRDefault="00837371" w:rsidP="00A56D34">
            <w:pPr>
              <w:spacing w:after="0" w:line="240" w:lineRule="auto"/>
              <w:jc w:val="right"/>
              <w:rPr>
                <w:rFonts w:asciiTheme="majorHAnsi" w:hAnsiTheme="majorHAnsi"/>
                <w:sz w:val="20"/>
                <w:szCs w:val="20"/>
                <w:lang w:val="ro-RO"/>
              </w:rPr>
            </w:pPr>
            <w:r w:rsidRPr="00945A8E">
              <w:rPr>
                <w:rFonts w:asciiTheme="majorHAnsi" w:hAnsiTheme="majorHAnsi"/>
                <w:sz w:val="20"/>
                <w:szCs w:val="20"/>
                <w:lang w:val="ro-RO"/>
              </w:rPr>
              <w:t>259.044,40</w:t>
            </w:r>
          </w:p>
        </w:tc>
      </w:tr>
      <w:tr w:rsidR="00837371" w:rsidRPr="00945A8E" w:rsidTr="00A56D34">
        <w:trPr>
          <w:trHeight w:val="55"/>
          <w:tblCellSpacing w:w="20" w:type="dxa"/>
          <w:jc w:val="center"/>
        </w:trPr>
        <w:tc>
          <w:tcPr>
            <w:tcW w:w="3802" w:type="dxa"/>
            <w:vAlign w:val="center"/>
          </w:tcPr>
          <w:p w:rsidR="00837371" w:rsidRPr="00945A8E" w:rsidRDefault="00837371" w:rsidP="00A56D34">
            <w:pPr>
              <w:spacing w:after="0" w:line="240" w:lineRule="auto"/>
              <w:rPr>
                <w:rFonts w:asciiTheme="majorHAnsi" w:hAnsiTheme="majorHAnsi"/>
                <w:b/>
                <w:sz w:val="20"/>
                <w:szCs w:val="20"/>
                <w:lang w:val="ro-RO"/>
              </w:rPr>
            </w:pPr>
            <w:r w:rsidRPr="00945A8E">
              <w:rPr>
                <w:rFonts w:asciiTheme="majorHAnsi" w:hAnsiTheme="majorHAnsi"/>
                <w:b/>
                <w:sz w:val="20"/>
                <w:szCs w:val="20"/>
                <w:lang w:val="ro-RO"/>
              </w:rPr>
              <w:t>TOTAL</w:t>
            </w:r>
          </w:p>
        </w:tc>
        <w:tc>
          <w:tcPr>
            <w:tcW w:w="2738" w:type="dxa"/>
            <w:vAlign w:val="center"/>
          </w:tcPr>
          <w:p w:rsidR="00837371" w:rsidRPr="00945A8E" w:rsidRDefault="00837371" w:rsidP="00A56D34">
            <w:pPr>
              <w:spacing w:after="0" w:line="240" w:lineRule="auto"/>
              <w:jc w:val="right"/>
              <w:rPr>
                <w:rFonts w:asciiTheme="majorHAnsi" w:hAnsiTheme="majorHAnsi"/>
                <w:b/>
                <w:sz w:val="20"/>
                <w:szCs w:val="20"/>
                <w:lang w:val="ro-RO"/>
              </w:rPr>
            </w:pPr>
            <w:r w:rsidRPr="00945A8E">
              <w:rPr>
                <w:rFonts w:asciiTheme="majorHAnsi" w:hAnsiTheme="majorHAnsi"/>
                <w:b/>
                <w:sz w:val="20"/>
                <w:szCs w:val="20"/>
                <w:lang w:val="ro-RO"/>
              </w:rPr>
              <w:t>1.295.222,00</w:t>
            </w:r>
          </w:p>
        </w:tc>
      </w:tr>
    </w:tbl>
    <w:p w:rsidR="00837371" w:rsidRPr="00837371" w:rsidRDefault="00837371" w:rsidP="00837371">
      <w:pPr>
        <w:spacing w:after="0" w:line="240" w:lineRule="auto"/>
        <w:ind w:firstLine="0"/>
        <w:jc w:val="both"/>
        <w:rPr>
          <w:rFonts w:asciiTheme="majorHAnsi" w:hAnsiTheme="majorHAnsi"/>
          <w:sz w:val="24"/>
          <w:szCs w:val="24"/>
          <w:lang w:val="ro-RO"/>
        </w:rPr>
      </w:pPr>
    </w:p>
    <w:p w:rsidR="00600834" w:rsidRPr="00600834" w:rsidRDefault="00600834" w:rsidP="00FA6EB9">
      <w:pPr>
        <w:pStyle w:val="ListParagraph"/>
        <w:numPr>
          <w:ilvl w:val="0"/>
          <w:numId w:val="103"/>
        </w:numPr>
        <w:spacing w:after="0" w:line="240" w:lineRule="auto"/>
        <w:jc w:val="both"/>
        <w:rPr>
          <w:rFonts w:asciiTheme="majorHAnsi" w:hAnsiTheme="majorHAnsi"/>
          <w:sz w:val="24"/>
          <w:szCs w:val="24"/>
          <w:lang w:val="ro-RO"/>
        </w:rPr>
      </w:pPr>
      <w:r>
        <w:rPr>
          <w:rFonts w:asciiTheme="majorHAnsi" w:hAnsiTheme="majorHAnsi"/>
          <w:sz w:val="24"/>
          <w:szCs w:val="24"/>
          <w:lang w:val="ro-RO"/>
        </w:rPr>
        <w:t>In view of th</w:t>
      </w:r>
      <w:r w:rsidR="0089649D">
        <w:rPr>
          <w:rFonts w:asciiTheme="majorHAnsi" w:hAnsiTheme="majorHAnsi"/>
          <w:sz w:val="24"/>
          <w:szCs w:val="24"/>
          <w:lang w:val="ro-RO"/>
        </w:rPr>
        <w:t>e implementation of the „SCADA System for the National Gas Transmission S</w:t>
      </w:r>
      <w:r>
        <w:rPr>
          <w:rFonts w:asciiTheme="majorHAnsi" w:hAnsiTheme="majorHAnsi"/>
          <w:sz w:val="24"/>
          <w:szCs w:val="24"/>
          <w:lang w:val="ro-RO"/>
        </w:rPr>
        <w:t>ystem”</w:t>
      </w:r>
      <w:r w:rsidR="0089649D">
        <w:rPr>
          <w:rFonts w:asciiTheme="majorHAnsi" w:hAnsiTheme="majorHAnsi"/>
          <w:sz w:val="24"/>
          <w:szCs w:val="24"/>
          <w:lang w:val="ro-RO"/>
        </w:rPr>
        <w:t xml:space="preserve"> Transgaz concluded a grant agreement with the Intermediary Body for Energy – Grant agreement no 5T/2012 „Implementing a supervisory and automatic data procurement within the entire gas transmission system – SCADA” providing the fulfilment of some achievement and result indicators;   </w:t>
      </w:r>
    </w:p>
    <w:p w:rsidR="002F420C" w:rsidRPr="002F420C" w:rsidRDefault="002F420C" w:rsidP="00FA6EB9">
      <w:pPr>
        <w:pStyle w:val="ListParagraph"/>
        <w:numPr>
          <w:ilvl w:val="0"/>
          <w:numId w:val="103"/>
        </w:numPr>
        <w:spacing w:after="0" w:line="240" w:lineRule="auto"/>
        <w:jc w:val="both"/>
        <w:rPr>
          <w:rFonts w:asciiTheme="majorHAnsi" w:hAnsiTheme="majorHAnsi"/>
          <w:sz w:val="24"/>
          <w:szCs w:val="24"/>
          <w:lang w:val="ro-RO"/>
        </w:rPr>
      </w:pPr>
      <w:r>
        <w:rPr>
          <w:rFonts w:asciiTheme="majorHAnsi" w:hAnsiTheme="majorHAnsi"/>
          <w:sz w:val="24"/>
          <w:szCs w:val="24"/>
          <w:lang w:val="ro-RO"/>
        </w:rPr>
        <w:t xml:space="preserve">The implementation of the Project/SCADA system </w:t>
      </w:r>
      <w:r w:rsidR="00B81EBC">
        <w:rPr>
          <w:rFonts w:asciiTheme="majorHAnsi" w:hAnsiTheme="majorHAnsi"/>
          <w:sz w:val="24"/>
          <w:szCs w:val="24"/>
          <w:lang w:val="ro-RO"/>
        </w:rPr>
        <w:t xml:space="preserve">Transgaz in line with the Grant Agreement no 5T/2012 was reported as completed on 15.01.2016 the date of the commissioning of the „SCADA system for the National Gas Transmission system” according to the Supply Contract no. </w:t>
      </w:r>
      <w:r w:rsidR="00B81EBC" w:rsidRPr="00945A8E">
        <w:rPr>
          <w:rFonts w:asciiTheme="majorHAnsi" w:hAnsiTheme="majorHAnsi"/>
          <w:sz w:val="24"/>
          <w:szCs w:val="24"/>
        </w:rPr>
        <w:t>17095/2009.</w:t>
      </w:r>
      <w:r w:rsidR="00B81EBC">
        <w:rPr>
          <w:rFonts w:asciiTheme="majorHAnsi" w:hAnsiTheme="majorHAnsi"/>
          <w:sz w:val="24"/>
          <w:szCs w:val="24"/>
        </w:rPr>
        <w:t xml:space="preserve"> Please find in the table below a detailing of the reported degree of implementation according to the achievement indicators undertaken by the grant agreement: </w:t>
      </w:r>
    </w:p>
    <w:p w:rsidR="00837371" w:rsidRDefault="00837371" w:rsidP="00433090">
      <w:pPr>
        <w:spacing w:after="0" w:line="240" w:lineRule="auto"/>
        <w:ind w:firstLine="0"/>
        <w:jc w:val="both"/>
        <w:rPr>
          <w:rFonts w:asciiTheme="majorHAnsi" w:hAnsiTheme="majorHAnsi"/>
          <w:sz w:val="24"/>
          <w:szCs w:val="24"/>
          <w:lang w:val="en-GB"/>
        </w:rPr>
      </w:pPr>
    </w:p>
    <w:tbl>
      <w:tblPr>
        <w:tblStyle w:val="TableGrid"/>
        <w:tblW w:w="8430" w:type="dxa"/>
        <w:tblCellSpacing w:w="20" w:type="dxa"/>
        <w:tblInd w:w="564"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536"/>
        <w:gridCol w:w="1843"/>
        <w:gridCol w:w="2051"/>
      </w:tblGrid>
      <w:tr w:rsidR="00837371" w:rsidRPr="00837371" w:rsidTr="00A56D34">
        <w:trPr>
          <w:trHeight w:val="288"/>
          <w:tblCellSpacing w:w="20" w:type="dxa"/>
        </w:trPr>
        <w:tc>
          <w:tcPr>
            <w:tcW w:w="4476" w:type="dxa"/>
            <w:shd w:val="clear" w:color="auto" w:fill="DBE5F1" w:themeFill="accent1" w:themeFillTint="33"/>
            <w:vAlign w:val="center"/>
          </w:tcPr>
          <w:p w:rsidR="00837371" w:rsidRPr="00837371" w:rsidRDefault="00837371" w:rsidP="00A56D34">
            <w:pPr>
              <w:spacing w:after="0" w:line="240" w:lineRule="auto"/>
              <w:rPr>
                <w:rFonts w:asciiTheme="majorHAnsi" w:hAnsiTheme="majorHAnsi"/>
                <w:b/>
                <w:sz w:val="18"/>
                <w:szCs w:val="18"/>
                <w:lang w:val="en-GB"/>
              </w:rPr>
            </w:pPr>
            <w:r w:rsidRPr="00837371">
              <w:rPr>
                <w:rFonts w:asciiTheme="majorHAnsi" w:hAnsiTheme="majorHAnsi"/>
                <w:b/>
                <w:sz w:val="18"/>
                <w:szCs w:val="18"/>
                <w:lang w:val="en-GB"/>
              </w:rPr>
              <w:t>Type of achievement indicator</w:t>
            </w:r>
          </w:p>
        </w:tc>
        <w:tc>
          <w:tcPr>
            <w:tcW w:w="1803" w:type="dxa"/>
            <w:shd w:val="clear" w:color="auto" w:fill="DBE5F1" w:themeFill="accent1" w:themeFillTint="33"/>
            <w:vAlign w:val="center"/>
          </w:tcPr>
          <w:p w:rsidR="00837371" w:rsidRPr="00837371" w:rsidRDefault="00837371" w:rsidP="00837371">
            <w:pPr>
              <w:spacing w:after="0" w:line="240" w:lineRule="auto"/>
              <w:jc w:val="center"/>
              <w:rPr>
                <w:rFonts w:asciiTheme="majorHAnsi" w:hAnsiTheme="majorHAnsi"/>
                <w:b/>
                <w:sz w:val="18"/>
                <w:szCs w:val="18"/>
                <w:lang w:val="en-GB"/>
              </w:rPr>
            </w:pPr>
            <w:r w:rsidRPr="00837371">
              <w:rPr>
                <w:rFonts w:asciiTheme="majorHAnsi" w:hAnsiTheme="majorHAnsi"/>
                <w:b/>
                <w:sz w:val="18"/>
                <w:szCs w:val="18"/>
                <w:lang w:val="en-GB"/>
              </w:rPr>
              <w:t>In the contract</w:t>
            </w:r>
          </w:p>
        </w:tc>
        <w:tc>
          <w:tcPr>
            <w:tcW w:w="1991" w:type="dxa"/>
            <w:shd w:val="clear" w:color="auto" w:fill="DBE5F1" w:themeFill="accent1" w:themeFillTint="33"/>
            <w:vAlign w:val="center"/>
          </w:tcPr>
          <w:p w:rsidR="00837371" w:rsidRPr="00837371" w:rsidRDefault="00837371" w:rsidP="00A56D34">
            <w:pPr>
              <w:spacing w:after="0" w:line="240" w:lineRule="auto"/>
              <w:jc w:val="center"/>
              <w:rPr>
                <w:rFonts w:asciiTheme="majorHAnsi" w:hAnsiTheme="majorHAnsi"/>
                <w:b/>
                <w:sz w:val="18"/>
                <w:szCs w:val="18"/>
                <w:lang w:val="en-GB"/>
              </w:rPr>
            </w:pPr>
            <w:r w:rsidRPr="00837371">
              <w:rPr>
                <w:rFonts w:asciiTheme="majorHAnsi" w:hAnsiTheme="majorHAnsi"/>
                <w:b/>
                <w:sz w:val="18"/>
                <w:szCs w:val="18"/>
                <w:lang w:val="en-GB"/>
              </w:rPr>
              <w:t>Achieved</w:t>
            </w:r>
          </w:p>
        </w:tc>
      </w:tr>
      <w:tr w:rsidR="00837371" w:rsidRPr="00837371" w:rsidTr="00A56D34">
        <w:trPr>
          <w:trHeight w:val="107"/>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sidRPr="00837371">
              <w:rPr>
                <w:rFonts w:asciiTheme="majorHAnsi" w:hAnsiTheme="majorHAnsi"/>
                <w:sz w:val="18"/>
                <w:szCs w:val="18"/>
                <w:lang w:val="en-GB"/>
              </w:rPr>
              <w:t>National dispatching centre  Mediaș</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w:t>
            </w:r>
          </w:p>
        </w:tc>
      </w:tr>
      <w:tr w:rsidR="00837371" w:rsidRPr="00837371" w:rsidTr="00A56D34">
        <w:trPr>
          <w:trHeight w:val="278"/>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sidRPr="00837371">
              <w:rPr>
                <w:rFonts w:asciiTheme="majorHAnsi" w:hAnsiTheme="majorHAnsi"/>
                <w:sz w:val="18"/>
                <w:szCs w:val="18"/>
                <w:lang w:val="en-GB"/>
              </w:rPr>
              <w:t xml:space="preserve">Natural gas dispatching centre Bucharest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sidRPr="00837371">
              <w:rPr>
                <w:rFonts w:asciiTheme="majorHAnsi" w:hAnsiTheme="majorHAnsi"/>
                <w:sz w:val="18"/>
                <w:szCs w:val="18"/>
                <w:lang w:val="en-GB"/>
              </w:rPr>
              <w:t>Regional offices di</w:t>
            </w:r>
            <w:r>
              <w:rPr>
                <w:rFonts w:asciiTheme="majorHAnsi" w:hAnsiTheme="majorHAnsi"/>
                <w:sz w:val="18"/>
                <w:szCs w:val="18"/>
                <w:lang w:val="en-GB"/>
              </w:rPr>
              <w:t>s</w:t>
            </w:r>
            <w:r w:rsidRPr="00837371">
              <w:rPr>
                <w:rFonts w:asciiTheme="majorHAnsi" w:hAnsiTheme="majorHAnsi"/>
                <w:sz w:val="18"/>
                <w:szCs w:val="18"/>
                <w:lang w:val="en-GB"/>
              </w:rPr>
              <w:t xml:space="preserve">patching centres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9</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9</w:t>
            </w:r>
          </w:p>
        </w:tc>
      </w:tr>
      <w:tr w:rsidR="00837371" w:rsidRPr="00837371" w:rsidTr="00A56D34">
        <w:trPr>
          <w:trHeight w:val="262"/>
          <w:tblCellSpacing w:w="20" w:type="dxa"/>
        </w:trPr>
        <w:tc>
          <w:tcPr>
            <w:tcW w:w="4476" w:type="dxa"/>
            <w:vAlign w:val="center"/>
          </w:tcPr>
          <w:p w:rsidR="00837371" w:rsidRPr="00837371" w:rsidRDefault="00837371" w:rsidP="00A56D34">
            <w:pPr>
              <w:spacing w:after="0" w:line="240" w:lineRule="auto"/>
              <w:rPr>
                <w:rFonts w:asciiTheme="majorHAnsi" w:hAnsiTheme="majorHAnsi"/>
                <w:sz w:val="18"/>
                <w:szCs w:val="18"/>
                <w:lang w:val="en-GB"/>
              </w:rPr>
            </w:pPr>
            <w:r>
              <w:rPr>
                <w:rFonts w:asciiTheme="majorHAnsi" w:hAnsiTheme="majorHAnsi"/>
                <w:sz w:val="18"/>
                <w:szCs w:val="18"/>
                <w:lang w:val="en-GB"/>
              </w:rPr>
              <w:t xml:space="preserve">Metering regulation Stations </w:t>
            </w:r>
            <w:r w:rsidRPr="00837371">
              <w:rPr>
                <w:rFonts w:asciiTheme="majorHAnsi" w:hAnsiTheme="majorHAnsi"/>
                <w:sz w:val="18"/>
                <w:szCs w:val="18"/>
                <w:lang w:val="en-GB"/>
              </w:rPr>
              <w:t xml:space="preserve"> (M</w:t>
            </w:r>
            <w:r>
              <w:rPr>
                <w:rFonts w:asciiTheme="majorHAnsi" w:hAnsiTheme="majorHAnsi"/>
                <w:sz w:val="18"/>
                <w:szCs w:val="18"/>
                <w:lang w:val="en-GB"/>
              </w:rPr>
              <w:t>RS</w:t>
            </w:r>
            <w:r w:rsidRPr="00837371">
              <w:rPr>
                <w:rFonts w:asciiTheme="majorHAnsi" w:hAnsiTheme="majorHAnsi"/>
                <w:sz w:val="18"/>
                <w:szCs w:val="18"/>
                <w:lang w:val="en-GB"/>
              </w:rPr>
              <w:t>)</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948</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948</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t xml:space="preserve">Line valves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106</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106</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t>Technological nodes</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33</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33</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t xml:space="preserve">Compressor Stations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5</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5</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t xml:space="preserve">International transit stations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6</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6</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lastRenderedPageBreak/>
              <w:t xml:space="preserve">Import stations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2</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2</w:t>
            </w:r>
          </w:p>
        </w:tc>
      </w:tr>
      <w:tr w:rsidR="00837371" w:rsidRPr="00837371" w:rsidTr="00A56D34">
        <w:trPr>
          <w:trHeight w:val="262"/>
          <w:tblCellSpacing w:w="20" w:type="dxa"/>
        </w:trPr>
        <w:tc>
          <w:tcPr>
            <w:tcW w:w="4476" w:type="dxa"/>
            <w:vAlign w:val="center"/>
          </w:tcPr>
          <w:p w:rsidR="00837371" w:rsidRPr="00837371" w:rsidRDefault="00837371" w:rsidP="00837371">
            <w:pPr>
              <w:spacing w:after="0" w:line="240" w:lineRule="auto"/>
              <w:rPr>
                <w:rFonts w:asciiTheme="majorHAnsi" w:hAnsiTheme="majorHAnsi"/>
                <w:sz w:val="18"/>
                <w:szCs w:val="18"/>
                <w:lang w:val="en-GB"/>
              </w:rPr>
            </w:pPr>
            <w:r>
              <w:rPr>
                <w:rFonts w:asciiTheme="majorHAnsi" w:hAnsiTheme="majorHAnsi"/>
                <w:sz w:val="18"/>
                <w:szCs w:val="18"/>
                <w:lang w:val="en-GB"/>
              </w:rPr>
              <w:t xml:space="preserve">Underground storages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7</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7</w:t>
            </w:r>
          </w:p>
        </w:tc>
      </w:tr>
      <w:tr w:rsidR="00837371" w:rsidRPr="00837371" w:rsidTr="00A56D34">
        <w:trPr>
          <w:trHeight w:val="262"/>
          <w:tblCellSpacing w:w="20" w:type="dxa"/>
        </w:trPr>
        <w:tc>
          <w:tcPr>
            <w:tcW w:w="4476" w:type="dxa"/>
            <w:vAlign w:val="center"/>
          </w:tcPr>
          <w:p w:rsidR="00837371" w:rsidRPr="00837371" w:rsidRDefault="00837371" w:rsidP="00A56D34">
            <w:pPr>
              <w:spacing w:after="0" w:line="240" w:lineRule="auto"/>
              <w:rPr>
                <w:rFonts w:asciiTheme="majorHAnsi" w:hAnsiTheme="majorHAnsi"/>
                <w:sz w:val="18"/>
                <w:szCs w:val="18"/>
                <w:lang w:val="en-GB"/>
              </w:rPr>
            </w:pPr>
            <w:r>
              <w:rPr>
                <w:rFonts w:asciiTheme="majorHAnsi" w:hAnsiTheme="majorHAnsi"/>
                <w:sz w:val="18"/>
                <w:szCs w:val="18"/>
                <w:lang w:val="en-GB"/>
              </w:rPr>
              <w:t xml:space="preserve">Domestic producers </w:t>
            </w:r>
          </w:p>
        </w:tc>
        <w:tc>
          <w:tcPr>
            <w:tcW w:w="1803"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4</w:t>
            </w:r>
          </w:p>
        </w:tc>
        <w:tc>
          <w:tcPr>
            <w:tcW w:w="1991" w:type="dxa"/>
            <w:vAlign w:val="center"/>
          </w:tcPr>
          <w:p w:rsidR="00837371" w:rsidRPr="00837371" w:rsidRDefault="00837371" w:rsidP="00A56D34">
            <w:pPr>
              <w:spacing w:after="0" w:line="240" w:lineRule="auto"/>
              <w:jc w:val="right"/>
              <w:rPr>
                <w:rFonts w:asciiTheme="majorHAnsi" w:hAnsiTheme="majorHAnsi"/>
                <w:sz w:val="18"/>
                <w:szCs w:val="18"/>
                <w:lang w:val="en-GB"/>
              </w:rPr>
            </w:pPr>
            <w:r w:rsidRPr="00837371">
              <w:rPr>
                <w:rFonts w:asciiTheme="majorHAnsi" w:hAnsiTheme="majorHAnsi"/>
                <w:sz w:val="18"/>
                <w:szCs w:val="18"/>
                <w:lang w:val="en-GB"/>
              </w:rPr>
              <w:t>4</w:t>
            </w:r>
          </w:p>
        </w:tc>
      </w:tr>
      <w:tr w:rsidR="00837371" w:rsidRPr="00837371" w:rsidTr="00A56D34">
        <w:trPr>
          <w:trHeight w:val="262"/>
          <w:tblCellSpacing w:w="20" w:type="dxa"/>
        </w:trPr>
        <w:tc>
          <w:tcPr>
            <w:tcW w:w="4476" w:type="dxa"/>
            <w:shd w:val="clear" w:color="auto" w:fill="DBE5F1" w:themeFill="accent1" w:themeFillTint="33"/>
            <w:vAlign w:val="center"/>
          </w:tcPr>
          <w:p w:rsidR="00837371" w:rsidRPr="00837371" w:rsidRDefault="00837371" w:rsidP="00A56D34">
            <w:pPr>
              <w:spacing w:after="0" w:line="240" w:lineRule="auto"/>
              <w:rPr>
                <w:rFonts w:asciiTheme="majorHAnsi" w:hAnsiTheme="majorHAnsi"/>
                <w:b/>
                <w:sz w:val="18"/>
                <w:szCs w:val="18"/>
                <w:lang w:val="en-GB"/>
              </w:rPr>
            </w:pPr>
            <w:r w:rsidRPr="00837371">
              <w:rPr>
                <w:rFonts w:asciiTheme="majorHAnsi" w:hAnsiTheme="majorHAnsi"/>
                <w:b/>
                <w:sz w:val="18"/>
                <w:szCs w:val="18"/>
                <w:lang w:val="en-GB"/>
              </w:rPr>
              <w:t>TOTAL</w:t>
            </w:r>
          </w:p>
        </w:tc>
        <w:tc>
          <w:tcPr>
            <w:tcW w:w="1803" w:type="dxa"/>
            <w:shd w:val="clear" w:color="auto" w:fill="DBE5F1" w:themeFill="accent1" w:themeFillTint="33"/>
            <w:vAlign w:val="center"/>
          </w:tcPr>
          <w:p w:rsidR="00837371" w:rsidRPr="00837371" w:rsidRDefault="00837371" w:rsidP="00A56D34">
            <w:pPr>
              <w:spacing w:after="0" w:line="240" w:lineRule="auto"/>
              <w:jc w:val="right"/>
              <w:rPr>
                <w:rFonts w:asciiTheme="majorHAnsi" w:hAnsiTheme="majorHAnsi"/>
                <w:b/>
                <w:sz w:val="18"/>
                <w:szCs w:val="18"/>
                <w:lang w:val="en-GB"/>
              </w:rPr>
            </w:pPr>
            <w:r w:rsidRPr="00837371">
              <w:rPr>
                <w:rFonts w:asciiTheme="majorHAnsi" w:hAnsiTheme="majorHAnsi"/>
                <w:b/>
                <w:sz w:val="18"/>
                <w:szCs w:val="18"/>
                <w:lang w:val="en-GB"/>
              </w:rPr>
              <w:t>1.122</w:t>
            </w:r>
          </w:p>
        </w:tc>
        <w:tc>
          <w:tcPr>
            <w:tcW w:w="1991" w:type="dxa"/>
            <w:shd w:val="clear" w:color="auto" w:fill="DBE5F1" w:themeFill="accent1" w:themeFillTint="33"/>
            <w:vAlign w:val="center"/>
          </w:tcPr>
          <w:p w:rsidR="00837371" w:rsidRPr="00837371" w:rsidRDefault="00837371" w:rsidP="00A56D34">
            <w:pPr>
              <w:spacing w:after="0" w:line="240" w:lineRule="auto"/>
              <w:jc w:val="right"/>
              <w:rPr>
                <w:rFonts w:asciiTheme="majorHAnsi" w:hAnsiTheme="majorHAnsi"/>
                <w:b/>
                <w:sz w:val="18"/>
                <w:szCs w:val="18"/>
                <w:lang w:val="en-GB"/>
              </w:rPr>
            </w:pPr>
            <w:r w:rsidRPr="00837371">
              <w:rPr>
                <w:rFonts w:asciiTheme="majorHAnsi" w:hAnsiTheme="majorHAnsi"/>
                <w:b/>
                <w:sz w:val="18"/>
                <w:szCs w:val="18"/>
                <w:lang w:val="en-GB"/>
              </w:rPr>
              <w:t>1.122</w:t>
            </w:r>
          </w:p>
        </w:tc>
      </w:tr>
    </w:tbl>
    <w:p w:rsidR="00F35D13" w:rsidRDefault="00F35D13" w:rsidP="00FA6EB9">
      <w:pPr>
        <w:pStyle w:val="ListParagraph"/>
        <w:numPr>
          <w:ilvl w:val="0"/>
          <w:numId w:val="104"/>
        </w:numPr>
        <w:spacing w:after="0" w:line="240" w:lineRule="auto"/>
        <w:jc w:val="both"/>
        <w:rPr>
          <w:rFonts w:asciiTheme="majorHAnsi" w:hAnsiTheme="majorHAnsi"/>
          <w:sz w:val="24"/>
          <w:szCs w:val="24"/>
        </w:rPr>
      </w:pPr>
      <w:r>
        <w:rPr>
          <w:rFonts w:asciiTheme="majorHAnsi" w:hAnsiTheme="majorHAnsi"/>
          <w:sz w:val="24"/>
          <w:szCs w:val="24"/>
        </w:rPr>
        <w:t>Participation in project teams related to the NTS objectives which were upgraded or which are undergoing upgrading;</w:t>
      </w:r>
    </w:p>
    <w:p w:rsidR="00837371" w:rsidRDefault="00837371" w:rsidP="00F35D13">
      <w:pPr>
        <w:spacing w:after="0" w:line="240" w:lineRule="auto"/>
        <w:ind w:left="720" w:firstLine="0"/>
        <w:jc w:val="both"/>
        <w:rPr>
          <w:rFonts w:asciiTheme="majorHAnsi" w:hAnsiTheme="majorHAnsi"/>
          <w:sz w:val="24"/>
          <w:szCs w:val="24"/>
        </w:rPr>
      </w:pPr>
    </w:p>
    <w:p w:rsidR="00F35D13" w:rsidRDefault="00F35D13" w:rsidP="00F35D13">
      <w:pPr>
        <w:spacing w:after="0" w:line="240" w:lineRule="auto"/>
        <w:ind w:firstLine="0"/>
        <w:jc w:val="both"/>
        <w:rPr>
          <w:rFonts w:asciiTheme="majorHAnsi" w:hAnsiTheme="majorHAnsi"/>
          <w:sz w:val="24"/>
          <w:szCs w:val="24"/>
        </w:rPr>
      </w:pPr>
      <w:r>
        <w:rPr>
          <w:rFonts w:asciiTheme="majorHAnsi" w:hAnsiTheme="majorHAnsi"/>
          <w:sz w:val="24"/>
          <w:szCs w:val="24"/>
        </w:rPr>
        <w:t>Out of the total 39 Technological Nodes initially provided to be implemented in the SCADA system the works for the upgrading/refurbishment of the following was achieved:</w:t>
      </w:r>
    </w:p>
    <w:p w:rsidR="00837371" w:rsidRDefault="00837371" w:rsidP="00433090">
      <w:pPr>
        <w:spacing w:after="0" w:line="240" w:lineRule="auto"/>
        <w:ind w:firstLine="0"/>
        <w:jc w:val="both"/>
        <w:rPr>
          <w:rFonts w:asciiTheme="majorHAnsi" w:hAnsiTheme="majorHAnsi"/>
          <w:sz w:val="24"/>
          <w:szCs w:val="24"/>
          <w:lang w:val="en-GB"/>
        </w:rPr>
      </w:pPr>
    </w:p>
    <w:p w:rsidR="006E32D9" w:rsidRPr="00322BD0" w:rsidRDefault="006E32D9" w:rsidP="00A86F51">
      <w:pPr>
        <w:spacing w:after="0" w:line="240" w:lineRule="auto"/>
        <w:ind w:firstLine="0"/>
        <w:jc w:val="both"/>
        <w:rPr>
          <w:rFonts w:ascii="Cambria" w:hAnsi="Cambria"/>
          <w:bCs/>
          <w:sz w:val="24"/>
          <w:szCs w:val="24"/>
          <w:lang w:val="en-GB"/>
        </w:rPr>
      </w:pP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Podișor</w:t>
      </w:r>
      <w:r w:rsidRPr="00945A8E">
        <w:rPr>
          <w:rFonts w:asciiTheme="majorHAnsi" w:hAnsiTheme="majorHAnsi"/>
          <w:sz w:val="24"/>
          <w:szCs w:val="24"/>
        </w:rPr>
        <w:t>;</w:t>
      </w: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Sâmbotin;</w:t>
      </w: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Paltin;</w:t>
      </w: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Stâlp 89;</w:t>
      </w: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Sărmășel;</w:t>
      </w:r>
    </w:p>
    <w:p w:rsidR="00837371"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945A8E">
        <w:rPr>
          <w:rFonts w:asciiTheme="majorHAnsi" w:hAnsiTheme="majorHAnsi"/>
          <w:sz w:val="24"/>
          <w:szCs w:val="24"/>
        </w:rPr>
        <w:t xml:space="preserve"> </w:t>
      </w:r>
      <w:r w:rsidRPr="00945A8E">
        <w:rPr>
          <w:rFonts w:asciiTheme="majorHAnsi" w:hAnsiTheme="majorHAnsi"/>
          <w:sz w:val="24"/>
          <w:szCs w:val="24"/>
          <w:lang w:val="ro-RO"/>
        </w:rPr>
        <w:t>Band;</w:t>
      </w:r>
    </w:p>
    <w:p w:rsidR="00837371" w:rsidRPr="00945A8E" w:rsidRDefault="00837371" w:rsidP="00FA6EB9">
      <w:pPr>
        <w:pStyle w:val="ListParagraph"/>
        <w:numPr>
          <w:ilvl w:val="0"/>
          <w:numId w:val="105"/>
        </w:numPr>
        <w:spacing w:after="0" w:line="240" w:lineRule="auto"/>
        <w:ind w:left="1134" w:hanging="425"/>
        <w:jc w:val="both"/>
        <w:rPr>
          <w:rFonts w:asciiTheme="majorHAnsi" w:hAnsiTheme="majorHAnsi"/>
          <w:sz w:val="24"/>
          <w:szCs w:val="24"/>
          <w:lang w:val="ro-RO"/>
        </w:rPr>
      </w:pPr>
      <w:r w:rsidRPr="00945A8E">
        <w:rPr>
          <w:rFonts w:asciiTheme="majorHAnsi" w:hAnsiTheme="majorHAnsi"/>
          <w:sz w:val="24"/>
          <w:szCs w:val="24"/>
        </w:rPr>
        <w:t>Te</w:t>
      </w:r>
      <w:r>
        <w:rPr>
          <w:rFonts w:asciiTheme="majorHAnsi" w:hAnsiTheme="majorHAnsi"/>
          <w:sz w:val="24"/>
          <w:szCs w:val="24"/>
        </w:rPr>
        <w:t>c</w:t>
      </w:r>
      <w:r w:rsidRPr="00945A8E">
        <w:rPr>
          <w:rFonts w:asciiTheme="majorHAnsi" w:hAnsiTheme="majorHAnsi"/>
          <w:sz w:val="24"/>
          <w:szCs w:val="24"/>
        </w:rPr>
        <w:t>hnologic</w:t>
      </w:r>
      <w:r>
        <w:rPr>
          <w:rFonts w:asciiTheme="majorHAnsi" w:hAnsiTheme="majorHAnsi"/>
          <w:sz w:val="24"/>
          <w:szCs w:val="24"/>
        </w:rPr>
        <w:t>al</w:t>
      </w:r>
      <w:r w:rsidRPr="00945A8E">
        <w:rPr>
          <w:rFonts w:asciiTheme="majorHAnsi" w:hAnsiTheme="majorHAnsi"/>
          <w:sz w:val="24"/>
          <w:szCs w:val="24"/>
          <w:lang w:val="ro-RO"/>
        </w:rPr>
        <w:t xml:space="preserve"> </w:t>
      </w:r>
      <w:r w:rsidRPr="00945A8E">
        <w:rPr>
          <w:rFonts w:asciiTheme="majorHAnsi" w:hAnsiTheme="majorHAnsi"/>
          <w:sz w:val="24"/>
          <w:szCs w:val="24"/>
        </w:rPr>
        <w:t>Nod</w:t>
      </w:r>
      <w:r>
        <w:rPr>
          <w:rFonts w:asciiTheme="majorHAnsi" w:hAnsiTheme="majorHAnsi"/>
          <w:sz w:val="24"/>
          <w:szCs w:val="24"/>
        </w:rPr>
        <w:t>e</w:t>
      </w:r>
      <w:r w:rsidRPr="00837371">
        <w:rPr>
          <w:rFonts w:asciiTheme="majorHAnsi" w:hAnsiTheme="majorHAnsi"/>
          <w:sz w:val="24"/>
          <w:szCs w:val="24"/>
          <w:lang w:val="ro-RO"/>
        </w:rPr>
        <w:t xml:space="preserve"> </w:t>
      </w:r>
      <w:r w:rsidRPr="00945A8E">
        <w:rPr>
          <w:rFonts w:asciiTheme="majorHAnsi" w:hAnsiTheme="majorHAnsi"/>
          <w:sz w:val="24"/>
          <w:szCs w:val="24"/>
          <w:lang w:val="ro-RO"/>
        </w:rPr>
        <w:t>Medieșul Aurit</w:t>
      </w:r>
      <w:r>
        <w:rPr>
          <w:rFonts w:asciiTheme="majorHAnsi" w:hAnsiTheme="majorHAnsi"/>
          <w:sz w:val="24"/>
          <w:szCs w:val="24"/>
          <w:lang w:val="ro-RO"/>
        </w:rPr>
        <w:t>;</w:t>
      </w:r>
    </w:p>
    <w:p w:rsidR="0048610A" w:rsidRDefault="0048610A" w:rsidP="00837371">
      <w:pPr>
        <w:spacing w:after="0" w:line="25" w:lineRule="atLeast"/>
        <w:ind w:firstLine="0"/>
        <w:jc w:val="both"/>
        <w:rPr>
          <w:rFonts w:asciiTheme="majorHAnsi" w:hAnsiTheme="majorHAnsi"/>
          <w:sz w:val="24"/>
          <w:szCs w:val="24"/>
        </w:rPr>
      </w:pPr>
    </w:p>
    <w:p w:rsidR="00837371" w:rsidRDefault="00837371" w:rsidP="00837371">
      <w:pPr>
        <w:spacing w:after="0" w:line="25" w:lineRule="atLeast"/>
        <w:ind w:firstLine="0"/>
        <w:jc w:val="both"/>
        <w:rPr>
          <w:rFonts w:asciiTheme="majorHAnsi" w:hAnsiTheme="majorHAnsi"/>
          <w:sz w:val="24"/>
          <w:szCs w:val="24"/>
        </w:rPr>
      </w:pPr>
    </w:p>
    <w:p w:rsidR="00837371" w:rsidRDefault="00837371" w:rsidP="00837371">
      <w:pPr>
        <w:spacing w:after="0" w:line="25" w:lineRule="atLeast"/>
        <w:ind w:firstLine="0"/>
        <w:jc w:val="both"/>
        <w:rPr>
          <w:rFonts w:asciiTheme="majorHAnsi" w:hAnsiTheme="majorHAnsi"/>
          <w:sz w:val="24"/>
          <w:szCs w:val="24"/>
        </w:rPr>
      </w:pPr>
      <w:r w:rsidRPr="00945A8E">
        <w:rPr>
          <w:rFonts w:asciiTheme="majorHAnsi" w:hAnsiTheme="majorHAnsi"/>
          <w:noProof/>
          <w:sz w:val="24"/>
          <w:szCs w:val="24"/>
          <w:lang w:val="ro-RO" w:eastAsia="ro-RO"/>
        </w:rPr>
        <w:drawing>
          <wp:inline distT="0" distB="0" distL="0" distR="0" wp14:anchorId="6936A473" wp14:editId="704FBEBE">
            <wp:extent cx="4048125" cy="2019300"/>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37371" w:rsidRDefault="00837371" w:rsidP="00837371">
      <w:pPr>
        <w:spacing w:after="0" w:line="25" w:lineRule="atLeast"/>
        <w:ind w:firstLine="0"/>
        <w:jc w:val="both"/>
        <w:rPr>
          <w:rFonts w:asciiTheme="majorHAnsi" w:hAnsiTheme="majorHAnsi"/>
          <w:sz w:val="24"/>
          <w:szCs w:val="24"/>
        </w:rPr>
      </w:pPr>
      <w:r>
        <w:rPr>
          <w:rFonts w:asciiTheme="majorHAnsi" w:hAnsiTheme="majorHAnsi"/>
          <w:sz w:val="24"/>
          <w:szCs w:val="24"/>
        </w:rPr>
        <w:t xml:space="preserve">             </w:t>
      </w:r>
      <w:r w:rsidRPr="00837371">
        <w:rPr>
          <w:rFonts w:asciiTheme="majorHAnsi" w:hAnsiTheme="majorHAnsi"/>
          <w:sz w:val="18"/>
          <w:szCs w:val="24"/>
        </w:rPr>
        <w:t xml:space="preserve">Automated  </w:t>
      </w:r>
      <w:r>
        <w:rPr>
          <w:rFonts w:asciiTheme="majorHAnsi" w:hAnsiTheme="majorHAnsi"/>
          <w:sz w:val="18"/>
          <w:szCs w:val="24"/>
        </w:rPr>
        <w:t xml:space="preserve">          </w:t>
      </w:r>
      <w:r w:rsidRPr="00837371">
        <w:rPr>
          <w:rFonts w:asciiTheme="majorHAnsi" w:hAnsiTheme="majorHAnsi"/>
          <w:sz w:val="18"/>
          <w:szCs w:val="24"/>
        </w:rPr>
        <w:t xml:space="preserve">Not automated  </w:t>
      </w:r>
      <w:r>
        <w:rPr>
          <w:rFonts w:asciiTheme="majorHAnsi" w:hAnsiTheme="majorHAnsi"/>
          <w:sz w:val="18"/>
          <w:szCs w:val="24"/>
        </w:rPr>
        <w:t xml:space="preserve">      </w:t>
      </w:r>
      <w:r w:rsidRPr="00837371">
        <w:rPr>
          <w:rFonts w:asciiTheme="majorHAnsi" w:hAnsiTheme="majorHAnsi"/>
          <w:sz w:val="18"/>
          <w:szCs w:val="24"/>
        </w:rPr>
        <w:t xml:space="preserve">  In execution </w:t>
      </w:r>
      <w:r>
        <w:rPr>
          <w:rFonts w:asciiTheme="majorHAnsi" w:hAnsiTheme="majorHAnsi"/>
          <w:sz w:val="18"/>
          <w:szCs w:val="24"/>
        </w:rPr>
        <w:t xml:space="preserve">   </w:t>
      </w:r>
      <w:r w:rsidRPr="00837371">
        <w:rPr>
          <w:rFonts w:asciiTheme="majorHAnsi" w:hAnsiTheme="majorHAnsi"/>
          <w:sz w:val="18"/>
          <w:szCs w:val="24"/>
        </w:rPr>
        <w:t>Under designe</w:t>
      </w:r>
    </w:p>
    <w:p w:rsidR="00837371" w:rsidRPr="00322BD0" w:rsidRDefault="00837371" w:rsidP="00837371">
      <w:pPr>
        <w:spacing w:after="0" w:line="25" w:lineRule="atLeast"/>
        <w:ind w:firstLine="0"/>
        <w:jc w:val="both"/>
        <w:rPr>
          <w:rFonts w:ascii="Cambria" w:hAnsi="Cambria"/>
          <w:bCs/>
          <w:sz w:val="24"/>
          <w:szCs w:val="24"/>
          <w:lang w:val="en-GB" w:eastAsia="it-IT"/>
        </w:rPr>
      </w:pPr>
    </w:p>
    <w:p w:rsidR="00837371" w:rsidRDefault="00837371" w:rsidP="00F3287A">
      <w:pPr>
        <w:spacing w:after="0" w:line="25" w:lineRule="atLeast"/>
        <w:ind w:firstLine="0"/>
        <w:jc w:val="both"/>
        <w:rPr>
          <w:rFonts w:ascii="Cambria" w:hAnsi="Cambria"/>
          <w:bCs/>
          <w:sz w:val="24"/>
          <w:szCs w:val="24"/>
          <w:lang w:val="en-GB" w:eastAsia="it-IT"/>
        </w:rPr>
      </w:pPr>
    </w:p>
    <w:p w:rsidR="00837371" w:rsidRPr="004B4CA9" w:rsidRDefault="00F35D13" w:rsidP="004B4CA9">
      <w:pPr>
        <w:spacing w:after="0" w:line="240" w:lineRule="auto"/>
        <w:ind w:firstLine="0"/>
        <w:jc w:val="both"/>
        <w:rPr>
          <w:rFonts w:asciiTheme="majorHAnsi" w:hAnsiTheme="majorHAnsi"/>
          <w:sz w:val="24"/>
          <w:szCs w:val="24"/>
        </w:rPr>
      </w:pPr>
      <w:r>
        <w:rPr>
          <w:rFonts w:asciiTheme="majorHAnsi" w:hAnsiTheme="majorHAnsi"/>
          <w:sz w:val="24"/>
          <w:szCs w:val="24"/>
        </w:rPr>
        <w:t xml:space="preserve">The stage of the achievement of the actions/projects related to the automation of the National Transmission System: </w:t>
      </w:r>
    </w:p>
    <w:p w:rsidR="00837371" w:rsidRDefault="00837371" w:rsidP="00F3287A">
      <w:pPr>
        <w:spacing w:after="0" w:line="25" w:lineRule="atLeast"/>
        <w:ind w:firstLine="0"/>
        <w:jc w:val="both"/>
        <w:rPr>
          <w:rFonts w:ascii="Cambria" w:hAnsi="Cambria"/>
          <w:bCs/>
          <w:sz w:val="24"/>
          <w:szCs w:val="24"/>
          <w:lang w:val="en-GB" w:eastAsia="it-IT"/>
        </w:rPr>
      </w:pPr>
    </w:p>
    <w:tbl>
      <w:tblPr>
        <w:tblW w:w="5000" w:type="pct"/>
        <w:jc w:val="center"/>
        <w:tblCellSpacing w:w="20" w:type="dxa"/>
        <w:tblBorders>
          <w:top w:val="outset" w:sz="2" w:space="0" w:color="F2F2F2"/>
          <w:left w:val="outset" w:sz="2" w:space="0" w:color="F2F2F2"/>
          <w:bottom w:val="outset" w:sz="2" w:space="0" w:color="F2F2F2"/>
          <w:right w:val="outset" w:sz="2" w:space="0" w:color="F2F2F2"/>
          <w:insideH w:val="outset" w:sz="2" w:space="0" w:color="F2F2F2"/>
          <w:insideV w:val="outset" w:sz="2" w:space="0" w:color="F2F2F2"/>
        </w:tblBorders>
        <w:tblLook w:val="04A0" w:firstRow="1" w:lastRow="0" w:firstColumn="1" w:lastColumn="0" w:noHBand="0" w:noVBand="1"/>
      </w:tblPr>
      <w:tblGrid>
        <w:gridCol w:w="593"/>
        <w:gridCol w:w="3941"/>
        <w:gridCol w:w="4487"/>
      </w:tblGrid>
      <w:tr w:rsidR="00837371" w:rsidRPr="00945A8E" w:rsidTr="00A56D34">
        <w:trPr>
          <w:trHeight w:val="579"/>
          <w:tblHeader/>
          <w:tblCellSpacing w:w="20" w:type="dxa"/>
          <w:jc w:val="center"/>
        </w:trPr>
        <w:tc>
          <w:tcPr>
            <w:tcW w:w="295" w:type="pct"/>
            <w:shd w:val="clear" w:color="auto" w:fill="DEEAF6"/>
            <w:vAlign w:val="center"/>
          </w:tcPr>
          <w:p w:rsidR="00837371" w:rsidRPr="00945A8E" w:rsidRDefault="00837371" w:rsidP="00A56D34">
            <w:pPr>
              <w:spacing w:after="0" w:line="240" w:lineRule="auto"/>
              <w:ind w:firstLine="0"/>
              <w:jc w:val="center"/>
              <w:rPr>
                <w:rFonts w:asciiTheme="majorHAnsi" w:eastAsia="Times New Roman" w:hAnsiTheme="majorHAnsi" w:cs="Times New Roman"/>
                <w:b/>
                <w:sz w:val="20"/>
                <w:szCs w:val="20"/>
                <w:lang w:val="ro-RO" w:eastAsia="en-US"/>
              </w:rPr>
            </w:pPr>
            <w:r w:rsidRPr="00945A8E">
              <w:rPr>
                <w:rFonts w:asciiTheme="majorHAnsi" w:eastAsia="Times New Roman" w:hAnsiTheme="majorHAnsi" w:cs="Times New Roman"/>
                <w:b/>
                <w:sz w:val="20"/>
                <w:szCs w:val="20"/>
                <w:lang w:val="ro-RO" w:eastAsia="en-US"/>
              </w:rPr>
              <w:t>N</w:t>
            </w:r>
            <w:r w:rsidR="004B4CA9">
              <w:rPr>
                <w:rFonts w:asciiTheme="majorHAnsi" w:eastAsia="Times New Roman" w:hAnsiTheme="majorHAnsi" w:cs="Times New Roman"/>
                <w:b/>
                <w:sz w:val="20"/>
                <w:szCs w:val="20"/>
                <w:lang w:val="ro-RO" w:eastAsia="en-US"/>
              </w:rPr>
              <w:t>o.</w:t>
            </w:r>
          </w:p>
        </w:tc>
        <w:tc>
          <w:tcPr>
            <w:tcW w:w="2162" w:type="pct"/>
            <w:shd w:val="clear" w:color="auto" w:fill="DEEAF6"/>
            <w:vAlign w:val="center"/>
          </w:tcPr>
          <w:p w:rsidR="00837371" w:rsidRPr="00945A8E" w:rsidRDefault="00837371" w:rsidP="00A56D34">
            <w:pPr>
              <w:spacing w:after="0" w:line="240" w:lineRule="auto"/>
              <w:ind w:firstLine="0"/>
              <w:jc w:val="center"/>
              <w:rPr>
                <w:rFonts w:asciiTheme="majorHAnsi" w:eastAsia="Times New Roman" w:hAnsiTheme="majorHAnsi" w:cs="Times New Roman"/>
                <w:b/>
                <w:sz w:val="20"/>
                <w:szCs w:val="20"/>
                <w:lang w:val="ro-RO" w:eastAsia="en-US"/>
              </w:rPr>
            </w:pPr>
            <w:r w:rsidRPr="00945A8E">
              <w:rPr>
                <w:rFonts w:asciiTheme="majorHAnsi" w:eastAsia="Times New Roman" w:hAnsiTheme="majorHAnsi" w:cs="Times New Roman"/>
                <w:b/>
                <w:sz w:val="20"/>
                <w:szCs w:val="20"/>
                <w:lang w:val="ro-RO" w:eastAsia="en-US"/>
              </w:rPr>
              <w:t>A</w:t>
            </w:r>
            <w:r w:rsidR="004B4CA9">
              <w:rPr>
                <w:rFonts w:asciiTheme="majorHAnsi" w:eastAsia="Times New Roman" w:hAnsiTheme="majorHAnsi" w:cs="Times New Roman"/>
                <w:b/>
                <w:sz w:val="20"/>
                <w:szCs w:val="20"/>
                <w:lang w:val="ro-RO" w:eastAsia="en-US"/>
              </w:rPr>
              <w:t>ction</w:t>
            </w:r>
          </w:p>
        </w:tc>
        <w:tc>
          <w:tcPr>
            <w:tcW w:w="2454" w:type="pct"/>
            <w:shd w:val="clear" w:color="auto" w:fill="DEEAF6"/>
            <w:vAlign w:val="center"/>
          </w:tcPr>
          <w:p w:rsidR="00837371" w:rsidRPr="00945A8E" w:rsidRDefault="00837371" w:rsidP="00A56D34">
            <w:pPr>
              <w:spacing w:after="0" w:line="240" w:lineRule="auto"/>
              <w:ind w:firstLine="0"/>
              <w:jc w:val="center"/>
              <w:rPr>
                <w:rFonts w:asciiTheme="majorHAnsi" w:eastAsia="Times New Roman" w:hAnsiTheme="majorHAnsi" w:cs="Times New Roman"/>
                <w:b/>
                <w:sz w:val="20"/>
                <w:szCs w:val="20"/>
                <w:lang w:val="ro-RO" w:eastAsia="en-US"/>
              </w:rPr>
            </w:pPr>
            <w:r w:rsidRPr="00945A8E">
              <w:rPr>
                <w:rFonts w:asciiTheme="majorHAnsi" w:eastAsia="Times New Roman" w:hAnsiTheme="majorHAnsi" w:cs="Times New Roman"/>
                <w:b/>
                <w:sz w:val="20"/>
                <w:szCs w:val="20"/>
                <w:lang w:val="ro-RO" w:eastAsia="en-US"/>
              </w:rPr>
              <w:t>Sta</w:t>
            </w:r>
            <w:r w:rsidR="004B4CA9">
              <w:rPr>
                <w:rFonts w:asciiTheme="majorHAnsi" w:eastAsia="Times New Roman" w:hAnsiTheme="majorHAnsi" w:cs="Times New Roman"/>
                <w:b/>
                <w:sz w:val="20"/>
                <w:szCs w:val="20"/>
                <w:lang w:val="ro-RO" w:eastAsia="en-US"/>
              </w:rPr>
              <w:t>ge</w:t>
            </w:r>
          </w:p>
        </w:tc>
      </w:tr>
      <w:tr w:rsidR="00837371" w:rsidRPr="00945A8E" w:rsidTr="00A56D34">
        <w:trPr>
          <w:trHeight w:val="1090"/>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1.</w:t>
            </w:r>
          </w:p>
        </w:tc>
        <w:tc>
          <w:tcPr>
            <w:tcW w:w="2162" w:type="pct"/>
            <w:vAlign w:val="center"/>
          </w:tcPr>
          <w:p w:rsidR="00837371" w:rsidRPr="00945A8E" w:rsidRDefault="004B4CA9"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FEED preparation on "Power supply</w:t>
            </w:r>
            <w:r w:rsidRPr="004B4CA9">
              <w:rPr>
                <w:rFonts w:asciiTheme="majorHAnsi" w:eastAsia="Times New Roman" w:hAnsiTheme="majorHAnsi" w:cs="Times New Roman"/>
                <w:sz w:val="20"/>
                <w:szCs w:val="20"/>
                <w:lang w:val="ro-RO" w:eastAsia="en-US"/>
              </w:rPr>
              <w:t xml:space="preserve"> and automation" 3 compressor stations</w:t>
            </w:r>
            <w:r>
              <w:rPr>
                <w:rFonts w:asciiTheme="majorHAnsi" w:eastAsia="Times New Roman" w:hAnsiTheme="majorHAnsi" w:cs="Times New Roman"/>
                <w:sz w:val="20"/>
                <w:szCs w:val="20"/>
                <w:lang w:val="ro-RO" w:eastAsia="en-US"/>
              </w:rPr>
              <w:t xml:space="preserve"> for the</w:t>
            </w:r>
            <w:r w:rsidRPr="004B4CA9">
              <w:rPr>
                <w:rFonts w:asciiTheme="majorHAnsi" w:eastAsia="Times New Roman" w:hAnsiTheme="majorHAnsi" w:cs="Times New Roman"/>
                <w:sz w:val="20"/>
                <w:szCs w:val="20"/>
                <w:lang w:val="ro-RO" w:eastAsia="en-US"/>
              </w:rPr>
              <w:t xml:space="preserve"> corridor (BRUA).</w:t>
            </w:r>
          </w:p>
        </w:tc>
        <w:tc>
          <w:tcPr>
            <w:tcW w:w="2454" w:type="pct"/>
          </w:tcPr>
          <w:p w:rsidR="004B4CA9" w:rsidRPr="004B4CA9" w:rsidRDefault="004B4CA9" w:rsidP="004B4CA9">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w:t>
            </w:r>
            <w:r w:rsidRPr="004B4CA9">
              <w:rPr>
                <w:rFonts w:asciiTheme="majorHAnsi" w:eastAsia="Times New Roman" w:hAnsiTheme="majorHAnsi" w:cs="Times New Roman"/>
                <w:sz w:val="20"/>
                <w:szCs w:val="20"/>
                <w:lang w:val="ro-RO" w:eastAsia="en-US"/>
              </w:rPr>
              <w:t xml:space="preserve"> approval of documentation received from the Contractor.</w:t>
            </w:r>
          </w:p>
          <w:p w:rsidR="00837371" w:rsidRPr="004B4CA9" w:rsidRDefault="004B4CA9"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(Deadline according to the</w:t>
            </w:r>
            <w:r w:rsidRPr="004B4CA9">
              <w:rPr>
                <w:rFonts w:asciiTheme="majorHAnsi" w:eastAsia="Times New Roman" w:hAnsiTheme="majorHAnsi" w:cs="Times New Roman"/>
                <w:sz w:val="20"/>
                <w:szCs w:val="20"/>
                <w:lang w:val="ro-RO" w:eastAsia="en-US"/>
              </w:rPr>
              <w:t xml:space="preserve"> Design Contract)</w:t>
            </w:r>
          </w:p>
        </w:tc>
      </w:tr>
      <w:tr w:rsidR="00837371" w:rsidRPr="00945A8E" w:rsidTr="00A56D34">
        <w:trPr>
          <w:trHeight w:val="1272"/>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2.</w:t>
            </w:r>
          </w:p>
        </w:tc>
        <w:tc>
          <w:tcPr>
            <w:tcW w:w="2162" w:type="pct"/>
            <w:vAlign w:val="center"/>
          </w:tcPr>
          <w:p w:rsidR="00837371" w:rsidRPr="00945A8E" w:rsidRDefault="004B4CA9" w:rsidP="004B4CA9">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Development on the Romanian territory of the National Gas Transmission System on the </w:t>
            </w:r>
            <w:r w:rsidR="00837371" w:rsidRPr="00945A8E">
              <w:rPr>
                <w:rFonts w:asciiTheme="majorHAnsi" w:eastAsia="Times New Roman" w:hAnsiTheme="majorHAnsi" w:cs="Times New Roman"/>
                <w:sz w:val="20"/>
                <w:szCs w:val="20"/>
                <w:lang w:val="ro-RO" w:eastAsia="en-US"/>
              </w:rPr>
              <w:t>Bulgaria – Rom</w:t>
            </w:r>
            <w:r>
              <w:rPr>
                <w:rFonts w:asciiTheme="majorHAnsi" w:eastAsia="Times New Roman" w:hAnsiTheme="majorHAnsi" w:cs="Times New Roman"/>
                <w:sz w:val="20"/>
                <w:szCs w:val="20"/>
                <w:lang w:val="ro-RO" w:eastAsia="en-US"/>
              </w:rPr>
              <w:t>a</w:t>
            </w:r>
            <w:r w:rsidR="00837371" w:rsidRPr="00945A8E">
              <w:rPr>
                <w:rFonts w:asciiTheme="majorHAnsi" w:eastAsia="Times New Roman" w:hAnsiTheme="majorHAnsi" w:cs="Times New Roman"/>
                <w:sz w:val="20"/>
                <w:szCs w:val="20"/>
                <w:lang w:val="ro-RO" w:eastAsia="en-US"/>
              </w:rPr>
              <w:t xml:space="preserve">nia – </w:t>
            </w:r>
            <w:r>
              <w:rPr>
                <w:rFonts w:asciiTheme="majorHAnsi" w:eastAsia="Times New Roman" w:hAnsiTheme="majorHAnsi" w:cs="Times New Roman"/>
                <w:sz w:val="20"/>
                <w:szCs w:val="20"/>
                <w:lang w:val="ro-RO" w:eastAsia="en-US"/>
              </w:rPr>
              <w:t xml:space="preserve">Hungary </w:t>
            </w:r>
            <w:r w:rsidR="00837371" w:rsidRPr="00945A8E">
              <w:rPr>
                <w:rFonts w:asciiTheme="majorHAnsi" w:eastAsia="Times New Roman" w:hAnsiTheme="majorHAnsi" w:cs="Times New Roman"/>
                <w:sz w:val="20"/>
                <w:szCs w:val="20"/>
                <w:lang w:val="ro-RO" w:eastAsia="en-US"/>
              </w:rPr>
              <w:t xml:space="preserve">– Austria </w:t>
            </w:r>
            <w:r>
              <w:rPr>
                <w:rFonts w:asciiTheme="majorHAnsi" w:eastAsia="Times New Roman" w:hAnsiTheme="majorHAnsi" w:cs="Times New Roman"/>
                <w:sz w:val="20"/>
                <w:szCs w:val="20"/>
                <w:lang w:val="ro-RO" w:eastAsia="en-US"/>
              </w:rPr>
              <w:t xml:space="preserve">corridor </w:t>
            </w:r>
            <w:r w:rsidR="00837371" w:rsidRPr="00945A8E">
              <w:rPr>
                <w:rFonts w:asciiTheme="majorHAnsi" w:eastAsia="Times New Roman" w:hAnsiTheme="majorHAnsi" w:cs="Times New Roman"/>
                <w:sz w:val="20"/>
                <w:szCs w:val="20"/>
                <w:lang w:val="ro-RO" w:eastAsia="en-US"/>
              </w:rPr>
              <w:t>(BRUA -</w:t>
            </w:r>
            <w:r>
              <w:rPr>
                <w:rFonts w:asciiTheme="majorHAnsi" w:eastAsia="Times New Roman" w:hAnsiTheme="majorHAnsi" w:cs="Times New Roman"/>
                <w:sz w:val="20"/>
                <w:szCs w:val="20"/>
                <w:lang w:val="ro-RO" w:eastAsia="en-US"/>
              </w:rPr>
              <w:t xml:space="preserve"> FEED</w:t>
            </w:r>
            <w:r w:rsidR="00837371" w:rsidRPr="00945A8E">
              <w:rPr>
                <w:rFonts w:asciiTheme="majorHAnsi" w:eastAsia="Times New Roman" w:hAnsiTheme="majorHAnsi" w:cs="Times New Roman"/>
                <w:sz w:val="20"/>
                <w:szCs w:val="20"/>
                <w:lang w:val="ro-RO" w:eastAsia="en-US"/>
              </w:rPr>
              <w:t xml:space="preserve"> LOT 4 </w:t>
            </w:r>
            <w:r>
              <w:rPr>
                <w:rFonts w:asciiTheme="majorHAnsi" w:eastAsia="Times New Roman" w:hAnsiTheme="majorHAnsi" w:cs="Times New Roman"/>
                <w:sz w:val="20"/>
                <w:szCs w:val="20"/>
                <w:lang w:val="ro-RO" w:eastAsia="en-US"/>
              </w:rPr>
              <w:t>–</w:t>
            </w:r>
            <w:r w:rsidR="00837371" w:rsidRPr="00945A8E">
              <w:rPr>
                <w:rFonts w:asciiTheme="majorHAnsi" w:eastAsia="Times New Roman" w:hAnsiTheme="majorHAnsi" w:cs="Times New Roman"/>
                <w:sz w:val="20"/>
                <w:szCs w:val="20"/>
                <w:lang w:val="ro-RO" w:eastAsia="en-US"/>
              </w:rPr>
              <w:t xml:space="preserve"> </w:t>
            </w:r>
            <w:r w:rsidR="00D14CFE">
              <w:rPr>
                <w:rFonts w:asciiTheme="majorHAnsi" w:eastAsia="Times New Roman" w:hAnsiTheme="majorHAnsi" w:cs="Times New Roman"/>
                <w:sz w:val="20"/>
                <w:szCs w:val="20"/>
                <w:lang w:val="ro-RO" w:eastAsia="en-US"/>
              </w:rPr>
              <w:t xml:space="preserve">Pipeline </w:t>
            </w:r>
            <w:r w:rsidR="00837371" w:rsidRPr="00945A8E">
              <w:rPr>
                <w:rFonts w:asciiTheme="majorHAnsi" w:eastAsia="Times New Roman" w:hAnsiTheme="majorHAnsi" w:cs="Times New Roman"/>
                <w:sz w:val="20"/>
                <w:szCs w:val="20"/>
                <w:lang w:val="ro-RO" w:eastAsia="en-US"/>
              </w:rPr>
              <w:t>Automa</w:t>
            </w:r>
            <w:r>
              <w:rPr>
                <w:rFonts w:asciiTheme="majorHAnsi" w:eastAsia="Times New Roman" w:hAnsiTheme="majorHAnsi" w:cs="Times New Roman"/>
                <w:sz w:val="20"/>
                <w:szCs w:val="20"/>
                <w:lang w:val="ro-RO" w:eastAsia="en-US"/>
              </w:rPr>
              <w:t>tion and</w:t>
            </w:r>
            <w:r w:rsidR="00D14CFE">
              <w:rPr>
                <w:rFonts w:asciiTheme="majorHAnsi" w:eastAsia="Times New Roman" w:hAnsiTheme="majorHAnsi" w:cs="Times New Roman"/>
                <w:sz w:val="20"/>
                <w:szCs w:val="20"/>
                <w:lang w:val="ro-RO" w:eastAsia="en-US"/>
              </w:rPr>
              <w:t xml:space="preserve"> securing</w:t>
            </w:r>
            <w:r w:rsidR="00837371" w:rsidRPr="00945A8E">
              <w:rPr>
                <w:rFonts w:asciiTheme="majorHAnsi" w:eastAsia="Times New Roman" w:hAnsiTheme="majorHAnsi" w:cs="Times New Roman"/>
                <w:sz w:val="20"/>
                <w:szCs w:val="20"/>
                <w:lang w:val="ro-RO" w:eastAsia="en-US"/>
              </w:rPr>
              <w:t>)</w:t>
            </w:r>
          </w:p>
        </w:tc>
        <w:tc>
          <w:tcPr>
            <w:tcW w:w="2454" w:type="pct"/>
            <w:vAlign w:val="center"/>
          </w:tcPr>
          <w:p w:rsidR="00D14CFE" w:rsidRDefault="00D14CFE" w:rsidP="00A56D34">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participated as team members of the design team</w:t>
            </w:r>
          </w:p>
          <w:p w:rsidR="00837371" w:rsidRPr="00945A8E" w:rsidRDefault="00D14CFE" w:rsidP="00D14CFE">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b/>
                <w:bCs/>
                <w:sz w:val="20"/>
                <w:szCs w:val="20"/>
                <w:lang w:val="ro-RO" w:eastAsia="en-US"/>
              </w:rPr>
              <w:t>Completed stage.</w:t>
            </w:r>
          </w:p>
        </w:tc>
      </w:tr>
      <w:tr w:rsidR="00837371" w:rsidRPr="00945A8E" w:rsidTr="00A56D34">
        <w:trPr>
          <w:trHeight w:val="517"/>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3.</w:t>
            </w:r>
          </w:p>
        </w:tc>
        <w:tc>
          <w:tcPr>
            <w:tcW w:w="2162" w:type="pct"/>
            <w:vAlign w:val="center"/>
          </w:tcPr>
          <w:p w:rsidR="00837371" w:rsidRPr="00945A8E" w:rsidRDefault="00D14CFE"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Development on the Romanian territory of the National Gas Transmission System on </w:t>
            </w:r>
            <w:r>
              <w:rPr>
                <w:rFonts w:asciiTheme="majorHAnsi" w:eastAsia="Times New Roman" w:hAnsiTheme="majorHAnsi" w:cs="Times New Roman"/>
                <w:sz w:val="20"/>
                <w:szCs w:val="20"/>
                <w:lang w:val="ro-RO" w:eastAsia="en-US"/>
              </w:rPr>
              <w:lastRenderedPageBreak/>
              <w:t xml:space="preserve">the </w:t>
            </w:r>
            <w:r w:rsidRPr="00945A8E">
              <w:rPr>
                <w:rFonts w:asciiTheme="majorHAnsi" w:eastAsia="Times New Roman" w:hAnsiTheme="majorHAnsi" w:cs="Times New Roman"/>
                <w:sz w:val="20"/>
                <w:szCs w:val="20"/>
                <w:lang w:val="ro-RO" w:eastAsia="en-US"/>
              </w:rPr>
              <w:t>Bulgaria – Rom</w:t>
            </w:r>
            <w:r>
              <w:rPr>
                <w:rFonts w:asciiTheme="majorHAnsi" w:eastAsia="Times New Roman" w:hAnsiTheme="majorHAnsi" w:cs="Times New Roman"/>
                <w:sz w:val="20"/>
                <w:szCs w:val="20"/>
                <w:lang w:val="ro-RO" w:eastAsia="en-US"/>
              </w:rPr>
              <w:t>a</w:t>
            </w:r>
            <w:r w:rsidRPr="00945A8E">
              <w:rPr>
                <w:rFonts w:asciiTheme="majorHAnsi" w:eastAsia="Times New Roman" w:hAnsiTheme="majorHAnsi" w:cs="Times New Roman"/>
                <w:sz w:val="20"/>
                <w:szCs w:val="20"/>
                <w:lang w:val="ro-RO" w:eastAsia="en-US"/>
              </w:rPr>
              <w:t xml:space="preserve">nia – </w:t>
            </w:r>
            <w:r>
              <w:rPr>
                <w:rFonts w:asciiTheme="majorHAnsi" w:eastAsia="Times New Roman" w:hAnsiTheme="majorHAnsi" w:cs="Times New Roman"/>
                <w:sz w:val="20"/>
                <w:szCs w:val="20"/>
                <w:lang w:val="ro-RO" w:eastAsia="en-US"/>
              </w:rPr>
              <w:t xml:space="preserve">Hungary </w:t>
            </w:r>
            <w:r w:rsidRPr="00945A8E">
              <w:rPr>
                <w:rFonts w:asciiTheme="majorHAnsi" w:eastAsia="Times New Roman" w:hAnsiTheme="majorHAnsi" w:cs="Times New Roman"/>
                <w:sz w:val="20"/>
                <w:szCs w:val="20"/>
                <w:lang w:val="ro-RO" w:eastAsia="en-US"/>
              </w:rPr>
              <w:t xml:space="preserve">– Austria </w:t>
            </w:r>
            <w:r>
              <w:rPr>
                <w:rFonts w:asciiTheme="majorHAnsi" w:eastAsia="Times New Roman" w:hAnsiTheme="majorHAnsi" w:cs="Times New Roman"/>
                <w:sz w:val="20"/>
                <w:szCs w:val="20"/>
                <w:lang w:val="ro-RO" w:eastAsia="en-US"/>
              </w:rPr>
              <w:t>corridor–</w:t>
            </w:r>
            <w:r w:rsidRPr="00945A8E">
              <w:rPr>
                <w:rFonts w:asciiTheme="majorHAnsi" w:eastAsia="Times New Roman" w:hAnsiTheme="majorHAnsi" w:cs="Times New Roman"/>
                <w:sz w:val="20"/>
                <w:szCs w:val="20"/>
                <w:lang w:val="ro-RO" w:eastAsia="en-US"/>
              </w:rPr>
              <w:t xml:space="preserve"> RECAȘ-HORIA</w:t>
            </w:r>
            <w:r>
              <w:rPr>
                <w:rFonts w:asciiTheme="majorHAnsi" w:eastAsia="Times New Roman" w:hAnsiTheme="majorHAnsi" w:cs="Times New Roman"/>
                <w:sz w:val="20"/>
                <w:szCs w:val="20"/>
                <w:lang w:val="ro-RO" w:eastAsia="en-US"/>
              </w:rPr>
              <w:t xml:space="preserve"> section Pipeline </w:t>
            </w:r>
            <w:r w:rsidRPr="00945A8E">
              <w:rPr>
                <w:rFonts w:asciiTheme="majorHAnsi" w:eastAsia="Times New Roman" w:hAnsiTheme="majorHAnsi" w:cs="Times New Roman"/>
                <w:sz w:val="20"/>
                <w:szCs w:val="20"/>
                <w:lang w:val="ro-RO" w:eastAsia="en-US"/>
              </w:rPr>
              <w:t>Automa</w:t>
            </w:r>
            <w:r>
              <w:rPr>
                <w:rFonts w:asciiTheme="majorHAnsi" w:eastAsia="Times New Roman" w:hAnsiTheme="majorHAnsi" w:cs="Times New Roman"/>
                <w:sz w:val="20"/>
                <w:szCs w:val="20"/>
                <w:lang w:val="ro-RO" w:eastAsia="en-US"/>
              </w:rPr>
              <w:t>tion and securing</w:t>
            </w:r>
            <w:r w:rsidRPr="00945A8E">
              <w:rPr>
                <w:rFonts w:asciiTheme="majorHAnsi" w:eastAsia="Times New Roman" w:hAnsiTheme="majorHAnsi" w:cs="Times New Roman"/>
                <w:sz w:val="20"/>
                <w:szCs w:val="20"/>
                <w:lang w:val="ro-RO" w:eastAsia="en-US"/>
              </w:rPr>
              <w:t>)</w:t>
            </w:r>
          </w:p>
        </w:tc>
        <w:tc>
          <w:tcPr>
            <w:tcW w:w="2454" w:type="pct"/>
            <w:vAlign w:val="center"/>
          </w:tcPr>
          <w:p w:rsidR="00D14CFE" w:rsidRDefault="00D14CFE" w:rsidP="00D14CFE">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lastRenderedPageBreak/>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participated as team members of the design team</w:t>
            </w:r>
          </w:p>
          <w:p w:rsidR="00D14CFE" w:rsidRPr="00945A8E" w:rsidRDefault="00D14CFE" w:rsidP="00D14CFE">
            <w:pPr>
              <w:spacing w:after="0" w:line="240" w:lineRule="auto"/>
              <w:ind w:firstLine="0"/>
              <w:jc w:val="both"/>
              <w:rPr>
                <w:rFonts w:asciiTheme="majorHAnsi" w:eastAsia="Times New Roman" w:hAnsiTheme="majorHAnsi" w:cs="Times New Roman"/>
                <w:b/>
                <w:bCs/>
                <w:sz w:val="20"/>
                <w:szCs w:val="20"/>
                <w:lang w:val="ro-RO" w:eastAsia="en-US"/>
              </w:rPr>
            </w:pPr>
            <w:r>
              <w:rPr>
                <w:rFonts w:asciiTheme="majorHAnsi" w:eastAsia="Times New Roman" w:hAnsiTheme="majorHAnsi" w:cs="Times New Roman"/>
                <w:b/>
                <w:bCs/>
                <w:sz w:val="20"/>
                <w:szCs w:val="20"/>
                <w:lang w:val="ro-RO" w:eastAsia="en-US"/>
              </w:rPr>
              <w:lastRenderedPageBreak/>
              <w:t>Completed stage.</w:t>
            </w:r>
          </w:p>
          <w:p w:rsidR="00837371" w:rsidRPr="00945A8E" w:rsidRDefault="00837371" w:rsidP="00A56D34">
            <w:pPr>
              <w:spacing w:after="0" w:line="240" w:lineRule="auto"/>
              <w:ind w:firstLine="0"/>
              <w:jc w:val="both"/>
              <w:rPr>
                <w:rFonts w:asciiTheme="majorHAnsi" w:eastAsia="Times New Roman" w:hAnsiTheme="majorHAnsi" w:cs="Times New Roman"/>
                <w:b/>
                <w:bCs/>
                <w:sz w:val="20"/>
                <w:szCs w:val="20"/>
                <w:lang w:val="ro-RO" w:eastAsia="en-US"/>
              </w:rPr>
            </w:pPr>
          </w:p>
        </w:tc>
      </w:tr>
      <w:tr w:rsidR="00837371" w:rsidRPr="00945A8E" w:rsidTr="00A56D34">
        <w:trPr>
          <w:trHeight w:val="517"/>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lastRenderedPageBreak/>
              <w:t>4.</w:t>
            </w:r>
          </w:p>
        </w:tc>
        <w:tc>
          <w:tcPr>
            <w:tcW w:w="2162" w:type="pct"/>
            <w:vAlign w:val="center"/>
          </w:tcPr>
          <w:p w:rsidR="00D14CFE" w:rsidRDefault="00D14CFE"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Automation and power supply the Technological Node Mosu.  </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D14CFE" w:rsidRDefault="00D14CFE" w:rsidP="00A56D34">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D14CFE" w:rsidRDefault="00D14CFE" w:rsidP="00A56D34">
            <w:pPr>
              <w:spacing w:after="0" w:line="240" w:lineRule="auto"/>
              <w:ind w:firstLine="0"/>
              <w:jc w:val="both"/>
              <w:rPr>
                <w:rFonts w:asciiTheme="majorHAnsi" w:eastAsia="Times New Roman" w:hAnsiTheme="majorHAnsi" w:cs="Times New Roman"/>
                <w:b/>
                <w:sz w:val="20"/>
                <w:szCs w:val="20"/>
                <w:lang w:val="ro-RO" w:eastAsia="en-US"/>
              </w:rPr>
            </w:pPr>
            <w:r w:rsidRPr="00D14CFE">
              <w:rPr>
                <w:rFonts w:asciiTheme="majorHAnsi" w:eastAsia="Times New Roman" w:hAnsiTheme="majorHAnsi" w:cs="Times New Roman"/>
                <w:b/>
                <w:sz w:val="20"/>
                <w:szCs w:val="20"/>
                <w:lang w:val="ro-RO" w:eastAsia="en-US"/>
              </w:rPr>
              <w:t xml:space="preserve">Completion deadline: 26.02.2017 </w:t>
            </w:r>
          </w:p>
        </w:tc>
      </w:tr>
      <w:tr w:rsidR="00837371" w:rsidRPr="00945A8E" w:rsidTr="00A56D34">
        <w:trPr>
          <w:trHeight w:val="441"/>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5.</w:t>
            </w:r>
          </w:p>
        </w:tc>
        <w:tc>
          <w:tcPr>
            <w:tcW w:w="2162" w:type="pct"/>
            <w:vAlign w:val="center"/>
          </w:tcPr>
          <w:p w:rsidR="00D14CFE"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Automation and power supply the Technological Node </w:t>
            </w:r>
            <w:r w:rsidRPr="00945A8E">
              <w:rPr>
                <w:rFonts w:asciiTheme="majorHAnsi" w:eastAsia="Times New Roman" w:hAnsiTheme="majorHAnsi" w:cs="Times New Roman"/>
                <w:sz w:val="20"/>
                <w:szCs w:val="20"/>
                <w:lang w:val="ro-RO" w:eastAsia="en-US"/>
              </w:rPr>
              <w:t>Ceanu Mare</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7F53F7" w:rsidRDefault="007F53F7" w:rsidP="007F53F7">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7F53F7"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Initial completion deadline: 21.11.2016</w:t>
            </w:r>
          </w:p>
          <w:p w:rsidR="007F53F7"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The completion deadline was extended.</w:t>
            </w:r>
          </w:p>
          <w:p w:rsidR="007F53F7" w:rsidRDefault="007F53F7" w:rsidP="00A56D34">
            <w:pPr>
              <w:spacing w:after="0" w:line="240" w:lineRule="auto"/>
              <w:ind w:firstLine="0"/>
              <w:jc w:val="both"/>
              <w:rPr>
                <w:rFonts w:asciiTheme="majorHAnsi" w:eastAsia="Times New Roman" w:hAnsiTheme="majorHAnsi" w:cs="Times New Roman"/>
                <w:b/>
                <w:sz w:val="20"/>
                <w:szCs w:val="20"/>
                <w:lang w:val="ro-RO" w:eastAsia="en-US"/>
              </w:rPr>
            </w:pPr>
            <w:r>
              <w:rPr>
                <w:rFonts w:asciiTheme="majorHAnsi" w:eastAsia="Times New Roman" w:hAnsiTheme="majorHAnsi" w:cs="Times New Roman"/>
                <w:b/>
                <w:sz w:val="20"/>
                <w:szCs w:val="20"/>
                <w:lang w:val="ro-RO" w:eastAsia="en-US"/>
              </w:rPr>
              <w:t>The new estimated deadline: 31.03.2017.</w:t>
            </w:r>
          </w:p>
          <w:p w:rsidR="00837371" w:rsidRPr="007F53F7" w:rsidRDefault="007F53F7" w:rsidP="00A56D34">
            <w:pPr>
              <w:spacing w:after="0" w:line="240" w:lineRule="auto"/>
              <w:ind w:firstLine="0"/>
              <w:jc w:val="both"/>
              <w:rPr>
                <w:rFonts w:asciiTheme="majorHAnsi" w:eastAsia="Times New Roman" w:hAnsiTheme="majorHAnsi" w:cs="Times New Roman"/>
                <w:b/>
                <w:sz w:val="20"/>
                <w:szCs w:val="20"/>
                <w:lang w:val="ro-RO" w:eastAsia="en-US"/>
              </w:rPr>
            </w:pPr>
            <w:r>
              <w:rPr>
                <w:rFonts w:asciiTheme="majorHAnsi" w:eastAsia="Times New Roman" w:hAnsiTheme="majorHAnsi" w:cs="Times New Roman"/>
                <w:b/>
                <w:sz w:val="20"/>
                <w:szCs w:val="20"/>
                <w:lang w:val="ro-RO" w:eastAsia="en-US"/>
              </w:rPr>
              <w:t xml:space="preserve">Completion in progress. </w:t>
            </w:r>
          </w:p>
        </w:tc>
      </w:tr>
      <w:tr w:rsidR="00837371" w:rsidRPr="00945A8E" w:rsidTr="00A56D34">
        <w:trPr>
          <w:trHeight w:val="621"/>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6.</w:t>
            </w:r>
          </w:p>
        </w:tc>
        <w:tc>
          <w:tcPr>
            <w:tcW w:w="2162" w:type="pct"/>
            <w:vAlign w:val="center"/>
          </w:tcPr>
          <w:p w:rsidR="007F53F7"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Automation and power supply the Technological Node </w:t>
            </w:r>
            <w:r w:rsidRPr="00945A8E">
              <w:rPr>
                <w:rFonts w:asciiTheme="majorHAnsi" w:eastAsia="Times New Roman" w:hAnsiTheme="majorHAnsi" w:cs="Times New Roman"/>
                <w:sz w:val="20"/>
                <w:szCs w:val="20"/>
                <w:lang w:val="ro-RO" w:eastAsia="en-US"/>
              </w:rPr>
              <w:t>Sâmbotin</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7F53F7" w:rsidRDefault="007F53F7" w:rsidP="007F53F7">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7F53F7"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b/>
                <w:sz w:val="20"/>
                <w:szCs w:val="20"/>
                <w:lang w:val="ro-RO" w:eastAsia="en-US"/>
              </w:rPr>
              <w:t>Completion in progress.</w:t>
            </w:r>
          </w:p>
        </w:tc>
      </w:tr>
      <w:tr w:rsidR="00837371" w:rsidRPr="00945A8E" w:rsidTr="00A56D34">
        <w:trPr>
          <w:trHeight w:val="646"/>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7.</w:t>
            </w:r>
          </w:p>
        </w:tc>
        <w:tc>
          <w:tcPr>
            <w:tcW w:w="2162" w:type="pct"/>
            <w:vAlign w:val="center"/>
          </w:tcPr>
          <w:p w:rsidR="007F53F7" w:rsidRDefault="007F53F7"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Preparation of the Gas Metering Station Giurgiu </w:t>
            </w:r>
            <w:r w:rsidR="00F14C3A">
              <w:rPr>
                <w:rFonts w:asciiTheme="majorHAnsi" w:eastAsia="Times New Roman" w:hAnsiTheme="majorHAnsi" w:cs="Times New Roman"/>
                <w:sz w:val="20"/>
                <w:szCs w:val="20"/>
                <w:lang w:val="ro-RO" w:eastAsia="en-US"/>
              </w:rPr>
              <w:t xml:space="preserve">in view of its commissioning  - Power supply installations and automation </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F14C3A" w:rsidRDefault="00F14C3A" w:rsidP="00F14C3A">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945A8E" w:rsidRDefault="00F14C3A" w:rsidP="00A56D34">
            <w:pPr>
              <w:spacing w:after="0" w:line="240" w:lineRule="auto"/>
              <w:ind w:firstLine="0"/>
              <w:jc w:val="both"/>
              <w:rPr>
                <w:rFonts w:asciiTheme="majorHAnsi" w:eastAsia="Times New Roman" w:hAnsiTheme="majorHAnsi" w:cs="Times New Roman"/>
                <w:b/>
                <w:bCs/>
                <w:sz w:val="20"/>
                <w:szCs w:val="20"/>
                <w:lang w:val="ro-RO" w:eastAsia="en-US"/>
              </w:rPr>
            </w:pPr>
            <w:r>
              <w:rPr>
                <w:rFonts w:asciiTheme="majorHAnsi" w:eastAsia="Times New Roman" w:hAnsiTheme="majorHAnsi" w:cs="Times New Roman"/>
                <w:b/>
                <w:bCs/>
                <w:sz w:val="20"/>
                <w:szCs w:val="20"/>
                <w:lang w:val="ro-RO" w:eastAsia="en-US"/>
              </w:rPr>
              <w:t>Completed</w:t>
            </w:r>
            <w:r w:rsidR="00837371" w:rsidRPr="00945A8E">
              <w:rPr>
                <w:rFonts w:asciiTheme="majorHAnsi" w:eastAsia="Times New Roman" w:hAnsiTheme="majorHAnsi" w:cs="Times New Roman"/>
                <w:b/>
                <w:bCs/>
                <w:sz w:val="20"/>
                <w:szCs w:val="20"/>
                <w:lang w:val="ro-RO" w:eastAsia="en-US"/>
              </w:rPr>
              <w:t>: 14.09.2016</w:t>
            </w:r>
          </w:p>
        </w:tc>
      </w:tr>
      <w:tr w:rsidR="00837371" w:rsidRPr="00945A8E" w:rsidTr="00A56D34">
        <w:trPr>
          <w:trHeight w:val="646"/>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8.</w:t>
            </w:r>
          </w:p>
        </w:tc>
        <w:tc>
          <w:tcPr>
            <w:tcW w:w="2162" w:type="pct"/>
            <w:vAlign w:val="center"/>
          </w:tcPr>
          <w:p w:rsidR="00F14C3A" w:rsidRDefault="00F14C3A"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Data transmission system and integration in SCADA of the equipment in the Gas Metering Station Giurgiu</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F14C3A" w:rsidRDefault="00F14C3A" w:rsidP="00F14C3A">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945A8E" w:rsidRDefault="00F14C3A" w:rsidP="00A56D34">
            <w:pPr>
              <w:spacing w:after="0" w:line="240" w:lineRule="auto"/>
              <w:ind w:firstLine="0"/>
              <w:jc w:val="both"/>
              <w:rPr>
                <w:rFonts w:asciiTheme="majorHAnsi" w:eastAsia="Times New Roman" w:hAnsiTheme="majorHAnsi" w:cs="Times New Roman"/>
                <w:sz w:val="20"/>
                <w:szCs w:val="20"/>
                <w:lang w:val="ro-RO" w:eastAsia="en-US"/>
              </w:rPr>
            </w:pPr>
            <w:r w:rsidRPr="00D14CFE">
              <w:rPr>
                <w:rFonts w:asciiTheme="majorHAnsi" w:eastAsia="Times New Roman" w:hAnsiTheme="majorHAnsi" w:cs="Times New Roman"/>
                <w:b/>
                <w:sz w:val="20"/>
                <w:szCs w:val="20"/>
                <w:lang w:val="ro-RO" w:eastAsia="en-US"/>
              </w:rPr>
              <w:t>Completion deadline:</w:t>
            </w:r>
            <w:r>
              <w:rPr>
                <w:rFonts w:asciiTheme="majorHAnsi" w:eastAsia="Times New Roman" w:hAnsiTheme="majorHAnsi" w:cs="Times New Roman"/>
                <w:sz w:val="20"/>
                <w:szCs w:val="20"/>
                <w:lang w:val="ro-RO" w:eastAsia="en-US"/>
              </w:rPr>
              <w:t xml:space="preserve"> </w:t>
            </w:r>
            <w:r w:rsidR="00837371" w:rsidRPr="00945A8E">
              <w:rPr>
                <w:rFonts w:asciiTheme="majorHAnsi" w:eastAsia="Times New Roman" w:hAnsiTheme="majorHAnsi" w:cs="Times New Roman"/>
                <w:sz w:val="20"/>
                <w:szCs w:val="20"/>
                <w:lang w:val="ro-RO" w:eastAsia="en-US"/>
              </w:rPr>
              <w:t>2017</w:t>
            </w:r>
          </w:p>
          <w:p w:rsidR="00837371" w:rsidRPr="00945A8E" w:rsidRDefault="00F14C3A" w:rsidP="00A56D34">
            <w:pPr>
              <w:spacing w:after="0" w:line="240" w:lineRule="auto"/>
              <w:ind w:firstLine="0"/>
              <w:jc w:val="both"/>
              <w:rPr>
                <w:rFonts w:asciiTheme="majorHAnsi" w:eastAsia="Times New Roman" w:hAnsiTheme="majorHAnsi" w:cs="Times New Roman"/>
                <w:b/>
                <w:bCs/>
                <w:sz w:val="20"/>
                <w:szCs w:val="20"/>
                <w:lang w:val="ro-RO" w:eastAsia="en-US"/>
              </w:rPr>
            </w:pPr>
            <w:r>
              <w:rPr>
                <w:rFonts w:asciiTheme="majorHAnsi" w:eastAsia="Times New Roman" w:hAnsiTheme="majorHAnsi" w:cs="Times New Roman"/>
                <w:sz w:val="20"/>
                <w:szCs w:val="20"/>
                <w:lang w:val="ro-RO" w:eastAsia="en-US"/>
              </w:rPr>
              <w:t xml:space="preserve">Acceptance performed. The planning of the commissioning follows. Completion in progress. </w:t>
            </w:r>
          </w:p>
        </w:tc>
      </w:tr>
      <w:tr w:rsidR="00837371" w:rsidRPr="00945A8E" w:rsidTr="00A56D34">
        <w:trPr>
          <w:trHeight w:val="419"/>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9.</w:t>
            </w:r>
          </w:p>
        </w:tc>
        <w:tc>
          <w:tcPr>
            <w:tcW w:w="2162" w:type="pct"/>
            <w:vAlign w:val="center"/>
          </w:tcPr>
          <w:p w:rsidR="00F14C3A" w:rsidRDefault="00F14C3A"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Upgrading of the supervisory system Gas Metering Station </w:t>
            </w:r>
            <w:r w:rsidR="0009667C">
              <w:rPr>
                <w:rFonts w:asciiTheme="majorHAnsi" w:eastAsia="Times New Roman" w:hAnsiTheme="majorHAnsi" w:cs="Times New Roman"/>
                <w:sz w:val="20"/>
                <w:szCs w:val="20"/>
                <w:lang w:val="ro-RO" w:eastAsia="en-US"/>
              </w:rPr>
              <w:t>Negru Voda Trans</w:t>
            </w:r>
            <w:r w:rsidR="0009667C" w:rsidRPr="00945A8E">
              <w:rPr>
                <w:rFonts w:asciiTheme="majorHAnsi" w:eastAsia="Times New Roman" w:hAnsiTheme="majorHAnsi" w:cs="Times New Roman"/>
                <w:sz w:val="20"/>
                <w:szCs w:val="20"/>
                <w:lang w:val="ro-RO" w:eastAsia="en-US"/>
              </w:rPr>
              <w:t>it 1</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09667C" w:rsidRDefault="0009667C" w:rsidP="0009667C">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09667C" w:rsidRDefault="0009667C"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b/>
                <w:bCs/>
                <w:sz w:val="20"/>
                <w:szCs w:val="20"/>
                <w:lang w:val="ro-RO" w:eastAsia="en-US"/>
              </w:rPr>
              <w:t>Completed</w:t>
            </w:r>
            <w:r w:rsidRPr="00945A8E">
              <w:rPr>
                <w:rFonts w:asciiTheme="majorHAnsi" w:eastAsia="Times New Roman" w:hAnsiTheme="majorHAnsi" w:cs="Times New Roman"/>
                <w:b/>
                <w:bCs/>
                <w:sz w:val="20"/>
                <w:szCs w:val="20"/>
                <w:lang w:val="ro-RO" w:eastAsia="en-US"/>
              </w:rPr>
              <w:t>: 31.10.2016</w:t>
            </w:r>
          </w:p>
        </w:tc>
      </w:tr>
      <w:tr w:rsidR="00837371" w:rsidRPr="00945A8E" w:rsidTr="00A56D34">
        <w:trPr>
          <w:trHeight w:val="708"/>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10.</w:t>
            </w:r>
          </w:p>
        </w:tc>
        <w:tc>
          <w:tcPr>
            <w:tcW w:w="2162" w:type="pct"/>
            <w:vAlign w:val="center"/>
          </w:tcPr>
          <w:p w:rsidR="0009667C" w:rsidRDefault="0009667C"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Completion of the </w:t>
            </w:r>
            <w:r w:rsidR="00AE5420">
              <w:rPr>
                <w:rFonts w:asciiTheme="majorHAnsi" w:eastAsia="Times New Roman" w:hAnsiTheme="majorHAnsi" w:cs="Times New Roman"/>
                <w:sz w:val="20"/>
                <w:szCs w:val="20"/>
                <w:lang w:val="ro-RO" w:eastAsia="en-US"/>
              </w:rPr>
              <w:t xml:space="preserve">integration of the gas metering supervision system at the Gas Metering Station </w:t>
            </w:r>
            <w:r w:rsidR="00AE5420" w:rsidRPr="00945A8E">
              <w:rPr>
                <w:rFonts w:asciiTheme="majorHAnsi" w:eastAsia="Times New Roman" w:hAnsiTheme="majorHAnsi" w:cs="Times New Roman"/>
                <w:sz w:val="20"/>
                <w:szCs w:val="20"/>
                <w:lang w:val="ro-RO" w:eastAsia="en-US"/>
              </w:rPr>
              <w:t>Ungheni</w:t>
            </w:r>
          </w:p>
          <w:p w:rsidR="00837371" w:rsidRPr="00945A8E" w:rsidRDefault="00837371" w:rsidP="00A56D34">
            <w:pPr>
              <w:spacing w:after="0" w:line="240" w:lineRule="auto"/>
              <w:ind w:firstLine="0"/>
              <w:jc w:val="both"/>
              <w:rPr>
                <w:rFonts w:asciiTheme="majorHAnsi" w:eastAsia="Times New Roman" w:hAnsiTheme="majorHAnsi" w:cs="Times New Roman"/>
                <w:sz w:val="20"/>
                <w:szCs w:val="20"/>
                <w:lang w:val="ro-RO" w:eastAsia="en-US"/>
              </w:rPr>
            </w:pPr>
          </w:p>
        </w:tc>
        <w:tc>
          <w:tcPr>
            <w:tcW w:w="2454" w:type="pct"/>
            <w:vAlign w:val="center"/>
          </w:tcPr>
          <w:p w:rsidR="00AE5420" w:rsidRDefault="00AE5420" w:rsidP="00AE5420">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945A8E" w:rsidRDefault="00AE5420" w:rsidP="00AE5420">
            <w:pPr>
              <w:spacing w:after="0" w:line="240" w:lineRule="auto"/>
              <w:ind w:firstLine="0"/>
              <w:jc w:val="both"/>
              <w:rPr>
                <w:rFonts w:asciiTheme="majorHAnsi" w:eastAsia="Times New Roman" w:hAnsiTheme="majorHAnsi" w:cs="Times New Roman"/>
                <w:b/>
                <w:bCs/>
                <w:sz w:val="20"/>
                <w:szCs w:val="20"/>
                <w:lang w:val="ro-RO" w:eastAsia="en-US"/>
              </w:rPr>
            </w:pPr>
            <w:r>
              <w:rPr>
                <w:rFonts w:asciiTheme="majorHAnsi" w:eastAsia="Times New Roman" w:hAnsiTheme="majorHAnsi" w:cs="Times New Roman"/>
                <w:b/>
                <w:bCs/>
                <w:sz w:val="20"/>
                <w:szCs w:val="20"/>
                <w:lang w:val="ro-RO" w:eastAsia="en-US"/>
              </w:rPr>
              <w:t>Completed</w:t>
            </w:r>
            <w:r w:rsidRPr="00945A8E">
              <w:rPr>
                <w:rFonts w:asciiTheme="majorHAnsi" w:eastAsia="Times New Roman" w:hAnsiTheme="majorHAnsi" w:cs="Times New Roman"/>
                <w:b/>
                <w:bCs/>
                <w:sz w:val="20"/>
                <w:szCs w:val="20"/>
                <w:lang w:val="ro-RO" w:eastAsia="en-US"/>
              </w:rPr>
              <w:t xml:space="preserve">: </w:t>
            </w:r>
            <w:r w:rsidR="00837371" w:rsidRPr="00945A8E">
              <w:rPr>
                <w:rFonts w:asciiTheme="majorHAnsi" w:eastAsia="Times New Roman" w:hAnsiTheme="majorHAnsi" w:cs="Times New Roman"/>
                <w:b/>
                <w:bCs/>
                <w:sz w:val="20"/>
                <w:szCs w:val="20"/>
                <w:lang w:val="ro-RO" w:eastAsia="en-US"/>
              </w:rPr>
              <w:t>23.09.2016</w:t>
            </w:r>
          </w:p>
        </w:tc>
      </w:tr>
      <w:tr w:rsidR="00837371" w:rsidRPr="00945A8E" w:rsidTr="00A56D34">
        <w:trPr>
          <w:trHeight w:val="651"/>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11.</w:t>
            </w:r>
          </w:p>
        </w:tc>
        <w:tc>
          <w:tcPr>
            <w:tcW w:w="2162" w:type="pct"/>
            <w:vAlign w:val="center"/>
          </w:tcPr>
          <w:p w:rsidR="00837371" w:rsidRPr="00945A8E" w:rsidRDefault="00304B5C"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Adaptation of the Metering Regulating Station Oradea I to the ground – Power supply installations and automation.  </w:t>
            </w:r>
          </w:p>
        </w:tc>
        <w:tc>
          <w:tcPr>
            <w:tcW w:w="2454" w:type="pct"/>
            <w:vAlign w:val="center"/>
          </w:tcPr>
          <w:p w:rsidR="00304B5C" w:rsidRDefault="00304B5C" w:rsidP="00304B5C">
            <w:pPr>
              <w:spacing w:after="0" w:line="240" w:lineRule="auto"/>
              <w:ind w:firstLine="0"/>
              <w:jc w:val="both"/>
              <w:rPr>
                <w:rFonts w:asciiTheme="majorHAnsi" w:eastAsia="Times New Roman" w:hAnsiTheme="majorHAnsi" w:cs="Times New Roman"/>
                <w:sz w:val="20"/>
                <w:szCs w:val="20"/>
                <w:lang w:val="ro-RO" w:eastAsia="en-US"/>
              </w:rPr>
            </w:pPr>
            <w:r w:rsidRPr="004B4CA9">
              <w:rPr>
                <w:rFonts w:asciiTheme="majorHAnsi" w:eastAsia="Times New Roman" w:hAnsiTheme="majorHAnsi" w:cs="Times New Roman"/>
                <w:sz w:val="20"/>
                <w:szCs w:val="20"/>
                <w:lang w:val="ro-RO" w:eastAsia="en-US"/>
              </w:rPr>
              <w:t xml:space="preserve">Automation and SCADA </w:t>
            </w:r>
            <w:r>
              <w:rPr>
                <w:rFonts w:asciiTheme="majorHAnsi" w:eastAsia="Times New Roman" w:hAnsiTheme="majorHAnsi" w:cs="Times New Roman"/>
                <w:sz w:val="20"/>
                <w:szCs w:val="20"/>
                <w:lang w:val="ro-RO" w:eastAsia="en-US"/>
              </w:rPr>
              <w:t xml:space="preserve">Unit </w:t>
            </w:r>
            <w:r w:rsidRPr="004B4CA9">
              <w:rPr>
                <w:rFonts w:asciiTheme="majorHAnsi" w:eastAsia="Times New Roman" w:hAnsiTheme="majorHAnsi" w:cs="Times New Roman"/>
                <w:sz w:val="20"/>
                <w:szCs w:val="20"/>
                <w:lang w:val="ro-RO" w:eastAsia="en-US"/>
              </w:rPr>
              <w:t>representatives</w:t>
            </w:r>
            <w:r>
              <w:rPr>
                <w:rFonts w:asciiTheme="majorHAnsi" w:eastAsia="Times New Roman" w:hAnsiTheme="majorHAnsi" w:cs="Times New Roman"/>
                <w:sz w:val="20"/>
                <w:szCs w:val="20"/>
                <w:lang w:val="ro-RO" w:eastAsia="en-US"/>
              </w:rPr>
              <w:t xml:space="preserve"> participate as team members of the team for the monitoring of the design and execution works.</w:t>
            </w:r>
          </w:p>
          <w:p w:rsidR="00837371" w:rsidRPr="00945A8E" w:rsidRDefault="00304B5C" w:rsidP="00304B5C">
            <w:pPr>
              <w:spacing w:after="0" w:line="240" w:lineRule="auto"/>
              <w:ind w:firstLine="0"/>
              <w:jc w:val="both"/>
              <w:rPr>
                <w:rFonts w:asciiTheme="majorHAnsi" w:eastAsia="Times New Roman" w:hAnsiTheme="majorHAnsi" w:cs="Times New Roman"/>
                <w:b/>
                <w:bCs/>
                <w:sz w:val="20"/>
                <w:szCs w:val="20"/>
                <w:lang w:val="ro-RO" w:eastAsia="en-US"/>
              </w:rPr>
            </w:pPr>
            <w:r w:rsidRPr="00D14CFE">
              <w:rPr>
                <w:rFonts w:asciiTheme="majorHAnsi" w:eastAsia="Times New Roman" w:hAnsiTheme="majorHAnsi" w:cs="Times New Roman"/>
                <w:b/>
                <w:sz w:val="20"/>
                <w:szCs w:val="20"/>
                <w:lang w:val="ro-RO" w:eastAsia="en-US"/>
              </w:rPr>
              <w:t>Completion deadline:</w:t>
            </w:r>
            <w:r>
              <w:rPr>
                <w:rFonts w:asciiTheme="majorHAnsi" w:eastAsia="Times New Roman" w:hAnsiTheme="majorHAnsi" w:cs="Times New Roman"/>
                <w:sz w:val="20"/>
                <w:szCs w:val="20"/>
                <w:lang w:val="ro-RO" w:eastAsia="en-US"/>
              </w:rPr>
              <w:t xml:space="preserve"> </w:t>
            </w:r>
            <w:r w:rsidRPr="00304B5C">
              <w:rPr>
                <w:rFonts w:asciiTheme="majorHAnsi" w:eastAsia="Times New Roman" w:hAnsiTheme="majorHAnsi" w:cs="Times New Roman"/>
                <w:b/>
                <w:sz w:val="20"/>
                <w:szCs w:val="20"/>
                <w:lang w:val="ro-RO" w:eastAsia="en-US"/>
              </w:rPr>
              <w:t>March</w:t>
            </w:r>
            <w:r w:rsidR="00837371" w:rsidRPr="00304B5C">
              <w:rPr>
                <w:rFonts w:asciiTheme="majorHAnsi" w:eastAsia="Times New Roman" w:hAnsiTheme="majorHAnsi" w:cs="Times New Roman"/>
                <w:b/>
                <w:bCs/>
                <w:sz w:val="20"/>
                <w:szCs w:val="20"/>
                <w:lang w:val="ro-RO" w:eastAsia="en-US"/>
              </w:rPr>
              <w:t xml:space="preserve"> </w:t>
            </w:r>
            <w:r w:rsidR="00837371" w:rsidRPr="00945A8E">
              <w:rPr>
                <w:rFonts w:asciiTheme="majorHAnsi" w:eastAsia="Times New Roman" w:hAnsiTheme="majorHAnsi" w:cs="Times New Roman"/>
                <w:b/>
                <w:bCs/>
                <w:sz w:val="20"/>
                <w:szCs w:val="20"/>
                <w:lang w:val="ro-RO" w:eastAsia="en-US"/>
              </w:rPr>
              <w:t>2017</w:t>
            </w:r>
          </w:p>
        </w:tc>
      </w:tr>
      <w:tr w:rsidR="00837371" w:rsidRPr="00945A8E" w:rsidTr="00A56D34">
        <w:trPr>
          <w:trHeight w:val="1161"/>
          <w:tblCellSpacing w:w="20" w:type="dxa"/>
          <w:jc w:val="center"/>
        </w:trPr>
        <w:tc>
          <w:tcPr>
            <w:tcW w:w="295" w:type="pct"/>
            <w:vAlign w:val="center"/>
          </w:tcPr>
          <w:p w:rsidR="00837371" w:rsidRPr="00945A8E" w:rsidRDefault="00837371" w:rsidP="00A56D34">
            <w:pPr>
              <w:spacing w:after="0" w:line="240" w:lineRule="auto"/>
              <w:ind w:firstLine="0"/>
              <w:jc w:val="center"/>
              <w:rPr>
                <w:rFonts w:asciiTheme="majorHAnsi" w:eastAsia="Times New Roman" w:hAnsiTheme="majorHAnsi" w:cs="Times New Roman"/>
                <w:sz w:val="20"/>
                <w:szCs w:val="20"/>
                <w:lang w:val="ro-RO" w:eastAsia="en-US"/>
              </w:rPr>
            </w:pPr>
            <w:r w:rsidRPr="00945A8E">
              <w:rPr>
                <w:rFonts w:asciiTheme="majorHAnsi" w:eastAsia="Times New Roman" w:hAnsiTheme="majorHAnsi" w:cs="Times New Roman"/>
                <w:sz w:val="20"/>
                <w:szCs w:val="20"/>
                <w:lang w:val="ro-RO" w:eastAsia="en-US"/>
              </w:rPr>
              <w:t>12.</w:t>
            </w:r>
          </w:p>
        </w:tc>
        <w:tc>
          <w:tcPr>
            <w:tcW w:w="2162" w:type="pct"/>
            <w:vAlign w:val="center"/>
          </w:tcPr>
          <w:p w:rsidR="00837371" w:rsidRPr="00945A8E" w:rsidRDefault="00304B5C" w:rsidP="00A56D34">
            <w:pPr>
              <w:spacing w:after="0" w:line="240" w:lineRule="auto"/>
              <w:ind w:firstLine="0"/>
              <w:jc w:val="both"/>
              <w:rPr>
                <w:rFonts w:asciiTheme="majorHAnsi" w:eastAsia="Times New Roman" w:hAnsiTheme="majorHAnsi" w:cs="Times New Roman"/>
                <w:sz w:val="20"/>
                <w:szCs w:val="20"/>
                <w:lang w:val="ro-RO" w:eastAsia="en-US"/>
              </w:rPr>
            </w:pPr>
            <w:r>
              <w:rPr>
                <w:rFonts w:asciiTheme="majorHAnsi" w:eastAsia="Times New Roman" w:hAnsiTheme="majorHAnsi" w:cs="Times New Roman"/>
                <w:sz w:val="20"/>
                <w:szCs w:val="20"/>
                <w:lang w:val="ro-RO" w:eastAsia="en-US"/>
              </w:rPr>
              <w:t xml:space="preserve">Participation to the acceptance </w:t>
            </w:r>
            <w:r w:rsidR="003F4146">
              <w:rPr>
                <w:rFonts w:asciiTheme="majorHAnsi" w:eastAsia="Times New Roman" w:hAnsiTheme="majorHAnsi" w:cs="Times New Roman"/>
                <w:sz w:val="20"/>
                <w:szCs w:val="20"/>
                <w:lang w:val="ro-RO" w:eastAsia="en-US"/>
              </w:rPr>
              <w:t>for the commissioning of the automation and power supply installations related to the Technological nodes: Band, Sărmașel and</w:t>
            </w:r>
            <w:r w:rsidR="003F4146" w:rsidRPr="00945A8E">
              <w:rPr>
                <w:rFonts w:asciiTheme="majorHAnsi" w:eastAsia="Times New Roman" w:hAnsiTheme="majorHAnsi" w:cs="Times New Roman"/>
                <w:sz w:val="20"/>
                <w:szCs w:val="20"/>
                <w:lang w:val="ro-RO" w:eastAsia="en-US"/>
              </w:rPr>
              <w:t xml:space="preserve"> </w:t>
            </w:r>
            <w:r w:rsidR="003F4146">
              <w:rPr>
                <w:rFonts w:asciiTheme="majorHAnsi" w:eastAsia="Times New Roman" w:hAnsiTheme="majorHAnsi" w:cs="Times New Roman"/>
                <w:sz w:val="20"/>
                <w:szCs w:val="20"/>
                <w:lang w:val="ro-RO" w:eastAsia="en-US"/>
              </w:rPr>
              <w:t xml:space="preserve">the Gas Import Station </w:t>
            </w:r>
            <w:r w:rsidR="003F4146" w:rsidRPr="00945A8E">
              <w:rPr>
                <w:rFonts w:asciiTheme="majorHAnsi" w:eastAsia="Times New Roman" w:hAnsiTheme="majorHAnsi" w:cs="Times New Roman"/>
                <w:sz w:val="20"/>
                <w:szCs w:val="20"/>
                <w:lang w:val="ro-RO" w:eastAsia="en-US"/>
              </w:rPr>
              <w:t>Medieșu Aurit</w:t>
            </w:r>
            <w:r w:rsidR="003F4146">
              <w:rPr>
                <w:rFonts w:asciiTheme="majorHAnsi" w:eastAsia="Times New Roman" w:hAnsiTheme="majorHAnsi" w:cs="Times New Roman"/>
                <w:sz w:val="20"/>
                <w:szCs w:val="20"/>
                <w:lang w:val="ro-RO" w:eastAsia="en-US"/>
              </w:rPr>
              <w:t>.</w:t>
            </w:r>
          </w:p>
        </w:tc>
        <w:tc>
          <w:tcPr>
            <w:tcW w:w="2454" w:type="pct"/>
            <w:vAlign w:val="center"/>
          </w:tcPr>
          <w:p w:rsidR="00837371" w:rsidRPr="00945A8E" w:rsidRDefault="003F4146" w:rsidP="00A56D34">
            <w:pPr>
              <w:spacing w:after="0" w:line="240" w:lineRule="auto"/>
              <w:ind w:firstLine="0"/>
              <w:jc w:val="both"/>
              <w:rPr>
                <w:rFonts w:asciiTheme="majorHAnsi" w:eastAsia="Times New Roman" w:hAnsiTheme="majorHAnsi" w:cs="Times New Roman"/>
                <w:b/>
                <w:bCs/>
                <w:sz w:val="20"/>
                <w:szCs w:val="20"/>
                <w:lang w:val="ro-RO" w:eastAsia="en-US"/>
              </w:rPr>
            </w:pPr>
            <w:r w:rsidRPr="00D14CFE">
              <w:rPr>
                <w:rFonts w:asciiTheme="majorHAnsi" w:eastAsia="Times New Roman" w:hAnsiTheme="majorHAnsi" w:cs="Times New Roman"/>
                <w:b/>
                <w:sz w:val="20"/>
                <w:szCs w:val="20"/>
                <w:lang w:val="ro-RO" w:eastAsia="en-US"/>
              </w:rPr>
              <w:t>Completion deadline:</w:t>
            </w:r>
            <w:r>
              <w:rPr>
                <w:rFonts w:asciiTheme="majorHAnsi" w:eastAsia="Times New Roman" w:hAnsiTheme="majorHAnsi" w:cs="Times New Roman"/>
                <w:sz w:val="20"/>
                <w:szCs w:val="20"/>
                <w:lang w:val="ro-RO" w:eastAsia="en-US"/>
              </w:rPr>
              <w:t xml:space="preserve"> </w:t>
            </w:r>
            <w:r w:rsidR="00837371" w:rsidRPr="00945A8E">
              <w:rPr>
                <w:rFonts w:asciiTheme="majorHAnsi" w:eastAsia="Times New Roman" w:hAnsiTheme="majorHAnsi" w:cs="Times New Roman"/>
                <w:b/>
                <w:bCs/>
                <w:sz w:val="20"/>
                <w:szCs w:val="20"/>
                <w:lang w:val="ro-RO" w:eastAsia="en-US"/>
              </w:rPr>
              <w:t>2016/2017</w:t>
            </w:r>
          </w:p>
        </w:tc>
      </w:tr>
    </w:tbl>
    <w:p w:rsidR="00837371" w:rsidRDefault="00837371" w:rsidP="00F3287A">
      <w:pPr>
        <w:spacing w:after="0" w:line="25" w:lineRule="atLeast"/>
        <w:ind w:firstLine="0"/>
        <w:jc w:val="both"/>
        <w:rPr>
          <w:rFonts w:ascii="Cambria" w:hAnsi="Cambria"/>
          <w:bCs/>
          <w:sz w:val="24"/>
          <w:szCs w:val="24"/>
          <w:lang w:val="en-GB" w:eastAsia="it-IT"/>
        </w:rPr>
      </w:pPr>
    </w:p>
    <w:p w:rsidR="00A27C27" w:rsidRPr="00322BD0" w:rsidRDefault="00764E53" w:rsidP="00F3287A">
      <w:pPr>
        <w:spacing w:after="0" w:line="25" w:lineRule="atLeast"/>
        <w:ind w:firstLine="0"/>
        <w:jc w:val="both"/>
        <w:rPr>
          <w:rFonts w:ascii="Cambria" w:hAnsi="Cambria"/>
          <w:bCs/>
          <w:sz w:val="24"/>
          <w:szCs w:val="24"/>
          <w:lang w:val="en-GB" w:eastAsia="it-IT"/>
        </w:rPr>
      </w:pPr>
      <w:r w:rsidRPr="00322BD0">
        <w:rPr>
          <w:rFonts w:ascii="Cambria" w:hAnsi="Cambria"/>
          <w:bCs/>
          <w:sz w:val="24"/>
          <w:szCs w:val="24"/>
          <w:lang w:val="en-GB" w:eastAsia="it-IT"/>
        </w:rPr>
        <w:t xml:space="preserve">The situation of the total </w:t>
      </w:r>
      <w:r w:rsidR="0048610A" w:rsidRPr="00322BD0">
        <w:rPr>
          <w:rFonts w:ascii="Cambria" w:hAnsi="Cambria"/>
          <w:bCs/>
          <w:sz w:val="24"/>
          <w:szCs w:val="24"/>
          <w:lang w:val="en-GB" w:eastAsia="it-IT"/>
        </w:rPr>
        <w:t>investment costs (</w:t>
      </w:r>
      <w:r w:rsidR="00640FDB" w:rsidRPr="00322BD0">
        <w:rPr>
          <w:rFonts w:ascii="Cambria" w:hAnsi="Cambria"/>
          <w:bCs/>
          <w:sz w:val="24"/>
          <w:szCs w:val="24"/>
          <w:lang w:val="en-GB" w:eastAsia="it-IT"/>
        </w:rPr>
        <w:t xml:space="preserve">RON </w:t>
      </w:r>
      <w:r w:rsidR="0048610A" w:rsidRPr="00322BD0">
        <w:rPr>
          <w:rFonts w:ascii="Cambria" w:hAnsi="Cambria"/>
          <w:bCs/>
          <w:sz w:val="24"/>
          <w:szCs w:val="24"/>
          <w:lang w:val="en-GB" w:eastAsia="it-IT"/>
        </w:rPr>
        <w:t>thousand):</w:t>
      </w:r>
    </w:p>
    <w:p w:rsidR="00A27C27" w:rsidRPr="00322BD0" w:rsidRDefault="00A27C27" w:rsidP="00F3287A">
      <w:pPr>
        <w:spacing w:after="0" w:line="25" w:lineRule="atLeast"/>
        <w:ind w:firstLine="0"/>
        <w:jc w:val="both"/>
        <w:rPr>
          <w:rFonts w:ascii="Cambria" w:hAnsi="Cambria"/>
          <w:bCs/>
          <w:sz w:val="24"/>
          <w:szCs w:val="24"/>
          <w:lang w:val="en-GB" w:eastAsia="it-IT"/>
        </w:rPr>
      </w:pPr>
    </w:p>
    <w:tbl>
      <w:tblPr>
        <w:tblW w:w="9046" w:type="dxa"/>
        <w:tblCellSpacing w:w="20" w:type="dxa"/>
        <w:tblInd w:w="15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000" w:firstRow="0" w:lastRow="0" w:firstColumn="0" w:lastColumn="0" w:noHBand="0" w:noVBand="0"/>
      </w:tblPr>
      <w:tblGrid>
        <w:gridCol w:w="5231"/>
        <w:gridCol w:w="1843"/>
        <w:gridCol w:w="1972"/>
      </w:tblGrid>
      <w:tr w:rsidR="00A27C27" w:rsidRPr="00322BD0" w:rsidTr="00A064EB">
        <w:trPr>
          <w:trHeight w:val="284"/>
          <w:tblCellSpacing w:w="20" w:type="dxa"/>
        </w:trPr>
        <w:tc>
          <w:tcPr>
            <w:tcW w:w="5171" w:type="dxa"/>
            <w:shd w:val="clear" w:color="auto" w:fill="DBE5F1" w:themeFill="accent1" w:themeFillTint="33"/>
          </w:tcPr>
          <w:p w:rsidR="00A27C27" w:rsidRPr="00322BD0" w:rsidRDefault="00A27C27" w:rsidP="00A064EB">
            <w:pPr>
              <w:spacing w:after="0" w:line="240" w:lineRule="auto"/>
              <w:ind w:firstLine="0"/>
              <w:jc w:val="both"/>
              <w:rPr>
                <w:rFonts w:ascii="Cambria" w:eastAsia="Times New Roman" w:hAnsi="Cambria" w:cs="Times New Roman"/>
                <w:sz w:val="18"/>
                <w:szCs w:val="18"/>
                <w:lang w:val="en-GB" w:eastAsia="ro-RO"/>
              </w:rPr>
            </w:pPr>
          </w:p>
        </w:tc>
        <w:tc>
          <w:tcPr>
            <w:tcW w:w="1803" w:type="dxa"/>
            <w:shd w:val="clear" w:color="auto" w:fill="DBE5F1" w:themeFill="accent1" w:themeFillTint="33"/>
          </w:tcPr>
          <w:p w:rsidR="00A27C27" w:rsidRPr="00322BD0" w:rsidRDefault="00A27C27" w:rsidP="00A064EB">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Programme</w:t>
            </w:r>
          </w:p>
          <w:p w:rsidR="00A27C27" w:rsidRPr="00322BD0" w:rsidRDefault="00A27C27" w:rsidP="00A064EB">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201</w:t>
            </w:r>
            <w:r w:rsidR="00837371">
              <w:rPr>
                <w:rFonts w:ascii="Cambria" w:eastAsia="Times New Roman" w:hAnsi="Cambria" w:cs="Times New Roman"/>
                <w:b/>
                <w:sz w:val="18"/>
                <w:szCs w:val="18"/>
                <w:lang w:val="en-GB" w:eastAsia="ro-RO"/>
              </w:rPr>
              <w:t>6</w:t>
            </w:r>
          </w:p>
        </w:tc>
        <w:tc>
          <w:tcPr>
            <w:tcW w:w="1912" w:type="dxa"/>
            <w:shd w:val="clear" w:color="auto" w:fill="DBE5F1" w:themeFill="accent1" w:themeFillTint="33"/>
          </w:tcPr>
          <w:p w:rsidR="00A27C27" w:rsidRPr="00322BD0" w:rsidRDefault="00A27C27" w:rsidP="00A064EB">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Achieved</w:t>
            </w:r>
          </w:p>
          <w:p w:rsidR="00A27C27" w:rsidRPr="00322BD0" w:rsidRDefault="00837371" w:rsidP="00A064EB">
            <w:pPr>
              <w:spacing w:after="0" w:line="240" w:lineRule="auto"/>
              <w:ind w:firstLine="0"/>
              <w:jc w:val="center"/>
              <w:rPr>
                <w:rFonts w:ascii="Cambria" w:eastAsia="Times New Roman" w:hAnsi="Cambria" w:cs="Times New Roman"/>
                <w:b/>
                <w:sz w:val="18"/>
                <w:szCs w:val="18"/>
                <w:lang w:val="en-GB" w:eastAsia="ro-RO"/>
              </w:rPr>
            </w:pPr>
            <w:r>
              <w:rPr>
                <w:rFonts w:ascii="Cambria" w:eastAsia="Times New Roman" w:hAnsi="Cambria" w:cs="Times New Roman"/>
                <w:b/>
                <w:sz w:val="18"/>
                <w:szCs w:val="18"/>
                <w:lang w:val="en-GB" w:eastAsia="ro-RO"/>
              </w:rPr>
              <w:t>2016</w:t>
            </w:r>
          </w:p>
        </w:tc>
      </w:tr>
      <w:tr w:rsidR="00E16662" w:rsidRPr="00322BD0" w:rsidTr="00A064EB">
        <w:trPr>
          <w:trHeight w:val="196"/>
          <w:tblCellSpacing w:w="20" w:type="dxa"/>
        </w:trPr>
        <w:tc>
          <w:tcPr>
            <w:tcW w:w="5171" w:type="dxa"/>
          </w:tcPr>
          <w:p w:rsidR="00E16662" w:rsidRPr="00322BD0" w:rsidRDefault="00E16662" w:rsidP="008E6027">
            <w:pPr>
              <w:spacing w:after="0" w:line="240" w:lineRule="auto"/>
              <w:ind w:firstLine="0"/>
              <w:jc w:val="both"/>
              <w:rPr>
                <w:rFonts w:ascii="Cambria" w:eastAsia="Times New Roman" w:hAnsi="Cambria" w:cs="Times New Roman"/>
                <w:sz w:val="18"/>
                <w:szCs w:val="18"/>
                <w:lang w:val="en-GB" w:eastAsia="ro-RO"/>
              </w:rPr>
            </w:pPr>
            <w:r w:rsidRPr="00322BD0">
              <w:rPr>
                <w:rFonts w:ascii="Cambria" w:eastAsia="Times New Roman" w:hAnsi="Cambria" w:cs="Times New Roman"/>
                <w:sz w:val="18"/>
                <w:szCs w:val="18"/>
                <w:lang w:val="en-GB" w:eastAsia="ro-RO"/>
              </w:rPr>
              <w:t>Investments, of which:</w:t>
            </w:r>
          </w:p>
        </w:tc>
        <w:tc>
          <w:tcPr>
            <w:tcW w:w="1803" w:type="dxa"/>
          </w:tcPr>
          <w:p w:rsidR="00E16662" w:rsidRPr="00E55751" w:rsidRDefault="00E16662" w:rsidP="008C7102">
            <w:pPr>
              <w:spacing w:after="0" w:line="240" w:lineRule="auto"/>
              <w:ind w:firstLine="0"/>
              <w:jc w:val="right"/>
              <w:rPr>
                <w:rFonts w:asciiTheme="majorHAnsi" w:eastAsia="Times New Roman" w:hAnsiTheme="majorHAnsi" w:cs="Times New Roman"/>
                <w:sz w:val="18"/>
                <w:szCs w:val="18"/>
                <w:lang w:eastAsia="ro-RO"/>
              </w:rPr>
            </w:pPr>
            <w:r w:rsidRPr="00E55751">
              <w:rPr>
                <w:rFonts w:asciiTheme="majorHAnsi" w:eastAsia="Times New Roman" w:hAnsiTheme="majorHAnsi" w:cs="Times New Roman"/>
                <w:sz w:val="18"/>
                <w:szCs w:val="18"/>
                <w:lang w:eastAsia="ro-RO"/>
              </w:rPr>
              <w:t>751.940</w:t>
            </w:r>
          </w:p>
        </w:tc>
        <w:tc>
          <w:tcPr>
            <w:tcW w:w="1912" w:type="dxa"/>
          </w:tcPr>
          <w:p w:rsidR="00E16662" w:rsidRPr="00E55751" w:rsidRDefault="00E16662" w:rsidP="008C7102">
            <w:pPr>
              <w:spacing w:after="0" w:line="240" w:lineRule="auto"/>
              <w:ind w:firstLine="0"/>
              <w:jc w:val="right"/>
              <w:rPr>
                <w:rFonts w:asciiTheme="majorHAnsi" w:eastAsia="Times New Roman" w:hAnsiTheme="majorHAnsi" w:cs="Times New Roman"/>
                <w:sz w:val="18"/>
                <w:szCs w:val="18"/>
                <w:lang w:eastAsia="ro-RO"/>
              </w:rPr>
            </w:pPr>
            <w:r w:rsidRPr="00E55751">
              <w:rPr>
                <w:rFonts w:asciiTheme="majorHAnsi" w:eastAsia="Times New Roman" w:hAnsiTheme="majorHAnsi" w:cs="Times New Roman"/>
                <w:sz w:val="18"/>
                <w:szCs w:val="18"/>
                <w:lang w:eastAsia="ro-RO"/>
              </w:rPr>
              <w:t>140.179</w:t>
            </w:r>
          </w:p>
        </w:tc>
      </w:tr>
      <w:tr w:rsidR="004727D1" w:rsidRPr="00322BD0" w:rsidTr="00A064EB">
        <w:trPr>
          <w:trHeight w:val="200"/>
          <w:tblCellSpacing w:w="20" w:type="dxa"/>
        </w:trPr>
        <w:tc>
          <w:tcPr>
            <w:tcW w:w="5171" w:type="dxa"/>
          </w:tcPr>
          <w:p w:rsidR="004727D1" w:rsidRPr="00322BD0" w:rsidRDefault="004727D1" w:rsidP="008E6027">
            <w:pPr>
              <w:spacing w:after="0" w:line="240" w:lineRule="auto"/>
              <w:ind w:firstLine="0"/>
              <w:jc w:val="both"/>
              <w:rPr>
                <w:rFonts w:ascii="Cambria" w:eastAsia="Times New Roman" w:hAnsi="Cambria" w:cs="Times New Roman"/>
                <w:sz w:val="18"/>
                <w:szCs w:val="18"/>
                <w:lang w:val="en-GB" w:eastAsia="ro-RO"/>
              </w:rPr>
            </w:pPr>
            <w:r w:rsidRPr="00322BD0">
              <w:rPr>
                <w:rFonts w:ascii="Cambria" w:eastAsia="Times New Roman" w:hAnsi="Cambria" w:cs="Times New Roman"/>
                <w:sz w:val="18"/>
                <w:szCs w:val="18"/>
                <w:lang w:val="en-GB" w:eastAsia="ro-RO"/>
              </w:rPr>
              <w:t>-</w:t>
            </w:r>
            <w:r w:rsidRPr="00322BD0">
              <w:rPr>
                <w:rFonts w:ascii="Cambria" w:eastAsia="Times New Roman" w:hAnsi="Cambria" w:cs="Times New Roman"/>
                <w:i/>
                <w:sz w:val="18"/>
                <w:szCs w:val="18"/>
                <w:lang w:val="en-GB" w:eastAsia="ro-RO"/>
              </w:rPr>
              <w:t xml:space="preserve">NTS access works </w:t>
            </w:r>
          </w:p>
        </w:tc>
        <w:tc>
          <w:tcPr>
            <w:tcW w:w="1803" w:type="dxa"/>
          </w:tcPr>
          <w:p w:rsidR="004727D1" w:rsidRPr="00D975C3" w:rsidRDefault="004727D1" w:rsidP="00A64BC6">
            <w:pPr>
              <w:spacing w:after="0" w:line="240" w:lineRule="auto"/>
              <w:ind w:firstLine="0"/>
              <w:jc w:val="right"/>
              <w:rPr>
                <w:rFonts w:asciiTheme="majorHAnsi" w:eastAsia="Times New Roman" w:hAnsiTheme="majorHAnsi" w:cs="Times New Roman"/>
                <w:i/>
                <w:sz w:val="20"/>
                <w:szCs w:val="20"/>
                <w:lang w:eastAsia="ro-RO"/>
              </w:rPr>
            </w:pPr>
            <w:r w:rsidRPr="00D975C3">
              <w:rPr>
                <w:rFonts w:asciiTheme="majorHAnsi" w:eastAsia="Times New Roman" w:hAnsiTheme="majorHAnsi" w:cs="Times New Roman"/>
                <w:i/>
                <w:sz w:val="20"/>
                <w:szCs w:val="20"/>
                <w:lang w:eastAsia="ro-RO"/>
              </w:rPr>
              <w:t>6.000</w:t>
            </w:r>
          </w:p>
        </w:tc>
        <w:tc>
          <w:tcPr>
            <w:tcW w:w="1912" w:type="dxa"/>
          </w:tcPr>
          <w:p w:rsidR="004727D1" w:rsidRPr="00D975C3" w:rsidRDefault="004727D1" w:rsidP="00A64BC6">
            <w:pPr>
              <w:spacing w:after="0" w:line="240" w:lineRule="auto"/>
              <w:ind w:firstLine="0"/>
              <w:jc w:val="right"/>
              <w:rPr>
                <w:rFonts w:asciiTheme="majorHAnsi" w:eastAsia="Times New Roman" w:hAnsiTheme="majorHAnsi" w:cs="Times New Roman"/>
                <w:i/>
                <w:sz w:val="20"/>
                <w:szCs w:val="20"/>
                <w:lang w:eastAsia="ro-RO"/>
              </w:rPr>
            </w:pPr>
            <w:r w:rsidRPr="00D975C3">
              <w:rPr>
                <w:rFonts w:asciiTheme="majorHAnsi" w:eastAsia="Times New Roman" w:hAnsiTheme="majorHAnsi" w:cs="Times New Roman"/>
                <w:i/>
                <w:sz w:val="20"/>
                <w:szCs w:val="20"/>
                <w:lang w:eastAsia="ro-RO"/>
              </w:rPr>
              <w:t>7.273</w:t>
            </w:r>
          </w:p>
        </w:tc>
      </w:tr>
      <w:tr w:rsidR="00E16662" w:rsidRPr="00322BD0" w:rsidTr="00A064EB">
        <w:trPr>
          <w:trHeight w:val="227"/>
          <w:tblCellSpacing w:w="20" w:type="dxa"/>
        </w:trPr>
        <w:tc>
          <w:tcPr>
            <w:tcW w:w="5171" w:type="dxa"/>
            <w:shd w:val="clear" w:color="auto" w:fill="DBE5F1" w:themeFill="accent1" w:themeFillTint="33"/>
          </w:tcPr>
          <w:p w:rsidR="00E16662" w:rsidRPr="00322BD0" w:rsidRDefault="00E16662" w:rsidP="008E6027">
            <w:pPr>
              <w:spacing w:after="0" w:line="240" w:lineRule="auto"/>
              <w:ind w:firstLine="0"/>
              <w:jc w:val="both"/>
              <w:outlineLvl w:val="3"/>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TOTAL INVESTMENT COSTS</w:t>
            </w:r>
          </w:p>
        </w:tc>
        <w:tc>
          <w:tcPr>
            <w:tcW w:w="1803" w:type="dxa"/>
            <w:shd w:val="clear" w:color="auto" w:fill="DBE5F1" w:themeFill="accent1" w:themeFillTint="33"/>
          </w:tcPr>
          <w:p w:rsidR="00E16662" w:rsidRPr="00E55751" w:rsidRDefault="00E16662" w:rsidP="008C7102">
            <w:pPr>
              <w:spacing w:after="0" w:line="240" w:lineRule="auto"/>
              <w:ind w:firstLine="0"/>
              <w:jc w:val="right"/>
              <w:rPr>
                <w:rFonts w:asciiTheme="majorHAnsi" w:eastAsia="Times New Roman" w:hAnsiTheme="majorHAnsi" w:cs="Times New Roman"/>
                <w:b/>
                <w:sz w:val="18"/>
                <w:szCs w:val="18"/>
                <w:lang w:eastAsia="ro-RO"/>
              </w:rPr>
            </w:pPr>
            <w:r w:rsidRPr="00E55751">
              <w:rPr>
                <w:rFonts w:asciiTheme="majorHAnsi" w:eastAsia="Times New Roman" w:hAnsiTheme="majorHAnsi" w:cs="Times New Roman"/>
                <w:b/>
                <w:sz w:val="18"/>
                <w:szCs w:val="18"/>
                <w:lang w:eastAsia="ro-RO"/>
              </w:rPr>
              <w:t>751.940</w:t>
            </w:r>
          </w:p>
        </w:tc>
        <w:tc>
          <w:tcPr>
            <w:tcW w:w="1912" w:type="dxa"/>
            <w:shd w:val="clear" w:color="auto" w:fill="DBE5F1" w:themeFill="accent1" w:themeFillTint="33"/>
          </w:tcPr>
          <w:p w:rsidR="00E16662" w:rsidRPr="00E55751" w:rsidRDefault="00E16662" w:rsidP="008C7102">
            <w:pPr>
              <w:spacing w:after="0" w:line="240" w:lineRule="auto"/>
              <w:ind w:firstLine="0"/>
              <w:jc w:val="right"/>
              <w:rPr>
                <w:rFonts w:asciiTheme="majorHAnsi" w:eastAsia="Times New Roman" w:hAnsiTheme="majorHAnsi" w:cs="Times New Roman"/>
                <w:b/>
                <w:sz w:val="18"/>
                <w:szCs w:val="18"/>
                <w:lang w:eastAsia="ro-RO"/>
              </w:rPr>
            </w:pPr>
            <w:r w:rsidRPr="00E55751">
              <w:rPr>
                <w:rFonts w:asciiTheme="majorHAnsi" w:eastAsia="Times New Roman" w:hAnsiTheme="majorHAnsi" w:cs="Times New Roman"/>
                <w:b/>
                <w:sz w:val="18"/>
                <w:szCs w:val="18"/>
                <w:lang w:eastAsia="ro-RO"/>
              </w:rPr>
              <w:t>140.179</w:t>
            </w:r>
          </w:p>
        </w:tc>
      </w:tr>
    </w:tbl>
    <w:p w:rsidR="00A27C27" w:rsidRPr="00322BD0" w:rsidRDefault="00A27C27" w:rsidP="00A27C27">
      <w:pPr>
        <w:spacing w:after="0" w:line="240" w:lineRule="auto"/>
        <w:ind w:firstLine="0"/>
        <w:jc w:val="center"/>
        <w:rPr>
          <w:rFonts w:ascii="Cambria" w:eastAsia="Times New Roman" w:hAnsi="Cambria" w:cs="Times New Roman"/>
          <w:b/>
          <w:i/>
          <w:sz w:val="16"/>
          <w:szCs w:val="16"/>
          <w:lang w:val="en-GB" w:eastAsia="ro-RO"/>
        </w:rPr>
      </w:pPr>
    </w:p>
    <w:p w:rsidR="00A27C27" w:rsidRPr="00322BD0" w:rsidRDefault="00837371" w:rsidP="00A27C27">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15</w:t>
      </w:r>
      <w:r w:rsidR="00A27C27" w:rsidRPr="00322BD0">
        <w:rPr>
          <w:rFonts w:ascii="Cambria" w:eastAsia="Times New Roman" w:hAnsi="Cambria" w:cs="Times New Roman"/>
          <w:b/>
          <w:i/>
          <w:sz w:val="16"/>
          <w:szCs w:val="16"/>
          <w:lang w:val="en-GB" w:eastAsia="ro-RO"/>
        </w:rPr>
        <w:t>-</w:t>
      </w:r>
      <w:r w:rsidR="005B6DEE" w:rsidRPr="00322BD0">
        <w:rPr>
          <w:rFonts w:ascii="Cambria" w:eastAsia="Times New Roman" w:hAnsi="Cambria" w:cs="Times New Roman"/>
          <w:b/>
          <w:i/>
          <w:sz w:val="16"/>
          <w:szCs w:val="16"/>
          <w:lang w:val="en-GB" w:eastAsia="ro-RO"/>
        </w:rPr>
        <w:t>Total investment costs</w:t>
      </w:r>
      <w:r w:rsidR="00A27C27" w:rsidRPr="00322BD0">
        <w:rPr>
          <w:rFonts w:ascii="Cambria" w:eastAsia="Times New Roman" w:hAnsi="Cambria" w:cs="Times New Roman"/>
          <w:b/>
          <w:i/>
          <w:sz w:val="16"/>
          <w:szCs w:val="16"/>
          <w:lang w:val="en-GB" w:eastAsia="ro-RO"/>
        </w:rPr>
        <w:t xml:space="preserve"> (</w:t>
      </w:r>
      <w:r w:rsidR="005B6DEE" w:rsidRPr="00322BD0">
        <w:rPr>
          <w:rFonts w:ascii="Cambria" w:eastAsia="Times New Roman" w:hAnsi="Cambria" w:cs="Times New Roman"/>
          <w:b/>
          <w:i/>
          <w:sz w:val="16"/>
          <w:szCs w:val="16"/>
          <w:lang w:val="en-GB" w:eastAsia="ro-RO"/>
        </w:rPr>
        <w:t>RON thousand</w:t>
      </w:r>
      <w:r>
        <w:rPr>
          <w:rFonts w:ascii="Cambria" w:eastAsia="Times New Roman" w:hAnsi="Cambria" w:cs="Times New Roman"/>
          <w:b/>
          <w:i/>
          <w:sz w:val="16"/>
          <w:szCs w:val="16"/>
          <w:lang w:val="en-GB" w:eastAsia="ro-RO"/>
        </w:rPr>
        <w:t>)- 2016</w:t>
      </w:r>
    </w:p>
    <w:p w:rsidR="00A27C27" w:rsidRPr="00322BD0" w:rsidRDefault="00A27C27" w:rsidP="00A27C27">
      <w:pPr>
        <w:spacing w:after="0" w:line="240" w:lineRule="auto"/>
        <w:ind w:firstLine="0"/>
        <w:jc w:val="both"/>
        <w:rPr>
          <w:rFonts w:ascii="Cambria" w:eastAsia="Times New Roman" w:hAnsi="Cambria" w:cs="Times New Roman"/>
          <w:color w:val="FF0000"/>
          <w:sz w:val="24"/>
          <w:szCs w:val="24"/>
          <w:lang w:val="en-GB" w:eastAsia="ro-RO"/>
        </w:rPr>
      </w:pPr>
    </w:p>
    <w:p w:rsidR="00A27C27" w:rsidRPr="00322BD0" w:rsidRDefault="002D3ADB" w:rsidP="00A27C27">
      <w:pPr>
        <w:spacing w:after="0" w:line="240" w:lineRule="auto"/>
        <w:ind w:firstLine="0"/>
        <w:jc w:val="both"/>
        <w:rPr>
          <w:rFonts w:ascii="Cambria" w:eastAsia="Times New Roman" w:hAnsi="Cambria" w:cs="Times New Roman"/>
          <w:color w:val="FF0000"/>
          <w:sz w:val="24"/>
          <w:szCs w:val="24"/>
          <w:lang w:val="en-GB" w:eastAsia="ro-RO"/>
        </w:rPr>
      </w:pPr>
      <w:r w:rsidRPr="00322BD0">
        <w:rPr>
          <w:rFonts w:ascii="Cambria" w:eastAsia="Times New Roman" w:hAnsi="Cambria" w:cs="Times New Roman"/>
          <w:sz w:val="24"/>
          <w:szCs w:val="24"/>
          <w:lang w:val="en-GB" w:eastAsia="ro-RO"/>
        </w:rPr>
        <w:t xml:space="preserve">The investments </w:t>
      </w:r>
      <w:r w:rsidR="009E518F" w:rsidRPr="00322BD0">
        <w:rPr>
          <w:rFonts w:ascii="Cambria" w:eastAsia="Times New Roman" w:hAnsi="Cambria" w:cs="Times New Roman"/>
          <w:sz w:val="24"/>
          <w:szCs w:val="24"/>
          <w:lang w:val="en-GB" w:eastAsia="ro-RO"/>
        </w:rPr>
        <w:t>achieved</w:t>
      </w:r>
      <w:r w:rsidRPr="00322BD0">
        <w:rPr>
          <w:rFonts w:ascii="Cambria" w:eastAsia="Times New Roman" w:hAnsi="Cambria" w:cs="Times New Roman"/>
          <w:sz w:val="24"/>
          <w:szCs w:val="24"/>
          <w:lang w:val="en-GB" w:eastAsia="ro-RO"/>
        </w:rPr>
        <w:t xml:space="preserve"> were financed from the following sources</w:t>
      </w:r>
      <w:r w:rsidR="00A27C27" w:rsidRPr="00322BD0">
        <w:rPr>
          <w:rFonts w:ascii="Cambria" w:eastAsia="Times New Roman" w:hAnsi="Cambria" w:cs="Times New Roman"/>
          <w:sz w:val="24"/>
          <w:szCs w:val="24"/>
          <w:lang w:val="en-GB" w:eastAsia="ro-RO"/>
        </w:rPr>
        <w:t xml:space="preserve"> (</w:t>
      </w:r>
      <w:r w:rsidRPr="00322BD0">
        <w:rPr>
          <w:rFonts w:ascii="Cambria" w:hAnsi="Cambria"/>
          <w:bCs/>
          <w:sz w:val="24"/>
          <w:szCs w:val="24"/>
          <w:lang w:val="en-GB" w:eastAsia="it-IT"/>
        </w:rPr>
        <w:t>RON thousand</w:t>
      </w:r>
      <w:r w:rsidR="00A27C27" w:rsidRPr="00322BD0">
        <w:rPr>
          <w:rFonts w:ascii="Cambria" w:eastAsia="Times New Roman" w:hAnsi="Cambria" w:cs="Times New Roman"/>
          <w:sz w:val="24"/>
          <w:szCs w:val="24"/>
          <w:lang w:val="en-GB" w:eastAsia="ro-RO"/>
        </w:rPr>
        <w:t>):</w:t>
      </w:r>
    </w:p>
    <w:p w:rsidR="00A27C27" w:rsidRPr="00322BD0" w:rsidRDefault="00A27C27" w:rsidP="00A27C27">
      <w:pPr>
        <w:spacing w:after="0" w:line="240" w:lineRule="auto"/>
        <w:ind w:firstLine="0"/>
        <w:jc w:val="both"/>
        <w:rPr>
          <w:rFonts w:ascii="Cambria" w:eastAsia="Times New Roman" w:hAnsi="Cambria" w:cs="Times New Roman"/>
          <w:color w:val="FF0000"/>
          <w:sz w:val="24"/>
          <w:szCs w:val="24"/>
          <w:lang w:val="en-GB" w:eastAsia="ro-RO"/>
        </w:rPr>
      </w:pPr>
    </w:p>
    <w:tbl>
      <w:tblPr>
        <w:tblW w:w="9046" w:type="dxa"/>
        <w:tblCellSpacing w:w="20" w:type="dxa"/>
        <w:tblInd w:w="15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000" w:firstRow="0" w:lastRow="0" w:firstColumn="0" w:lastColumn="0" w:noHBand="0" w:noVBand="0"/>
      </w:tblPr>
      <w:tblGrid>
        <w:gridCol w:w="5231"/>
        <w:gridCol w:w="1843"/>
        <w:gridCol w:w="1972"/>
      </w:tblGrid>
      <w:tr w:rsidR="00A27C27" w:rsidRPr="00322BD0" w:rsidTr="00A064EB">
        <w:trPr>
          <w:trHeight w:val="466"/>
          <w:tblCellSpacing w:w="20" w:type="dxa"/>
        </w:trPr>
        <w:tc>
          <w:tcPr>
            <w:tcW w:w="5171" w:type="dxa"/>
            <w:shd w:val="clear" w:color="auto" w:fill="D6E0F4"/>
            <w:vAlign w:val="center"/>
          </w:tcPr>
          <w:p w:rsidR="00A27C27" w:rsidRPr="00322BD0" w:rsidRDefault="00A27C27" w:rsidP="00A27C27">
            <w:pPr>
              <w:spacing w:after="0" w:line="240" w:lineRule="auto"/>
              <w:ind w:firstLine="0"/>
              <w:jc w:val="center"/>
              <w:rPr>
                <w:rFonts w:ascii="Cambria" w:eastAsia="Times New Roman" w:hAnsi="Cambria" w:cs="Times New Roman"/>
                <w:sz w:val="18"/>
                <w:szCs w:val="18"/>
                <w:lang w:val="en-GB" w:eastAsia="ro-RO"/>
              </w:rPr>
            </w:pPr>
          </w:p>
        </w:tc>
        <w:tc>
          <w:tcPr>
            <w:tcW w:w="1803" w:type="dxa"/>
            <w:shd w:val="clear" w:color="auto" w:fill="D6E0F4"/>
          </w:tcPr>
          <w:p w:rsidR="00A27C27" w:rsidRPr="00322BD0" w:rsidRDefault="00A27C27" w:rsidP="00A27C27">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Programme</w:t>
            </w:r>
          </w:p>
          <w:p w:rsidR="00A27C27" w:rsidRPr="00322BD0" w:rsidRDefault="00D27AFE" w:rsidP="00A27C27">
            <w:pPr>
              <w:spacing w:after="0" w:line="240" w:lineRule="auto"/>
              <w:ind w:firstLine="0"/>
              <w:jc w:val="center"/>
              <w:rPr>
                <w:rFonts w:ascii="Cambria" w:eastAsia="Times New Roman" w:hAnsi="Cambria" w:cs="Times New Roman"/>
                <w:b/>
                <w:sz w:val="18"/>
                <w:szCs w:val="18"/>
                <w:lang w:val="en-GB" w:eastAsia="ro-RO"/>
              </w:rPr>
            </w:pPr>
            <w:r>
              <w:rPr>
                <w:rFonts w:ascii="Cambria" w:eastAsia="Times New Roman" w:hAnsi="Cambria" w:cs="Times New Roman"/>
                <w:b/>
                <w:sz w:val="18"/>
                <w:szCs w:val="18"/>
                <w:lang w:val="en-GB" w:eastAsia="ro-RO"/>
              </w:rPr>
              <w:t>2016</w:t>
            </w:r>
          </w:p>
        </w:tc>
        <w:tc>
          <w:tcPr>
            <w:tcW w:w="1912" w:type="dxa"/>
            <w:shd w:val="clear" w:color="auto" w:fill="D6E0F4"/>
          </w:tcPr>
          <w:p w:rsidR="00A27C27" w:rsidRPr="00322BD0" w:rsidRDefault="00A27C27" w:rsidP="00A27C27">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Achieved</w:t>
            </w:r>
          </w:p>
          <w:p w:rsidR="00A27C27" w:rsidRPr="00322BD0" w:rsidRDefault="00A27C27" w:rsidP="00A27C27">
            <w:pPr>
              <w:spacing w:after="0" w:line="240" w:lineRule="auto"/>
              <w:ind w:firstLine="0"/>
              <w:jc w:val="center"/>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2015</w:t>
            </w:r>
          </w:p>
        </w:tc>
      </w:tr>
      <w:tr w:rsidR="00E16662" w:rsidRPr="00322BD0" w:rsidTr="00A064EB">
        <w:trPr>
          <w:tblCellSpacing w:w="20" w:type="dxa"/>
        </w:trPr>
        <w:tc>
          <w:tcPr>
            <w:tcW w:w="5171" w:type="dxa"/>
            <w:vAlign w:val="center"/>
          </w:tcPr>
          <w:p w:rsidR="00E16662" w:rsidRPr="00322BD0" w:rsidRDefault="00E16662" w:rsidP="00A064EB">
            <w:pPr>
              <w:spacing w:after="0" w:line="240" w:lineRule="auto"/>
              <w:ind w:firstLine="0"/>
              <w:contextualSpacing/>
              <w:rPr>
                <w:rFonts w:ascii="Cambria" w:eastAsia="Times New Roman" w:hAnsi="Cambria" w:cs="Times New Roman"/>
                <w:sz w:val="18"/>
                <w:szCs w:val="18"/>
                <w:lang w:val="en-GB" w:eastAsia="ro-RO"/>
              </w:rPr>
            </w:pPr>
            <w:r w:rsidRPr="00322BD0">
              <w:rPr>
                <w:rFonts w:ascii="Cambria" w:hAnsi="Cambria" w:cs="Cambria"/>
                <w:color w:val="000000"/>
                <w:sz w:val="18"/>
                <w:szCs w:val="18"/>
                <w:lang w:val="en-GB"/>
              </w:rPr>
              <w:t>Net profit allocated for own financing</w:t>
            </w:r>
          </w:p>
        </w:tc>
        <w:tc>
          <w:tcPr>
            <w:tcW w:w="1803"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192.689</w:t>
            </w:r>
          </w:p>
        </w:tc>
        <w:tc>
          <w:tcPr>
            <w:tcW w:w="1912"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274.027</w:t>
            </w:r>
          </w:p>
        </w:tc>
      </w:tr>
      <w:tr w:rsidR="00E16662" w:rsidRPr="00322BD0" w:rsidTr="00A064EB">
        <w:trPr>
          <w:trHeight w:val="125"/>
          <w:tblCellSpacing w:w="20" w:type="dxa"/>
        </w:trPr>
        <w:tc>
          <w:tcPr>
            <w:tcW w:w="5171" w:type="dxa"/>
            <w:vAlign w:val="center"/>
          </w:tcPr>
          <w:p w:rsidR="00E16662" w:rsidRPr="00322BD0" w:rsidRDefault="00E16662" w:rsidP="00A064EB">
            <w:pPr>
              <w:spacing w:after="0" w:line="240" w:lineRule="auto"/>
              <w:ind w:firstLine="0"/>
              <w:rPr>
                <w:rFonts w:ascii="Cambria" w:eastAsia="Times New Roman" w:hAnsi="Cambria" w:cs="Times New Roman"/>
                <w:sz w:val="18"/>
                <w:szCs w:val="18"/>
                <w:lang w:val="en-GB" w:eastAsia="ro-RO"/>
              </w:rPr>
            </w:pPr>
            <w:r w:rsidRPr="00322BD0">
              <w:rPr>
                <w:rFonts w:ascii="Cambria" w:hAnsi="Cambria" w:cs="Cambria"/>
                <w:color w:val="000000"/>
                <w:sz w:val="18"/>
                <w:szCs w:val="18"/>
                <w:lang w:val="en-GB"/>
              </w:rPr>
              <w:t>Amortization and depreciation</w:t>
            </w:r>
          </w:p>
        </w:tc>
        <w:tc>
          <w:tcPr>
            <w:tcW w:w="1803"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164.920</w:t>
            </w:r>
          </w:p>
        </w:tc>
        <w:tc>
          <w:tcPr>
            <w:tcW w:w="1912"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160.745</w:t>
            </w:r>
          </w:p>
        </w:tc>
      </w:tr>
      <w:tr w:rsidR="00E16662" w:rsidRPr="00322BD0" w:rsidTr="00A064EB">
        <w:trPr>
          <w:tblCellSpacing w:w="20" w:type="dxa"/>
        </w:trPr>
        <w:tc>
          <w:tcPr>
            <w:tcW w:w="5171" w:type="dxa"/>
            <w:vAlign w:val="center"/>
          </w:tcPr>
          <w:p w:rsidR="00E16662" w:rsidRPr="00322BD0" w:rsidRDefault="00E16662" w:rsidP="00437E42">
            <w:pPr>
              <w:spacing w:after="0" w:line="240" w:lineRule="auto"/>
              <w:ind w:firstLine="0"/>
              <w:rPr>
                <w:rFonts w:ascii="Cambria" w:eastAsia="Times New Roman" w:hAnsi="Cambria" w:cs="Times New Roman"/>
                <w:sz w:val="18"/>
                <w:szCs w:val="18"/>
                <w:lang w:val="en-GB" w:eastAsia="ro-RO"/>
              </w:rPr>
            </w:pPr>
            <w:r w:rsidRPr="00322BD0">
              <w:rPr>
                <w:rFonts w:ascii="Cambria" w:eastAsia="Times New Roman" w:hAnsi="Cambria" w:cs="Times New Roman"/>
                <w:sz w:val="18"/>
                <w:szCs w:val="18"/>
                <w:lang w:val="en-GB" w:eastAsia="ro-RO"/>
              </w:rPr>
              <w:t>Non-cash charges</w:t>
            </w:r>
          </w:p>
        </w:tc>
        <w:tc>
          <w:tcPr>
            <w:tcW w:w="1803"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p>
        </w:tc>
        <w:tc>
          <w:tcPr>
            <w:tcW w:w="1912"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102.825</w:t>
            </w:r>
          </w:p>
        </w:tc>
      </w:tr>
      <w:tr w:rsidR="00E16662" w:rsidRPr="00322BD0" w:rsidTr="00A064EB">
        <w:trPr>
          <w:tblCellSpacing w:w="20" w:type="dxa"/>
        </w:trPr>
        <w:tc>
          <w:tcPr>
            <w:tcW w:w="5171" w:type="dxa"/>
            <w:vAlign w:val="center"/>
          </w:tcPr>
          <w:p w:rsidR="00E16662" w:rsidRPr="00322BD0" w:rsidRDefault="00E16662" w:rsidP="00437E42">
            <w:pPr>
              <w:spacing w:after="0" w:line="240" w:lineRule="auto"/>
              <w:ind w:firstLine="0"/>
              <w:rPr>
                <w:rFonts w:ascii="Cambria" w:eastAsia="Times New Roman" w:hAnsi="Cambria" w:cs="Times New Roman"/>
                <w:sz w:val="18"/>
                <w:szCs w:val="18"/>
                <w:lang w:val="en-GB" w:eastAsia="ro-RO"/>
              </w:rPr>
            </w:pPr>
            <w:r w:rsidRPr="00322BD0">
              <w:rPr>
                <w:rFonts w:ascii="Cambria" w:eastAsia="Times New Roman" w:hAnsi="Cambria" w:cs="Times New Roman"/>
                <w:sz w:val="18"/>
                <w:szCs w:val="18"/>
                <w:lang w:val="en-GB" w:eastAsia="ro-RO"/>
              </w:rPr>
              <w:t>EU funds</w:t>
            </w:r>
          </w:p>
        </w:tc>
        <w:tc>
          <w:tcPr>
            <w:tcW w:w="1803"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282.364</w:t>
            </w:r>
          </w:p>
        </w:tc>
        <w:tc>
          <w:tcPr>
            <w:tcW w:w="1912"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135.509</w:t>
            </w:r>
          </w:p>
        </w:tc>
      </w:tr>
      <w:tr w:rsidR="00E16662" w:rsidRPr="00322BD0" w:rsidTr="00A064EB">
        <w:trPr>
          <w:tblCellSpacing w:w="20" w:type="dxa"/>
        </w:trPr>
        <w:tc>
          <w:tcPr>
            <w:tcW w:w="5171" w:type="dxa"/>
            <w:vAlign w:val="center"/>
          </w:tcPr>
          <w:p w:rsidR="00E16662" w:rsidRPr="00322BD0" w:rsidRDefault="00E16662" w:rsidP="00437E42">
            <w:pPr>
              <w:spacing w:after="0" w:line="240" w:lineRule="auto"/>
              <w:ind w:firstLine="0"/>
              <w:rPr>
                <w:rFonts w:ascii="Cambria" w:eastAsia="Times New Roman" w:hAnsi="Cambria" w:cs="Times New Roman"/>
                <w:sz w:val="18"/>
                <w:szCs w:val="18"/>
                <w:lang w:val="en-GB" w:eastAsia="ro-RO"/>
              </w:rPr>
            </w:pPr>
            <w:r w:rsidRPr="00322BD0">
              <w:rPr>
                <w:rFonts w:ascii="Cambria" w:eastAsia="Times New Roman" w:hAnsi="Cambria" w:cs="Times New Roman"/>
                <w:sz w:val="18"/>
                <w:szCs w:val="18"/>
                <w:lang w:val="en-GB" w:eastAsia="ro-RO"/>
              </w:rPr>
              <w:t>Surplus previous year</w:t>
            </w:r>
          </w:p>
        </w:tc>
        <w:tc>
          <w:tcPr>
            <w:tcW w:w="1803"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613.724</w:t>
            </w:r>
          </w:p>
        </w:tc>
        <w:tc>
          <w:tcPr>
            <w:tcW w:w="1912" w:type="dxa"/>
            <w:vAlign w:val="center"/>
          </w:tcPr>
          <w:p w:rsidR="00E16662" w:rsidRPr="009952E5" w:rsidRDefault="00E16662" w:rsidP="008C7102">
            <w:pPr>
              <w:spacing w:after="0" w:line="240" w:lineRule="auto"/>
              <w:ind w:firstLine="0"/>
              <w:jc w:val="right"/>
              <w:rPr>
                <w:rFonts w:ascii="Cambria" w:eastAsia="Calibri" w:hAnsi="Cambria" w:cs="Times New Roman"/>
                <w:sz w:val="20"/>
                <w:szCs w:val="20"/>
                <w:lang w:eastAsia="en-US"/>
              </w:rPr>
            </w:pPr>
            <w:r w:rsidRPr="009952E5">
              <w:rPr>
                <w:rFonts w:ascii="Cambria" w:eastAsia="Calibri" w:hAnsi="Cambria" w:cs="Times New Roman"/>
                <w:sz w:val="20"/>
                <w:szCs w:val="20"/>
                <w:lang w:eastAsia="en-US"/>
              </w:rPr>
              <w:t>594.534</w:t>
            </w:r>
          </w:p>
        </w:tc>
      </w:tr>
      <w:tr w:rsidR="00E16662" w:rsidRPr="00322BD0" w:rsidTr="00A064EB">
        <w:trPr>
          <w:trHeight w:val="245"/>
          <w:tblCellSpacing w:w="20" w:type="dxa"/>
        </w:trPr>
        <w:tc>
          <w:tcPr>
            <w:tcW w:w="5171" w:type="dxa"/>
            <w:shd w:val="clear" w:color="auto" w:fill="D6E0F4"/>
            <w:vAlign w:val="center"/>
          </w:tcPr>
          <w:p w:rsidR="00E16662" w:rsidRPr="00322BD0" w:rsidRDefault="00E16662" w:rsidP="00437E42">
            <w:pPr>
              <w:spacing w:after="0" w:line="240" w:lineRule="auto"/>
              <w:ind w:firstLine="0"/>
              <w:outlineLvl w:val="3"/>
              <w:rPr>
                <w:rFonts w:ascii="Cambria" w:eastAsia="Times New Roman" w:hAnsi="Cambria" w:cs="Times New Roman"/>
                <w:b/>
                <w:sz w:val="18"/>
                <w:szCs w:val="18"/>
                <w:lang w:val="en-GB" w:eastAsia="ro-RO"/>
              </w:rPr>
            </w:pPr>
            <w:r w:rsidRPr="00322BD0">
              <w:rPr>
                <w:rFonts w:ascii="Cambria" w:eastAsia="Times New Roman" w:hAnsi="Cambria" w:cs="Times New Roman"/>
                <w:b/>
                <w:sz w:val="18"/>
                <w:szCs w:val="18"/>
                <w:lang w:val="en-GB" w:eastAsia="ro-RO"/>
              </w:rPr>
              <w:t xml:space="preserve"> TOTAL FINANCING SOURCES</w:t>
            </w:r>
          </w:p>
        </w:tc>
        <w:tc>
          <w:tcPr>
            <w:tcW w:w="1803" w:type="dxa"/>
            <w:shd w:val="clear" w:color="auto" w:fill="D6E0F4"/>
            <w:vAlign w:val="center"/>
          </w:tcPr>
          <w:p w:rsidR="00E16662" w:rsidRPr="009952E5" w:rsidRDefault="00E16662" w:rsidP="008C7102">
            <w:pPr>
              <w:spacing w:after="0" w:line="240" w:lineRule="auto"/>
              <w:ind w:firstLine="0"/>
              <w:jc w:val="right"/>
              <w:rPr>
                <w:rFonts w:ascii="Cambria" w:eastAsia="Calibri" w:hAnsi="Cambria" w:cs="Times New Roman"/>
                <w:b/>
                <w:sz w:val="20"/>
                <w:szCs w:val="20"/>
                <w:lang w:eastAsia="en-US"/>
              </w:rPr>
            </w:pPr>
            <w:r w:rsidRPr="009952E5">
              <w:rPr>
                <w:rFonts w:ascii="Cambria" w:eastAsia="Calibri" w:hAnsi="Cambria" w:cs="Times New Roman"/>
                <w:b/>
                <w:sz w:val="20"/>
                <w:szCs w:val="20"/>
                <w:lang w:eastAsia="en-US"/>
              </w:rPr>
              <w:t>1.253.697</w:t>
            </w:r>
          </w:p>
        </w:tc>
        <w:tc>
          <w:tcPr>
            <w:tcW w:w="1912" w:type="dxa"/>
            <w:shd w:val="clear" w:color="auto" w:fill="D6E0F4"/>
            <w:vAlign w:val="center"/>
          </w:tcPr>
          <w:p w:rsidR="00E16662" w:rsidRPr="009952E5" w:rsidRDefault="00E16662" w:rsidP="008C7102">
            <w:pPr>
              <w:spacing w:after="0" w:line="240" w:lineRule="auto"/>
              <w:ind w:firstLine="0"/>
              <w:jc w:val="right"/>
              <w:rPr>
                <w:rFonts w:ascii="Cambria" w:eastAsia="Calibri" w:hAnsi="Cambria" w:cs="Times New Roman"/>
                <w:b/>
                <w:sz w:val="20"/>
                <w:szCs w:val="20"/>
                <w:lang w:eastAsia="en-US"/>
              </w:rPr>
            </w:pPr>
            <w:r w:rsidRPr="009952E5">
              <w:rPr>
                <w:rFonts w:ascii="Cambria" w:eastAsia="Calibri" w:hAnsi="Cambria" w:cs="Times New Roman"/>
                <w:b/>
                <w:sz w:val="20"/>
                <w:szCs w:val="20"/>
                <w:lang w:eastAsia="en-US"/>
              </w:rPr>
              <w:t>1.267.641</w:t>
            </w:r>
          </w:p>
        </w:tc>
      </w:tr>
    </w:tbl>
    <w:p w:rsidR="00A27C27" w:rsidRPr="00322BD0" w:rsidRDefault="00A27C27" w:rsidP="00A27C27">
      <w:pPr>
        <w:spacing w:after="0" w:line="240" w:lineRule="auto"/>
        <w:ind w:firstLine="0"/>
        <w:jc w:val="center"/>
        <w:rPr>
          <w:rFonts w:ascii="Cambria" w:eastAsia="Times New Roman" w:hAnsi="Cambria" w:cs="Times New Roman"/>
          <w:b/>
          <w:i/>
          <w:sz w:val="16"/>
          <w:szCs w:val="16"/>
          <w:lang w:val="en-GB" w:eastAsia="ro-RO"/>
        </w:rPr>
      </w:pPr>
    </w:p>
    <w:p w:rsidR="00A27C27" w:rsidRPr="00322BD0" w:rsidRDefault="00A27C27" w:rsidP="00A27C27">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Tabl</w:t>
      </w:r>
      <w:r w:rsidR="00C313F5" w:rsidRPr="00322BD0">
        <w:rPr>
          <w:rFonts w:ascii="Cambria" w:eastAsia="Times New Roman" w:hAnsi="Cambria" w:cs="Times New Roman"/>
          <w:b/>
          <w:i/>
          <w:sz w:val="16"/>
          <w:szCs w:val="16"/>
          <w:lang w:val="en-GB" w:eastAsia="ro-RO"/>
        </w:rPr>
        <w:t>e</w:t>
      </w:r>
      <w:r w:rsidR="00D27AFE">
        <w:rPr>
          <w:rFonts w:ascii="Cambria" w:eastAsia="Times New Roman" w:hAnsi="Cambria" w:cs="Times New Roman"/>
          <w:b/>
          <w:i/>
          <w:sz w:val="16"/>
          <w:szCs w:val="16"/>
          <w:lang w:val="en-GB" w:eastAsia="ro-RO"/>
        </w:rPr>
        <w:t xml:space="preserve"> 16</w:t>
      </w:r>
      <w:r w:rsidRPr="00322BD0">
        <w:rPr>
          <w:rFonts w:ascii="Cambria" w:eastAsia="Times New Roman" w:hAnsi="Cambria" w:cs="Times New Roman"/>
          <w:b/>
          <w:i/>
          <w:sz w:val="16"/>
          <w:szCs w:val="16"/>
          <w:lang w:val="en-GB" w:eastAsia="ro-RO"/>
        </w:rPr>
        <w:t>-</w:t>
      </w:r>
      <w:r w:rsidR="00D27AFE">
        <w:rPr>
          <w:rFonts w:ascii="Cambria" w:eastAsia="Times New Roman" w:hAnsi="Cambria" w:cs="Times New Roman"/>
          <w:b/>
          <w:i/>
          <w:sz w:val="16"/>
          <w:szCs w:val="16"/>
          <w:lang w:val="en-GB" w:eastAsia="ro-RO"/>
        </w:rPr>
        <w:t xml:space="preserve"> 2016</w:t>
      </w:r>
      <w:r w:rsidR="00F53CB9" w:rsidRPr="00322BD0">
        <w:rPr>
          <w:rFonts w:ascii="Cambria" w:eastAsia="Times New Roman" w:hAnsi="Cambria" w:cs="Times New Roman"/>
          <w:b/>
          <w:i/>
          <w:sz w:val="16"/>
          <w:szCs w:val="16"/>
          <w:lang w:val="en-GB" w:eastAsia="ro-RO"/>
        </w:rPr>
        <w:t xml:space="preserve"> i</w:t>
      </w:r>
      <w:r w:rsidR="00655F8D" w:rsidRPr="00322BD0">
        <w:rPr>
          <w:rFonts w:ascii="Cambria" w:eastAsia="Times New Roman" w:hAnsi="Cambria" w:cs="Times New Roman"/>
          <w:b/>
          <w:i/>
          <w:sz w:val="16"/>
          <w:szCs w:val="16"/>
          <w:lang w:val="en-GB" w:eastAsia="ro-RO"/>
        </w:rPr>
        <w:t>nvestment financing sources</w:t>
      </w:r>
      <w:r w:rsidRPr="00322BD0">
        <w:rPr>
          <w:rFonts w:ascii="Cambria" w:eastAsia="Times New Roman" w:hAnsi="Cambria" w:cs="Times New Roman"/>
          <w:b/>
          <w:i/>
          <w:sz w:val="16"/>
          <w:szCs w:val="16"/>
          <w:lang w:val="en-GB" w:eastAsia="ro-RO"/>
        </w:rPr>
        <w:t xml:space="preserve"> (</w:t>
      </w:r>
      <w:r w:rsidR="00655F8D" w:rsidRPr="00322BD0">
        <w:rPr>
          <w:rFonts w:ascii="Cambria" w:eastAsia="Times New Roman" w:hAnsi="Cambria" w:cs="Times New Roman"/>
          <w:b/>
          <w:i/>
          <w:sz w:val="16"/>
          <w:szCs w:val="16"/>
          <w:lang w:val="en-GB" w:eastAsia="ro-RO"/>
        </w:rPr>
        <w:t>RON thousand</w:t>
      </w:r>
      <w:r w:rsidRPr="00322BD0">
        <w:rPr>
          <w:rFonts w:ascii="Cambria" w:eastAsia="Times New Roman" w:hAnsi="Cambria" w:cs="Times New Roman"/>
          <w:b/>
          <w:i/>
          <w:sz w:val="16"/>
          <w:szCs w:val="16"/>
          <w:lang w:val="en-GB" w:eastAsia="ro-RO"/>
        </w:rPr>
        <w:t xml:space="preserve">) </w:t>
      </w:r>
    </w:p>
    <w:p w:rsidR="00433090" w:rsidRPr="00322BD0" w:rsidRDefault="00764E53" w:rsidP="00F3287A">
      <w:pPr>
        <w:spacing w:after="0" w:line="25" w:lineRule="atLeast"/>
        <w:ind w:firstLine="0"/>
        <w:jc w:val="both"/>
        <w:rPr>
          <w:rFonts w:ascii="Cambria" w:eastAsia="Times New Roman" w:hAnsi="Cambria" w:cs="Times New Roman"/>
          <w:sz w:val="24"/>
          <w:szCs w:val="24"/>
          <w:lang w:val="en-GB" w:eastAsia="ro-RO"/>
        </w:rPr>
      </w:pPr>
      <w:r w:rsidRPr="00322BD0">
        <w:rPr>
          <w:rFonts w:ascii="Cambria" w:hAnsi="Cambria"/>
          <w:bCs/>
          <w:sz w:val="24"/>
          <w:szCs w:val="24"/>
          <w:lang w:val="en-GB" w:eastAsia="it-IT"/>
        </w:rPr>
        <w:t xml:space="preserve"> </w:t>
      </w:r>
    </w:p>
    <w:p w:rsidR="00CC7FF2" w:rsidRPr="00322BD0" w:rsidRDefault="00CC7FF2" w:rsidP="00A53D2A">
      <w:pPr>
        <w:spacing w:after="0" w:line="240" w:lineRule="auto"/>
        <w:ind w:firstLine="0"/>
        <w:jc w:val="both"/>
        <w:rPr>
          <w:rFonts w:ascii="Cambria" w:eastAsia="Times New Roman" w:hAnsi="Cambria" w:cs="Times New Roman"/>
          <w:b/>
          <w:sz w:val="24"/>
          <w:szCs w:val="24"/>
          <w:lang w:val="en-GB" w:eastAsia="ro-RO"/>
        </w:rPr>
      </w:pPr>
    </w:p>
    <w:p w:rsidR="0048610A" w:rsidRPr="00322BD0" w:rsidRDefault="0048610A" w:rsidP="0048610A">
      <w:pPr>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Cambria"/>
          <w:b/>
          <w:bCs/>
          <w:sz w:val="24"/>
          <w:szCs w:val="24"/>
          <w:lang w:val="en-GB"/>
        </w:rPr>
        <w:t>European funds</w:t>
      </w:r>
      <w:r w:rsidR="001C45E1">
        <w:rPr>
          <w:rFonts w:ascii="Cambria" w:eastAsia="Times New Roman" w:hAnsi="Cambria" w:cs="Cambria"/>
          <w:b/>
          <w:bCs/>
          <w:sz w:val="24"/>
          <w:szCs w:val="24"/>
          <w:lang w:val="en-GB"/>
        </w:rPr>
        <w:t xml:space="preserve"> absorption</w:t>
      </w:r>
      <w:r w:rsidR="00E368E3" w:rsidRPr="00322BD0">
        <w:rPr>
          <w:rFonts w:ascii="Cambria" w:eastAsia="Times New Roman" w:hAnsi="Cambria" w:cs="Cambria"/>
          <w:b/>
          <w:bCs/>
          <w:sz w:val="24"/>
          <w:szCs w:val="24"/>
          <w:lang w:val="en-GB"/>
        </w:rPr>
        <w:t xml:space="preserve"> activity</w:t>
      </w:r>
    </w:p>
    <w:p w:rsidR="0048610A" w:rsidRPr="00322BD0" w:rsidRDefault="0048610A" w:rsidP="0048610A">
      <w:pPr>
        <w:spacing w:after="0" w:line="240" w:lineRule="auto"/>
        <w:ind w:firstLine="0"/>
        <w:jc w:val="both"/>
        <w:rPr>
          <w:rFonts w:ascii="Cambria" w:eastAsia="Times New Roman" w:hAnsi="Cambria" w:cs="Times New Roman"/>
          <w:b/>
          <w:sz w:val="24"/>
          <w:szCs w:val="24"/>
          <w:lang w:val="en-GB" w:eastAsia="ro-RO"/>
        </w:rPr>
      </w:pPr>
    </w:p>
    <w:p w:rsidR="0048610A" w:rsidRPr="00322BD0" w:rsidRDefault="0048610A" w:rsidP="0048610A">
      <w:pPr>
        <w:spacing w:after="0" w:line="240" w:lineRule="auto"/>
        <w:ind w:firstLine="0"/>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 xml:space="preserve">The activity of </w:t>
      </w:r>
      <w:r w:rsidR="001C45E1">
        <w:rPr>
          <w:rFonts w:ascii="Cambria" w:eastAsia="Times New Roman" w:hAnsi="Cambria" w:cs="Times New Roman"/>
          <w:sz w:val="24"/>
          <w:szCs w:val="24"/>
          <w:lang w:val="en-GB"/>
        </w:rPr>
        <w:t>absorbing</w:t>
      </w:r>
      <w:r w:rsidRPr="00322BD0">
        <w:rPr>
          <w:rFonts w:ascii="Cambria" w:eastAsia="Times New Roman" w:hAnsi="Cambria" w:cs="Times New Roman"/>
          <w:sz w:val="24"/>
          <w:szCs w:val="24"/>
          <w:lang w:val="en-GB"/>
        </w:rPr>
        <w:t xml:space="preserve"> European funds </w:t>
      </w:r>
      <w:r w:rsidR="00E27C42" w:rsidRPr="00322BD0">
        <w:rPr>
          <w:rFonts w:ascii="Cambria" w:eastAsia="Times New Roman" w:hAnsi="Cambria" w:cs="Times New Roman"/>
          <w:sz w:val="24"/>
          <w:szCs w:val="24"/>
          <w:lang w:val="en-GB"/>
        </w:rPr>
        <w:t>in</w:t>
      </w:r>
      <w:r w:rsidR="00D27AFE">
        <w:rPr>
          <w:rFonts w:ascii="Cambria" w:eastAsia="Times New Roman" w:hAnsi="Cambria" w:cs="Times New Roman"/>
          <w:sz w:val="24"/>
          <w:szCs w:val="24"/>
          <w:lang w:val="en-GB"/>
        </w:rPr>
        <w:t xml:space="preserve"> 2016</w:t>
      </w:r>
      <w:r w:rsidRPr="00322BD0">
        <w:rPr>
          <w:rFonts w:ascii="Cambria" w:eastAsia="Times New Roman" w:hAnsi="Cambria" w:cs="Times New Roman"/>
          <w:sz w:val="24"/>
          <w:szCs w:val="24"/>
          <w:lang w:val="en-GB"/>
        </w:rPr>
        <w:t xml:space="preserve"> </w:t>
      </w:r>
      <w:r w:rsidR="00E27C42" w:rsidRPr="00322BD0">
        <w:rPr>
          <w:rFonts w:ascii="Cambria" w:eastAsia="Times New Roman" w:hAnsi="Cambria" w:cs="Times New Roman"/>
          <w:sz w:val="24"/>
          <w:szCs w:val="24"/>
          <w:lang w:val="en-GB"/>
        </w:rPr>
        <w:t>w</w:t>
      </w:r>
      <w:r w:rsidRPr="00322BD0">
        <w:rPr>
          <w:rFonts w:ascii="Cambria" w:eastAsia="Times New Roman" w:hAnsi="Cambria" w:cs="Times New Roman"/>
          <w:sz w:val="24"/>
          <w:szCs w:val="24"/>
          <w:lang w:val="en-GB"/>
        </w:rPr>
        <w:t>as developed mainly for:</w:t>
      </w:r>
    </w:p>
    <w:p w:rsidR="002B2875" w:rsidRPr="00322BD0" w:rsidRDefault="002B2875" w:rsidP="002B2875">
      <w:pPr>
        <w:spacing w:after="0" w:line="240" w:lineRule="auto"/>
        <w:jc w:val="both"/>
        <w:rPr>
          <w:rFonts w:ascii="Cambria" w:hAnsi="Cambria"/>
          <w:sz w:val="24"/>
          <w:szCs w:val="24"/>
          <w:lang w:val="en-GB"/>
        </w:rPr>
      </w:pPr>
    </w:p>
    <w:p w:rsidR="002B2875" w:rsidRPr="00322BD0" w:rsidRDefault="0048610A" w:rsidP="00FA6EB9">
      <w:pPr>
        <w:numPr>
          <w:ilvl w:val="0"/>
          <w:numId w:val="15"/>
        </w:numPr>
        <w:spacing w:after="0" w:line="240" w:lineRule="auto"/>
        <w:jc w:val="both"/>
        <w:rPr>
          <w:rFonts w:ascii="Cambria" w:hAnsi="Cambria"/>
          <w:sz w:val="24"/>
          <w:szCs w:val="24"/>
          <w:lang w:val="en-GB"/>
        </w:rPr>
      </w:pPr>
      <w:r w:rsidRPr="00322BD0">
        <w:rPr>
          <w:rFonts w:ascii="Cambria" w:eastAsia="Times New Roman" w:hAnsi="Cambria" w:cs="Times New Roman"/>
          <w:sz w:val="24"/>
          <w:szCs w:val="24"/>
          <w:lang w:val="en-GB"/>
        </w:rPr>
        <w:t xml:space="preserve">Identifying the financing possibilities from the future period, based on the programs promoted </w:t>
      </w:r>
      <w:r w:rsidR="00D27AFE">
        <w:rPr>
          <w:rFonts w:ascii="Cambria" w:eastAsia="Times New Roman" w:hAnsi="Cambria" w:cs="Times New Roman"/>
          <w:sz w:val="24"/>
          <w:szCs w:val="24"/>
          <w:lang w:val="en-GB"/>
        </w:rPr>
        <w:t xml:space="preserve">directly </w:t>
      </w:r>
      <w:r w:rsidRPr="00322BD0">
        <w:rPr>
          <w:rFonts w:ascii="Cambria" w:eastAsia="Times New Roman" w:hAnsi="Cambria" w:cs="Times New Roman"/>
          <w:sz w:val="24"/>
          <w:szCs w:val="24"/>
          <w:lang w:val="en-GB"/>
        </w:rPr>
        <w:t>by the European Committee</w:t>
      </w:r>
      <w:r w:rsidR="00D27AFE">
        <w:rPr>
          <w:rFonts w:ascii="Cambria" w:eastAsia="Times New Roman" w:hAnsi="Cambria" w:cs="Times New Roman"/>
          <w:sz w:val="24"/>
          <w:szCs w:val="24"/>
          <w:lang w:val="en-GB"/>
        </w:rPr>
        <w:t xml:space="preserve"> </w:t>
      </w:r>
      <w:r w:rsidR="004A4F1B">
        <w:rPr>
          <w:rFonts w:ascii="Cambria" w:eastAsia="Times New Roman" w:hAnsi="Cambria" w:cs="Times New Roman"/>
          <w:sz w:val="24"/>
          <w:szCs w:val="24"/>
          <w:lang w:val="en-GB"/>
        </w:rPr>
        <w:t xml:space="preserve">and by the funding programs managed by the Management Authorities in Romania; </w:t>
      </w:r>
    </w:p>
    <w:p w:rsidR="0048610A" w:rsidRPr="00322BD0" w:rsidRDefault="0048610A" w:rsidP="00FA6EB9">
      <w:pPr>
        <w:numPr>
          <w:ilvl w:val="0"/>
          <w:numId w:val="15"/>
        </w:numPr>
        <w:spacing w:after="0" w:line="240" w:lineRule="auto"/>
        <w:jc w:val="both"/>
        <w:rPr>
          <w:rFonts w:ascii="Cambria" w:hAnsi="Cambria"/>
          <w:sz w:val="24"/>
          <w:szCs w:val="24"/>
          <w:lang w:val="en-GB"/>
        </w:rPr>
      </w:pPr>
      <w:r w:rsidRPr="00322BD0">
        <w:rPr>
          <w:rFonts w:ascii="Cambria" w:eastAsia="Times New Roman" w:hAnsi="Cambria" w:cs="Times New Roman"/>
          <w:sz w:val="24"/>
          <w:szCs w:val="24"/>
          <w:lang w:val="en-GB"/>
        </w:rPr>
        <w:t>Supporting TRANSGAZ' projects with financing potential from Structural Funds;</w:t>
      </w:r>
    </w:p>
    <w:p w:rsidR="00D87822" w:rsidRPr="004A4F1B" w:rsidRDefault="00D87822" w:rsidP="00FA6EB9">
      <w:pPr>
        <w:numPr>
          <w:ilvl w:val="0"/>
          <w:numId w:val="15"/>
        </w:numPr>
        <w:spacing w:after="0" w:line="240" w:lineRule="auto"/>
        <w:jc w:val="both"/>
        <w:rPr>
          <w:rFonts w:ascii="Cambria" w:eastAsia="Times New Roman" w:hAnsi="Cambria" w:cs="Times New Roman"/>
          <w:sz w:val="24"/>
          <w:szCs w:val="24"/>
          <w:lang w:val="en-GB"/>
        </w:rPr>
      </w:pPr>
      <w:r w:rsidRPr="00322BD0">
        <w:rPr>
          <w:rFonts w:ascii="Cambria" w:eastAsia="Times New Roman" w:hAnsi="Cambria" w:cs="Times New Roman"/>
          <w:sz w:val="24"/>
          <w:szCs w:val="24"/>
          <w:lang w:val="en-GB"/>
        </w:rPr>
        <w:t>Inter-department collaboration in order to issue the necessary documentation for the financing requests and information transmission in order to know the granting mechanisms of the European finances</w:t>
      </w:r>
      <w:r w:rsidR="00004028" w:rsidRPr="00322BD0">
        <w:rPr>
          <w:rFonts w:ascii="Cambria" w:eastAsia="Times New Roman" w:hAnsi="Cambria" w:cs="Times New Roman"/>
          <w:sz w:val="24"/>
          <w:szCs w:val="24"/>
          <w:lang w:val="en-GB"/>
        </w:rPr>
        <w:t>;</w:t>
      </w:r>
    </w:p>
    <w:p w:rsidR="00D27AFE" w:rsidRPr="00945A8E" w:rsidRDefault="00D27AFE" w:rsidP="00FA6EB9">
      <w:pPr>
        <w:numPr>
          <w:ilvl w:val="0"/>
          <w:numId w:val="15"/>
        </w:numPr>
        <w:spacing w:after="0" w:line="240" w:lineRule="auto"/>
        <w:contextualSpacing/>
        <w:jc w:val="both"/>
        <w:rPr>
          <w:rFonts w:asciiTheme="majorHAnsi" w:eastAsia="Calibri" w:hAnsiTheme="majorHAnsi" w:cs="Times New Roman"/>
          <w:sz w:val="24"/>
          <w:szCs w:val="24"/>
          <w:lang w:val="ro-RO"/>
        </w:rPr>
      </w:pPr>
      <w:r w:rsidRPr="00322BD0">
        <w:rPr>
          <w:rFonts w:ascii="Cambria" w:eastAsia="Times New Roman" w:hAnsi="Cambria" w:cs="Times New Roman"/>
          <w:sz w:val="24"/>
          <w:szCs w:val="24"/>
          <w:lang w:val="en-GB"/>
        </w:rPr>
        <w:t>Preparation of the financing requests and of the related documentations;</w:t>
      </w:r>
      <w:r w:rsidR="00462399">
        <w:rPr>
          <w:rFonts w:asciiTheme="majorHAnsi" w:eastAsia="Calibri" w:hAnsiTheme="majorHAnsi" w:cs="Times New Roman"/>
          <w:sz w:val="24"/>
          <w:szCs w:val="24"/>
          <w:lang w:val="ro-RO"/>
        </w:rPr>
        <w:t>Preparation of the documents related to the intermediary/final payment requests</w:t>
      </w:r>
      <w:r w:rsidRPr="00945A8E">
        <w:rPr>
          <w:rFonts w:asciiTheme="majorHAnsi" w:eastAsia="Calibri" w:hAnsiTheme="majorHAnsi" w:cs="Times New Roman"/>
          <w:sz w:val="24"/>
          <w:szCs w:val="24"/>
          <w:lang w:val="ro-RO"/>
        </w:rPr>
        <w:t>;</w:t>
      </w:r>
    </w:p>
    <w:p w:rsidR="00D27AFE" w:rsidRPr="00945A8E" w:rsidRDefault="00462399" w:rsidP="00FA6EB9">
      <w:pPr>
        <w:numPr>
          <w:ilvl w:val="0"/>
          <w:numId w:val="15"/>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Surveillance/monitoring of the investments</w:t>
      </w:r>
      <w:r w:rsidR="00CD4720">
        <w:rPr>
          <w:rFonts w:asciiTheme="majorHAnsi" w:eastAsia="Calibri" w:hAnsiTheme="majorHAnsi" w:cs="Times New Roman"/>
          <w:sz w:val="24"/>
          <w:szCs w:val="24"/>
          <w:lang w:val="ro-RO"/>
        </w:rPr>
        <w:t xml:space="preserve"> </w:t>
      </w:r>
      <w:r>
        <w:rPr>
          <w:rFonts w:asciiTheme="majorHAnsi" w:eastAsia="Calibri" w:hAnsiTheme="majorHAnsi" w:cs="Times New Roman"/>
          <w:sz w:val="24"/>
          <w:szCs w:val="24"/>
          <w:lang w:val="ro-RO"/>
        </w:rPr>
        <w:t xml:space="preserve"> </w:t>
      </w:r>
      <w:r w:rsidR="00457888">
        <w:rPr>
          <w:rFonts w:asciiTheme="majorHAnsi" w:eastAsia="Calibri" w:hAnsiTheme="majorHAnsi" w:cs="Times New Roman"/>
          <w:sz w:val="24"/>
          <w:szCs w:val="24"/>
          <w:lang w:val="ro-RO"/>
        </w:rPr>
        <w:t>ben</w:t>
      </w:r>
      <w:r w:rsidR="00C03881">
        <w:rPr>
          <w:rFonts w:asciiTheme="majorHAnsi" w:eastAsia="Calibri" w:hAnsiTheme="majorHAnsi" w:cs="Times New Roman"/>
          <w:sz w:val="24"/>
          <w:szCs w:val="24"/>
          <w:lang w:val="ro-RO"/>
        </w:rPr>
        <w:t>e</w:t>
      </w:r>
      <w:r w:rsidR="00457888">
        <w:rPr>
          <w:rFonts w:asciiTheme="majorHAnsi" w:eastAsia="Calibri" w:hAnsiTheme="majorHAnsi" w:cs="Times New Roman"/>
          <w:sz w:val="24"/>
          <w:szCs w:val="24"/>
          <w:lang w:val="ro-RO"/>
        </w:rPr>
        <w:t xml:space="preserve">fiting from community financing; </w:t>
      </w:r>
    </w:p>
    <w:p w:rsidR="00004028" w:rsidRPr="00D27AFE" w:rsidRDefault="00914743" w:rsidP="00FA6EB9">
      <w:pPr>
        <w:numPr>
          <w:ilvl w:val="0"/>
          <w:numId w:val="15"/>
        </w:numPr>
        <w:spacing w:after="0" w:line="240" w:lineRule="auto"/>
        <w:jc w:val="both"/>
        <w:rPr>
          <w:rFonts w:ascii="Cambria" w:hAnsi="Cambria"/>
          <w:sz w:val="24"/>
          <w:szCs w:val="24"/>
          <w:lang w:val="en-GB"/>
        </w:rPr>
      </w:pPr>
      <w:r w:rsidRPr="00D27AFE">
        <w:rPr>
          <w:rFonts w:ascii="Cambria" w:eastAsia="Times New Roman" w:hAnsi="Cambria" w:cs="Times New Roman"/>
          <w:sz w:val="24"/>
          <w:szCs w:val="24"/>
          <w:lang w:val="en-GB"/>
        </w:rPr>
        <w:t>Cooperation between the</w:t>
      </w:r>
      <w:r w:rsidR="002436E9" w:rsidRPr="00D27AFE">
        <w:rPr>
          <w:rFonts w:ascii="Cambria" w:eastAsia="Times New Roman" w:hAnsi="Cambria" w:cs="Times New Roman"/>
          <w:sz w:val="24"/>
          <w:szCs w:val="24"/>
          <w:lang w:val="en-GB"/>
        </w:rPr>
        <w:t xml:space="preserve"> institutions with the domain ministries (</w:t>
      </w:r>
      <w:r w:rsidR="009E518F" w:rsidRPr="00D27AFE">
        <w:rPr>
          <w:rFonts w:ascii="Cambria" w:eastAsia="Times New Roman" w:hAnsi="Cambria" w:cs="Times New Roman"/>
          <w:sz w:val="24"/>
          <w:szCs w:val="24"/>
          <w:lang w:val="en-GB"/>
        </w:rPr>
        <w:t>Ministry</w:t>
      </w:r>
      <w:r w:rsidR="002436E9" w:rsidRPr="00D27AFE">
        <w:rPr>
          <w:rFonts w:ascii="Cambria" w:eastAsia="Times New Roman" w:hAnsi="Cambria" w:cs="Times New Roman"/>
          <w:sz w:val="24"/>
          <w:szCs w:val="24"/>
          <w:lang w:val="en-GB"/>
        </w:rPr>
        <w:t xml:space="preserve"> of Economy</w:t>
      </w:r>
      <w:r w:rsidR="00D27AFE">
        <w:rPr>
          <w:rFonts w:ascii="Cambria" w:eastAsia="Times New Roman" w:hAnsi="Cambria" w:cs="Times New Roman"/>
          <w:sz w:val="24"/>
          <w:szCs w:val="24"/>
          <w:lang w:val="en-GB"/>
        </w:rPr>
        <w:t>, Trade and Relations with Business Environment</w:t>
      </w:r>
      <w:r w:rsidR="002436E9" w:rsidRPr="00D27AFE">
        <w:rPr>
          <w:rFonts w:ascii="Cambria" w:eastAsia="Times New Roman" w:hAnsi="Cambria" w:cs="Times New Roman"/>
          <w:sz w:val="24"/>
          <w:szCs w:val="24"/>
          <w:lang w:val="en-GB"/>
        </w:rPr>
        <w:t>, Ministry of Energy, Funds Ministry) and the financing institutions.</w:t>
      </w:r>
    </w:p>
    <w:p w:rsidR="00D27AFE" w:rsidRDefault="004727D1" w:rsidP="00D27AFE">
      <w:pPr>
        <w:spacing w:after="0" w:line="240" w:lineRule="auto"/>
        <w:ind w:firstLine="0"/>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T</w:t>
      </w:r>
      <w:r w:rsidR="00C03881">
        <w:rPr>
          <w:rFonts w:asciiTheme="majorHAnsi" w:eastAsia="Calibri" w:hAnsiTheme="majorHAnsi" w:cs="Times New Roman"/>
          <w:sz w:val="24"/>
          <w:szCs w:val="24"/>
          <w:lang w:val="ro-RO"/>
        </w:rPr>
        <w:t>he documents related to the application prepared by EUSTREAM for the Action</w:t>
      </w:r>
      <w:r w:rsidR="00CD4F80">
        <w:rPr>
          <w:rFonts w:asciiTheme="majorHAnsi" w:eastAsia="Calibri" w:hAnsiTheme="majorHAnsi" w:cs="Times New Roman"/>
          <w:sz w:val="24"/>
          <w:szCs w:val="24"/>
          <w:lang w:val="ro-RO"/>
        </w:rPr>
        <w:t xml:space="preserve"> </w:t>
      </w:r>
      <w:r w:rsidR="00C03881" w:rsidRPr="004A4F1B">
        <w:rPr>
          <w:rFonts w:asciiTheme="majorHAnsi" w:eastAsia="Calibri" w:hAnsiTheme="majorHAnsi" w:cs="Times New Roman"/>
          <w:sz w:val="24"/>
          <w:szCs w:val="24"/>
          <w:lang w:val="ro-RO"/>
        </w:rPr>
        <w:t>“Feasibility Study for the Eastring project”</w:t>
      </w:r>
      <w:r>
        <w:rPr>
          <w:rFonts w:asciiTheme="majorHAnsi" w:eastAsia="Calibri" w:hAnsiTheme="majorHAnsi" w:cs="Times New Roman"/>
          <w:sz w:val="24"/>
          <w:szCs w:val="24"/>
          <w:lang w:val="ro-RO"/>
        </w:rPr>
        <w:t xml:space="preserve"> were analised</w:t>
      </w:r>
      <w:r w:rsidR="00C03881" w:rsidRPr="004A4F1B">
        <w:rPr>
          <w:rFonts w:asciiTheme="majorHAnsi" w:eastAsia="Calibri" w:hAnsiTheme="majorHAnsi" w:cs="Times New Roman"/>
          <w:sz w:val="24"/>
          <w:szCs w:val="24"/>
          <w:lang w:val="ro-RO"/>
        </w:rPr>
        <w:t xml:space="preserve">. </w:t>
      </w:r>
      <w:r w:rsidR="00CD4F80">
        <w:rPr>
          <w:rFonts w:asciiTheme="majorHAnsi" w:eastAsia="Calibri" w:hAnsiTheme="majorHAnsi" w:cs="Times New Roman"/>
          <w:sz w:val="24"/>
          <w:szCs w:val="24"/>
          <w:lang w:val="ro-RO"/>
        </w:rPr>
        <w:t xml:space="preserve">The action is introduced and </w:t>
      </w:r>
      <w:r w:rsidR="0049048B">
        <w:rPr>
          <w:rFonts w:asciiTheme="majorHAnsi" w:eastAsia="Calibri" w:hAnsiTheme="majorHAnsi" w:cs="Times New Roman"/>
          <w:sz w:val="24"/>
          <w:szCs w:val="24"/>
          <w:lang w:val="ro-RO"/>
        </w:rPr>
        <w:t xml:space="preserve">coordonated by Eustream as single propoter, 100% shareholder of Eastring B.V., based on mutual agreement and with the full support of the other three project promoters in question: </w:t>
      </w:r>
      <w:r w:rsidR="0049048B" w:rsidRPr="004A4F1B">
        <w:rPr>
          <w:rFonts w:asciiTheme="majorHAnsi" w:eastAsia="Calibri" w:hAnsiTheme="majorHAnsi" w:cs="Times New Roman"/>
          <w:sz w:val="24"/>
          <w:szCs w:val="24"/>
          <w:lang w:val="ro-RO"/>
        </w:rPr>
        <w:t>FGSZ Zrt.</w:t>
      </w:r>
      <w:r w:rsidR="0049048B">
        <w:rPr>
          <w:rFonts w:asciiTheme="majorHAnsi" w:eastAsia="Calibri" w:hAnsiTheme="majorHAnsi" w:cs="Times New Roman"/>
          <w:sz w:val="24"/>
          <w:szCs w:val="24"/>
          <w:lang w:val="ro-RO"/>
        </w:rPr>
        <w:t xml:space="preserve"> (HU), SNTGN Transgaz SA (RO) and</w:t>
      </w:r>
      <w:r w:rsidR="0049048B" w:rsidRPr="004A4F1B">
        <w:rPr>
          <w:rFonts w:asciiTheme="majorHAnsi" w:eastAsia="Calibri" w:hAnsiTheme="majorHAnsi" w:cs="Times New Roman"/>
          <w:sz w:val="24"/>
          <w:szCs w:val="24"/>
          <w:lang w:val="ro-RO"/>
        </w:rPr>
        <w:t xml:space="preserve"> Bulgartransgaz EAD (BG).</w:t>
      </w:r>
    </w:p>
    <w:p w:rsidR="00D87822" w:rsidRPr="00322BD0" w:rsidRDefault="00D87822" w:rsidP="00160CCE">
      <w:pPr>
        <w:spacing w:after="0" w:line="240" w:lineRule="auto"/>
        <w:ind w:firstLine="0"/>
        <w:jc w:val="both"/>
        <w:rPr>
          <w:rFonts w:asciiTheme="majorHAnsi" w:hAnsiTheme="majorHAnsi"/>
          <w:sz w:val="24"/>
          <w:szCs w:val="24"/>
          <w:lang w:val="en-GB"/>
        </w:rPr>
      </w:pPr>
    </w:p>
    <w:p w:rsidR="00681DB2" w:rsidRPr="00322BD0" w:rsidRDefault="00F74941" w:rsidP="00160CCE">
      <w:pPr>
        <w:spacing w:after="0" w:line="240" w:lineRule="auto"/>
        <w:ind w:firstLine="0"/>
        <w:jc w:val="both"/>
        <w:rPr>
          <w:rFonts w:asciiTheme="majorHAnsi" w:hAnsiTheme="majorHAnsi"/>
          <w:sz w:val="24"/>
          <w:szCs w:val="24"/>
          <w:lang w:val="en-GB"/>
        </w:rPr>
      </w:pPr>
      <w:r w:rsidRPr="00322BD0">
        <w:rPr>
          <w:rFonts w:asciiTheme="majorHAnsi" w:hAnsiTheme="majorHAnsi"/>
          <w:sz w:val="24"/>
          <w:szCs w:val="24"/>
          <w:lang w:val="en-GB"/>
        </w:rPr>
        <w:t>Among</w:t>
      </w:r>
      <w:r w:rsidR="00CE19C1" w:rsidRPr="00322BD0">
        <w:rPr>
          <w:rFonts w:asciiTheme="majorHAnsi" w:hAnsiTheme="majorHAnsi"/>
          <w:sz w:val="24"/>
          <w:szCs w:val="24"/>
          <w:lang w:val="en-GB"/>
        </w:rPr>
        <w:t xml:space="preserve"> the main achievements </w:t>
      </w:r>
      <w:r w:rsidRPr="00322BD0">
        <w:rPr>
          <w:rFonts w:asciiTheme="majorHAnsi" w:hAnsiTheme="majorHAnsi"/>
          <w:sz w:val="24"/>
          <w:szCs w:val="24"/>
          <w:lang w:val="en-GB"/>
        </w:rPr>
        <w:t>obt</w:t>
      </w:r>
      <w:r w:rsidR="00D27AFE">
        <w:rPr>
          <w:rFonts w:asciiTheme="majorHAnsi" w:hAnsiTheme="majorHAnsi"/>
          <w:sz w:val="24"/>
          <w:szCs w:val="24"/>
          <w:lang w:val="en-GB"/>
        </w:rPr>
        <w:t>ained in 2016</w:t>
      </w:r>
      <w:r w:rsidR="00CE19C1" w:rsidRPr="00322BD0">
        <w:rPr>
          <w:rFonts w:asciiTheme="majorHAnsi" w:hAnsiTheme="majorHAnsi"/>
          <w:sz w:val="24"/>
          <w:szCs w:val="24"/>
          <w:lang w:val="en-GB"/>
        </w:rPr>
        <w:t xml:space="preserve"> (some of them in cooperation</w:t>
      </w:r>
      <w:r w:rsidR="00BE647A" w:rsidRPr="00322BD0">
        <w:rPr>
          <w:rFonts w:asciiTheme="majorHAnsi" w:hAnsiTheme="majorHAnsi"/>
          <w:sz w:val="24"/>
          <w:szCs w:val="24"/>
          <w:lang w:val="en-GB"/>
        </w:rPr>
        <w:t xml:space="preserve"> with other departments of the C</w:t>
      </w:r>
      <w:r w:rsidR="00CE19C1" w:rsidRPr="00322BD0">
        <w:rPr>
          <w:rFonts w:asciiTheme="majorHAnsi" w:hAnsiTheme="majorHAnsi"/>
          <w:sz w:val="24"/>
          <w:szCs w:val="24"/>
          <w:lang w:val="en-GB"/>
        </w:rPr>
        <w:t xml:space="preserve">ompany) </w:t>
      </w:r>
      <w:r w:rsidR="00BE647A" w:rsidRPr="00322BD0">
        <w:rPr>
          <w:rFonts w:asciiTheme="majorHAnsi" w:hAnsiTheme="majorHAnsi"/>
          <w:sz w:val="24"/>
          <w:szCs w:val="24"/>
          <w:lang w:val="en-GB"/>
        </w:rPr>
        <w:t>we mention the</w:t>
      </w:r>
      <w:r w:rsidR="00CE19C1" w:rsidRPr="00322BD0">
        <w:rPr>
          <w:rFonts w:asciiTheme="majorHAnsi" w:hAnsiTheme="majorHAnsi"/>
          <w:sz w:val="24"/>
          <w:szCs w:val="24"/>
          <w:lang w:val="en-GB"/>
        </w:rPr>
        <w:t xml:space="preserve"> following: </w:t>
      </w:r>
    </w:p>
    <w:p w:rsidR="0069252A" w:rsidRPr="00322BD0" w:rsidRDefault="0069252A" w:rsidP="00160CCE">
      <w:pPr>
        <w:spacing w:after="0" w:line="240" w:lineRule="auto"/>
        <w:ind w:firstLine="0"/>
        <w:jc w:val="both"/>
        <w:rPr>
          <w:rFonts w:asciiTheme="majorHAnsi" w:hAnsiTheme="majorHAnsi"/>
          <w:sz w:val="24"/>
          <w:szCs w:val="24"/>
          <w:lang w:val="en-GB"/>
        </w:rPr>
      </w:pPr>
    </w:p>
    <w:p w:rsidR="00532062" w:rsidRPr="00322BD0" w:rsidRDefault="00EB0E37" w:rsidP="00532062">
      <w:pPr>
        <w:spacing w:after="0" w:line="240" w:lineRule="auto"/>
        <w:ind w:firstLine="0"/>
        <w:jc w:val="both"/>
        <w:rPr>
          <w:rStyle w:val="ln2tpreambul1"/>
          <w:rFonts w:asciiTheme="majorHAnsi" w:hAnsiTheme="majorHAnsi" w:cs="Arial"/>
          <w:b/>
          <w:i w:val="0"/>
          <w:sz w:val="24"/>
          <w:szCs w:val="24"/>
          <w:lang w:val="en-GB"/>
        </w:rPr>
      </w:pPr>
      <w:r w:rsidRPr="00322BD0">
        <w:rPr>
          <w:rStyle w:val="ln2tpreambul1"/>
          <w:rFonts w:asciiTheme="majorHAnsi" w:hAnsiTheme="majorHAnsi" w:cs="Arial"/>
          <w:b/>
          <w:i w:val="0"/>
          <w:sz w:val="24"/>
          <w:szCs w:val="24"/>
          <w:lang w:val="en-GB"/>
        </w:rPr>
        <w:t xml:space="preserve">The following activities were performed for the </w:t>
      </w:r>
      <w:r w:rsidRPr="00322BD0">
        <w:rPr>
          <w:rStyle w:val="ln2tpreambul1"/>
          <w:rFonts w:asciiTheme="majorHAnsi" w:hAnsiTheme="majorHAnsi" w:cs="Arial"/>
          <w:b/>
          <w:i w:val="0"/>
          <w:sz w:val="24"/>
          <w:szCs w:val="24"/>
          <w:u w:val="single"/>
          <w:lang w:val="en-GB"/>
        </w:rPr>
        <w:t xml:space="preserve">projects </w:t>
      </w:r>
      <w:r w:rsidR="005C1A1C" w:rsidRPr="00322BD0">
        <w:rPr>
          <w:rStyle w:val="ln2tpreambul1"/>
          <w:rFonts w:asciiTheme="majorHAnsi" w:hAnsiTheme="majorHAnsi" w:cs="Arial"/>
          <w:b/>
          <w:i w:val="0"/>
          <w:sz w:val="24"/>
          <w:szCs w:val="24"/>
          <w:u w:val="single"/>
          <w:lang w:val="en-GB"/>
        </w:rPr>
        <w:t>under implementation</w:t>
      </w:r>
      <w:r w:rsidR="005C1A1C" w:rsidRPr="00322BD0">
        <w:rPr>
          <w:rStyle w:val="ln2tpreambul1"/>
          <w:rFonts w:asciiTheme="majorHAnsi" w:hAnsiTheme="majorHAnsi" w:cs="Arial"/>
          <w:b/>
          <w:i w:val="0"/>
          <w:sz w:val="24"/>
          <w:szCs w:val="24"/>
          <w:lang w:val="en-GB"/>
        </w:rPr>
        <w:t xml:space="preserve"> which obtained EU funds</w:t>
      </w:r>
      <w:r w:rsidR="00532062" w:rsidRPr="00322BD0">
        <w:rPr>
          <w:rStyle w:val="ln2tpreambul1"/>
          <w:rFonts w:asciiTheme="majorHAnsi" w:hAnsiTheme="majorHAnsi" w:cs="Arial"/>
          <w:b/>
          <w:i w:val="0"/>
          <w:sz w:val="24"/>
          <w:szCs w:val="24"/>
          <w:lang w:val="en-GB"/>
        </w:rPr>
        <w:t>:</w:t>
      </w:r>
    </w:p>
    <w:p w:rsidR="00871EED" w:rsidRPr="00322BD0" w:rsidRDefault="00871EED" w:rsidP="00FA6EB9">
      <w:pPr>
        <w:pStyle w:val="ListParagraph"/>
        <w:numPr>
          <w:ilvl w:val="0"/>
          <w:numId w:val="18"/>
        </w:numPr>
        <w:spacing w:after="0" w:line="240" w:lineRule="auto"/>
        <w:jc w:val="both"/>
        <w:rPr>
          <w:rStyle w:val="ln2tpreambul1"/>
          <w:rFonts w:asciiTheme="majorHAnsi" w:hAnsiTheme="majorHAnsi" w:cs="Arial"/>
          <w:i w:val="0"/>
          <w:sz w:val="24"/>
          <w:szCs w:val="24"/>
          <w:lang w:val="en-GB"/>
        </w:rPr>
      </w:pPr>
      <w:r w:rsidRPr="00322BD0">
        <w:rPr>
          <w:rStyle w:val="ln2tpreambul1"/>
          <w:rFonts w:asciiTheme="majorHAnsi" w:hAnsiTheme="majorHAnsi" w:cs="Arial"/>
          <w:i w:val="0"/>
          <w:sz w:val="24"/>
          <w:szCs w:val="24"/>
          <w:lang w:val="en-GB"/>
        </w:rPr>
        <w:t>Drawing up reports, letters, documents which were sent regularly</w:t>
      </w:r>
      <w:r w:rsidR="00A04044" w:rsidRPr="00322BD0">
        <w:rPr>
          <w:rStyle w:val="ln2tpreambul1"/>
          <w:rFonts w:asciiTheme="majorHAnsi" w:hAnsiTheme="majorHAnsi" w:cs="Arial"/>
          <w:i w:val="0"/>
          <w:sz w:val="24"/>
          <w:szCs w:val="24"/>
          <w:lang w:val="en-GB"/>
        </w:rPr>
        <w:t xml:space="preserve"> (under the financing </w:t>
      </w:r>
      <w:r w:rsidR="009E518F" w:rsidRPr="00322BD0">
        <w:rPr>
          <w:rStyle w:val="ln2tpreambul1"/>
          <w:rFonts w:asciiTheme="majorHAnsi" w:hAnsiTheme="majorHAnsi" w:cs="Arial"/>
          <w:i w:val="0"/>
          <w:sz w:val="24"/>
          <w:szCs w:val="24"/>
          <w:lang w:val="en-GB"/>
        </w:rPr>
        <w:t>contract</w:t>
      </w:r>
      <w:r w:rsidR="00A04044" w:rsidRPr="00322BD0">
        <w:rPr>
          <w:rStyle w:val="ln2tpreambul1"/>
          <w:rFonts w:asciiTheme="majorHAnsi" w:hAnsiTheme="majorHAnsi" w:cs="Arial"/>
          <w:i w:val="0"/>
          <w:sz w:val="24"/>
          <w:szCs w:val="24"/>
          <w:lang w:val="en-GB"/>
        </w:rPr>
        <w:t>) to the funding bodies, the</w:t>
      </w:r>
      <w:r w:rsidRPr="00322BD0">
        <w:rPr>
          <w:rStyle w:val="ln2tpreambul1"/>
          <w:rFonts w:asciiTheme="majorHAnsi" w:hAnsiTheme="majorHAnsi" w:cs="Arial"/>
          <w:i w:val="0"/>
          <w:sz w:val="24"/>
          <w:szCs w:val="24"/>
          <w:lang w:val="en-GB"/>
        </w:rPr>
        <w:t xml:space="preserve"> European Commission and to the Management Authority</w:t>
      </w:r>
      <w:r w:rsidR="00A04044" w:rsidRPr="00322BD0">
        <w:rPr>
          <w:rStyle w:val="ln2tpreambul1"/>
          <w:rFonts w:asciiTheme="majorHAnsi" w:hAnsiTheme="majorHAnsi" w:cs="Arial"/>
          <w:i w:val="0"/>
          <w:sz w:val="24"/>
          <w:szCs w:val="24"/>
          <w:lang w:val="en-GB"/>
        </w:rPr>
        <w:t>/</w:t>
      </w:r>
      <w:r w:rsidRPr="00322BD0">
        <w:rPr>
          <w:rStyle w:val="ln2tpreambul1"/>
          <w:rFonts w:asciiTheme="majorHAnsi" w:hAnsiTheme="majorHAnsi" w:cs="Arial"/>
          <w:i w:val="0"/>
          <w:sz w:val="24"/>
          <w:szCs w:val="24"/>
          <w:lang w:val="en-GB"/>
        </w:rPr>
        <w:t xml:space="preserve">Intermediary Body for Energy for the management of </w:t>
      </w:r>
      <w:r w:rsidR="00A04044" w:rsidRPr="00322BD0">
        <w:rPr>
          <w:rStyle w:val="ln2tpreambul1"/>
          <w:rFonts w:asciiTheme="majorHAnsi" w:hAnsiTheme="majorHAnsi" w:cs="Arial"/>
          <w:i w:val="0"/>
          <w:sz w:val="24"/>
          <w:szCs w:val="24"/>
          <w:lang w:val="en-GB"/>
        </w:rPr>
        <w:t xml:space="preserve">the </w:t>
      </w:r>
      <w:r w:rsidRPr="00322BD0">
        <w:rPr>
          <w:rStyle w:val="ln2tpreambul1"/>
          <w:rFonts w:asciiTheme="majorHAnsi" w:hAnsiTheme="majorHAnsi" w:cs="Arial"/>
          <w:i w:val="0"/>
          <w:sz w:val="24"/>
          <w:szCs w:val="24"/>
          <w:lang w:val="en-GB"/>
        </w:rPr>
        <w:t>Transgaz' projects which benefit</w:t>
      </w:r>
      <w:r w:rsidR="00A04044" w:rsidRPr="00322BD0">
        <w:rPr>
          <w:rStyle w:val="ln2tpreambul1"/>
          <w:rFonts w:asciiTheme="majorHAnsi" w:hAnsiTheme="majorHAnsi" w:cs="Arial"/>
          <w:i w:val="0"/>
          <w:sz w:val="24"/>
          <w:szCs w:val="24"/>
          <w:lang w:val="en-GB"/>
        </w:rPr>
        <w:t>ting</w:t>
      </w:r>
      <w:r w:rsidRPr="00322BD0">
        <w:rPr>
          <w:rStyle w:val="ln2tpreambul1"/>
          <w:rFonts w:asciiTheme="majorHAnsi" w:hAnsiTheme="majorHAnsi" w:cs="Arial"/>
          <w:i w:val="0"/>
          <w:sz w:val="24"/>
          <w:szCs w:val="24"/>
          <w:lang w:val="en-GB"/>
        </w:rPr>
        <w:t xml:space="preserve"> from European grants</w:t>
      </w:r>
      <w:r w:rsidR="00B50A74" w:rsidRPr="00322BD0">
        <w:rPr>
          <w:rStyle w:val="ln2tpreambul1"/>
          <w:rFonts w:asciiTheme="majorHAnsi" w:hAnsiTheme="majorHAnsi" w:cs="Arial"/>
          <w:i w:val="0"/>
          <w:sz w:val="24"/>
          <w:szCs w:val="24"/>
          <w:lang w:val="en-GB"/>
        </w:rPr>
        <w:t>, according to the provisions of the financing decisions/contracts</w:t>
      </w:r>
      <w:r w:rsidRPr="00322BD0">
        <w:rPr>
          <w:rStyle w:val="ln2tpreambul1"/>
          <w:rFonts w:asciiTheme="majorHAnsi" w:hAnsiTheme="majorHAnsi" w:cs="Arial"/>
          <w:i w:val="0"/>
          <w:sz w:val="24"/>
          <w:szCs w:val="24"/>
          <w:lang w:val="en-GB"/>
        </w:rPr>
        <w:t>;</w:t>
      </w:r>
    </w:p>
    <w:p w:rsidR="00745DB3" w:rsidRPr="00322BD0" w:rsidRDefault="00745DB3" w:rsidP="00FA6EB9">
      <w:pPr>
        <w:numPr>
          <w:ilvl w:val="0"/>
          <w:numId w:val="18"/>
        </w:numPr>
        <w:spacing w:after="0" w:line="240" w:lineRule="auto"/>
        <w:contextualSpacing/>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lastRenderedPageBreak/>
        <w:t xml:space="preserve">Preparation of </w:t>
      </w:r>
      <w:r w:rsidR="00302D37" w:rsidRPr="00322BD0">
        <w:rPr>
          <w:rFonts w:ascii="Cambria" w:eastAsia="Times New Roman" w:hAnsi="Cambria" w:cs="Arial"/>
          <w:iCs/>
          <w:sz w:val="24"/>
          <w:szCs w:val="24"/>
          <w:lang w:val="en-GB"/>
        </w:rPr>
        <w:t>notes</w:t>
      </w:r>
      <w:r w:rsidRPr="00322BD0">
        <w:rPr>
          <w:rFonts w:ascii="Cambria" w:eastAsia="Times New Roman" w:hAnsi="Cambria" w:cs="Arial"/>
          <w:iCs/>
          <w:sz w:val="24"/>
          <w:szCs w:val="24"/>
          <w:lang w:val="en-GB"/>
        </w:rPr>
        <w:t xml:space="preserve"> on the </w:t>
      </w:r>
      <w:r w:rsidR="00C71304">
        <w:rPr>
          <w:rFonts w:ascii="Cambria" w:eastAsia="Times New Roman" w:hAnsi="Cambria" w:cs="Arial"/>
          <w:iCs/>
          <w:sz w:val="24"/>
          <w:szCs w:val="24"/>
          <w:lang w:val="en-GB"/>
        </w:rPr>
        <w:t xml:space="preserve">sensitive issues </w:t>
      </w:r>
      <w:r w:rsidRPr="00322BD0">
        <w:rPr>
          <w:rFonts w:ascii="Cambria" w:eastAsia="Times New Roman" w:hAnsi="Cambria" w:cs="Arial"/>
          <w:iCs/>
          <w:sz w:val="24"/>
          <w:szCs w:val="24"/>
          <w:lang w:val="en-GB"/>
        </w:rPr>
        <w:t xml:space="preserve">found </w:t>
      </w:r>
      <w:r w:rsidR="009E518F" w:rsidRPr="00322BD0">
        <w:rPr>
          <w:rFonts w:ascii="Cambria" w:eastAsia="Times New Roman" w:hAnsi="Cambria" w:cs="Arial"/>
          <w:iCs/>
          <w:sz w:val="24"/>
          <w:szCs w:val="24"/>
          <w:lang w:val="en-GB"/>
        </w:rPr>
        <w:t>and</w:t>
      </w:r>
      <w:r w:rsidRPr="00322BD0">
        <w:rPr>
          <w:rFonts w:ascii="Cambria" w:eastAsia="Times New Roman" w:hAnsi="Cambria" w:cs="Arial"/>
          <w:iCs/>
          <w:sz w:val="24"/>
          <w:szCs w:val="24"/>
          <w:lang w:val="en-GB"/>
        </w:rPr>
        <w:t xml:space="preserve"> the implications of </w:t>
      </w:r>
      <w:r w:rsidR="00C71304">
        <w:rPr>
          <w:rFonts w:ascii="Cambria" w:eastAsia="Times New Roman" w:hAnsi="Cambria" w:cs="Arial"/>
          <w:iCs/>
          <w:sz w:val="24"/>
          <w:szCs w:val="24"/>
          <w:lang w:val="en-GB"/>
        </w:rPr>
        <w:t>possible</w:t>
      </w:r>
      <w:r w:rsidRPr="00322BD0">
        <w:rPr>
          <w:rFonts w:ascii="Cambria" w:eastAsia="Times New Roman" w:hAnsi="Cambria" w:cs="Arial"/>
          <w:iCs/>
          <w:sz w:val="24"/>
          <w:szCs w:val="24"/>
          <w:lang w:val="en-GB"/>
        </w:rPr>
        <w:t xml:space="preserve"> work execution contracts amendments, correlated with the provisions of the financing decisions/contracts;</w:t>
      </w:r>
    </w:p>
    <w:p w:rsidR="00745DB3" w:rsidRPr="00322BD0" w:rsidRDefault="00F245BC" w:rsidP="00FA6EB9">
      <w:pPr>
        <w:numPr>
          <w:ilvl w:val="0"/>
          <w:numId w:val="18"/>
        </w:numPr>
        <w:spacing w:after="0" w:line="240" w:lineRule="auto"/>
        <w:contextualSpacing/>
        <w:jc w:val="both"/>
        <w:rPr>
          <w:rFonts w:asciiTheme="majorHAnsi" w:hAnsiTheme="majorHAnsi" w:cs="Arial"/>
          <w:iCs/>
          <w:sz w:val="24"/>
          <w:szCs w:val="24"/>
          <w:lang w:val="en-GB"/>
        </w:rPr>
      </w:pPr>
      <w:r w:rsidRPr="00322BD0">
        <w:rPr>
          <w:rFonts w:ascii="Cambria" w:eastAsia="Times New Roman" w:hAnsi="Cambria" w:cs="Arial"/>
          <w:iCs/>
          <w:sz w:val="24"/>
          <w:szCs w:val="24"/>
          <w:lang w:val="en-GB"/>
        </w:rPr>
        <w:t>Ensuring assistance</w:t>
      </w:r>
      <w:r w:rsidR="00745DB3" w:rsidRPr="00322BD0">
        <w:rPr>
          <w:rFonts w:ascii="Cambria" w:eastAsia="Times New Roman" w:hAnsi="Cambria" w:cs="Arial"/>
          <w:iCs/>
          <w:sz w:val="24"/>
          <w:szCs w:val="24"/>
          <w:lang w:val="en-GB"/>
        </w:rPr>
        <w:t>, co</w:t>
      </w:r>
      <w:r w:rsidRPr="00322BD0">
        <w:rPr>
          <w:rFonts w:ascii="Cambria" w:eastAsia="Times New Roman" w:hAnsi="Cambria" w:cs="Arial"/>
          <w:iCs/>
          <w:sz w:val="24"/>
          <w:szCs w:val="24"/>
          <w:lang w:val="en-GB"/>
        </w:rPr>
        <w:t>operation, provision of additional information for various assessment/verification forms</w:t>
      </w:r>
      <w:r w:rsidR="00A064EB" w:rsidRPr="00322BD0">
        <w:rPr>
          <w:rFonts w:ascii="Cambria" w:eastAsia="Times New Roman" w:hAnsi="Cambria" w:cs="Arial"/>
          <w:iCs/>
          <w:sz w:val="24"/>
          <w:szCs w:val="24"/>
          <w:lang w:val="en-GB"/>
        </w:rPr>
        <w:t xml:space="preserve"> regarding the </w:t>
      </w:r>
      <w:r w:rsidR="007162FF" w:rsidRPr="00322BD0">
        <w:rPr>
          <w:rFonts w:ascii="Cambria" w:eastAsia="Times New Roman" w:hAnsi="Cambria" w:cs="Arial"/>
          <w:iCs/>
          <w:sz w:val="24"/>
          <w:szCs w:val="24"/>
          <w:lang w:val="en-GB"/>
        </w:rPr>
        <w:t>EU grant projects</w:t>
      </w:r>
      <w:r w:rsidR="000327B0" w:rsidRPr="00322BD0">
        <w:rPr>
          <w:rFonts w:ascii="Cambria" w:eastAsia="Times New Roman" w:hAnsi="Cambria" w:cs="Arial"/>
          <w:iCs/>
          <w:sz w:val="24"/>
          <w:szCs w:val="24"/>
          <w:lang w:val="en-GB"/>
        </w:rPr>
        <w:t>.</w:t>
      </w:r>
    </w:p>
    <w:p w:rsidR="000327B0" w:rsidRPr="00322BD0" w:rsidRDefault="000327B0" w:rsidP="000327B0">
      <w:pPr>
        <w:spacing w:after="0" w:line="240" w:lineRule="auto"/>
        <w:ind w:firstLine="0"/>
        <w:contextualSpacing/>
        <w:jc w:val="both"/>
        <w:rPr>
          <w:rFonts w:ascii="Cambria" w:eastAsia="Times New Roman" w:hAnsi="Cambria" w:cs="Arial"/>
          <w:iCs/>
          <w:sz w:val="24"/>
          <w:szCs w:val="24"/>
          <w:lang w:val="en-GB"/>
        </w:rPr>
      </w:pPr>
    </w:p>
    <w:p w:rsidR="001B3D27" w:rsidRPr="00E16662" w:rsidRDefault="00E16662" w:rsidP="000327B0">
      <w:pPr>
        <w:spacing w:after="0" w:line="240" w:lineRule="auto"/>
        <w:ind w:firstLine="0"/>
        <w:contextualSpacing/>
        <w:jc w:val="both"/>
        <w:rPr>
          <w:rFonts w:ascii="Cambria" w:eastAsia="Times New Roman" w:hAnsi="Cambria" w:cs="Arial"/>
          <w:i/>
          <w:iCs/>
          <w:sz w:val="24"/>
          <w:szCs w:val="24"/>
          <w:u w:val="single"/>
          <w:lang w:val="en-GB"/>
        </w:rPr>
      </w:pPr>
      <w:r w:rsidRPr="00E16662">
        <w:rPr>
          <w:rFonts w:ascii="Cambria" w:eastAsia="Times New Roman" w:hAnsi="Cambria" w:cs="Arial"/>
          <w:i/>
          <w:iCs/>
          <w:sz w:val="24"/>
          <w:szCs w:val="24"/>
          <w:u w:val="single"/>
          <w:lang w:val="en-GB"/>
        </w:rPr>
        <w:t>The Interconnection Bulgaria – Romania Project</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b/>
          <w:iCs/>
          <w:sz w:val="24"/>
          <w:szCs w:val="24"/>
          <w:lang w:val="en-GB"/>
        </w:rPr>
        <w:t>The Interconnection Bulgaria – Romania Project</w:t>
      </w:r>
      <w:r w:rsidRPr="00AD1C90">
        <w:rPr>
          <w:rFonts w:ascii="Cambria" w:eastAsia="Times New Roman" w:hAnsi="Cambria" w:cs="Arial"/>
          <w:iCs/>
          <w:sz w:val="24"/>
          <w:szCs w:val="24"/>
          <w:lang w:val="en-GB"/>
        </w:rPr>
        <w:t xml:space="preserve"> is the only project ensuring the transmission of gas from the Southern Gas Corridor Azerbaijan – Turkey – Greece to Austria across Bulgaria and Romania through the section Gas Pipeline from Bulgaria to Austria via Romania and Hungary (BRUA – PCI 7.1.5. 1st PCI list) and is extremely important, at regional level, as after its commissioning, it facilitates the integration of the Southern Corridor gas resources with the Central and Western European Gas Markets.</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The works for the construction of the DN 500 Main Danube Undercrossing Pipeline (2,100 m) – based on the contract signed with SC HABAU PPS – (including drilling, pipeline pulling, pressure tests, coupling and commissioning) were completed by 4th November 2016, precisely earlier than the deadline under the Funding Agreement, i.e. 31.12.2016 due to the Constructor’s use of state-of-the-art technologies, of technical solutions perfectly adapted to the Danube undercrossing soil characteristics.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The Back-up Danube Undercrossing Pipeline was completed, tested, accepted and commissioned on 22 December 2016 and thus, the technical conditions for bidirectional gas flows (maximum flow – 1.5 bcma) between Romania and Bulgaria were created. The Gas Metering Stations (GMSs) related both to the Romanian and to the Bulgarian territory were built so as to allow for bidirectional metering so that as soon as the Interconnection Agreement has been signed and the capacity allocation methodology has been endorsed, import and export activities will be possible. The actual length of each Danube undercrossing pipeline is 2.1 km from the valve assembly in Comasca to the one in Marten (Bulgaria).</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The Interconnection Bulgaria-Romania estimated aggregate eligible costs amount to Euro 23 mil., out of which Euro 10.9 mil. is allocated to the works on the Romanian territory and Euro 12.8 mil. to the Bulgarian territory. The allocated EEPR grant related to the entire project amounts to Euro 8.9 mil.  The Interconnection Bulgaria-Romania is the longest interconnection project in Romania and Europe.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E16662" w:rsidRDefault="00AD1C90" w:rsidP="00AD1C90">
      <w:pPr>
        <w:spacing w:after="0" w:line="240" w:lineRule="auto"/>
        <w:ind w:firstLine="0"/>
        <w:contextualSpacing/>
        <w:jc w:val="both"/>
        <w:rPr>
          <w:rFonts w:ascii="Cambria" w:eastAsia="Times New Roman" w:hAnsi="Cambria" w:cs="Arial"/>
          <w:i/>
          <w:iCs/>
          <w:sz w:val="24"/>
          <w:szCs w:val="24"/>
          <w:u w:val="single"/>
          <w:lang w:val="en-GB"/>
        </w:rPr>
      </w:pPr>
      <w:r w:rsidRPr="00E16662">
        <w:rPr>
          <w:rFonts w:ascii="Cambria" w:eastAsia="Times New Roman" w:hAnsi="Cambria" w:cs="Arial"/>
          <w:i/>
          <w:iCs/>
          <w:sz w:val="24"/>
          <w:szCs w:val="24"/>
          <w:u w:val="single"/>
          <w:lang w:val="en-GB"/>
        </w:rPr>
        <w:t xml:space="preserve">Preparation of the FEED for three Compressor Stations in the corridor PCI 7.1.5 Project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On 19 August 2014, TRANSGAZ submitted an application to the funding entity, i.e. the Innovation and Networks Executive Agency (INEA) - Brussels, Belgium for a grant related to the Preparation of The FEED for three Compressor Stations in the corridor PCI 7.1.5 Project.</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On 13 May 2015, TRANSGAZ signed the Grant Agreement no. INEA/ CEF/ ENER/ M2014/ 0025 with INEA with an extended validity term (subject of the funder’s approval) by 30.06.2017.</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Based on the provisions of the Grant Agreement, an advance payment of 30% (Euro 455,802.60) of the 50% grant value (Euro 1,519,342.00) which is calculated according to the relevant estimated eligible value, was transferred to Transgaz.</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lastRenderedPageBreak/>
        <w:t xml:space="preserve">The procedure for the procurement of services for the preparation of the FEED for three Compressor Stations in the corridor PCI 7.1.5 Project was launched on 18.07.2015 and published onto the Romanian Electronic System for Public Procurement. As a result of the tendering process, the contract was awarded to GBP PANGAZ Sp. zo.o – Poland and signed on 5 May 2016.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Considering GBP PANGAZ’ delays in the implementation of the services, TRANSGAZ prepared and submitted the documents required for the extension of the FEED services cost eligibility period to INEA.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726884" w:rsidRDefault="00AD1C90" w:rsidP="00AD1C90">
      <w:pPr>
        <w:spacing w:after="0" w:line="240" w:lineRule="auto"/>
        <w:ind w:firstLine="0"/>
        <w:contextualSpacing/>
        <w:jc w:val="both"/>
        <w:rPr>
          <w:rFonts w:ascii="Cambria" w:eastAsia="Times New Roman" w:hAnsi="Cambria" w:cs="Arial"/>
          <w:i/>
          <w:iCs/>
          <w:sz w:val="24"/>
          <w:szCs w:val="24"/>
          <w:u w:val="single"/>
          <w:lang w:val="en-GB"/>
        </w:rPr>
      </w:pPr>
      <w:r w:rsidRPr="00726884">
        <w:rPr>
          <w:rFonts w:ascii="Cambria" w:eastAsia="Times New Roman" w:hAnsi="Cambria" w:cs="Arial"/>
          <w:i/>
          <w:iCs/>
          <w:sz w:val="24"/>
          <w:szCs w:val="24"/>
          <w:u w:val="single"/>
          <w:lang w:val="en-GB"/>
        </w:rPr>
        <w:t>The BRUA Project – Gas pipeline from Bulgaria to Austria via Romania and Hungary</w:t>
      </w:r>
    </w:p>
    <w:p w:rsidR="00AD1C90" w:rsidRPr="00726884" w:rsidRDefault="00AD1C90" w:rsidP="00AD1C90">
      <w:pPr>
        <w:spacing w:after="0" w:line="240" w:lineRule="auto"/>
        <w:ind w:firstLine="0"/>
        <w:contextualSpacing/>
        <w:jc w:val="both"/>
        <w:rPr>
          <w:rFonts w:ascii="Cambria" w:eastAsia="Times New Roman" w:hAnsi="Cambria" w:cs="Arial"/>
          <w:i/>
          <w:iCs/>
          <w:sz w:val="24"/>
          <w:szCs w:val="24"/>
          <w:u w:val="single"/>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726884">
        <w:rPr>
          <w:rFonts w:ascii="Cambria" w:eastAsia="Times New Roman" w:hAnsi="Cambria" w:cs="Arial"/>
          <w:b/>
          <w:iCs/>
          <w:sz w:val="24"/>
          <w:szCs w:val="24"/>
          <w:u w:val="single"/>
          <w:lang w:val="en-GB"/>
        </w:rPr>
        <w:t>BRUA Phase I</w:t>
      </w:r>
      <w:r w:rsidRPr="00AD1C90">
        <w:rPr>
          <w:rFonts w:ascii="Cambria" w:eastAsia="Times New Roman" w:hAnsi="Cambria" w:cs="Arial"/>
          <w:iCs/>
          <w:sz w:val="24"/>
          <w:szCs w:val="24"/>
          <w:lang w:val="en-GB"/>
        </w:rPr>
        <w:t xml:space="preserve"> was included in the CESEC list of priority projects, coded as PCI </w:t>
      </w:r>
      <w:r w:rsidRPr="00726884">
        <w:rPr>
          <w:rFonts w:ascii="Cambria" w:eastAsia="Times New Roman" w:hAnsi="Cambria" w:cs="Arial"/>
          <w:b/>
          <w:iCs/>
          <w:sz w:val="24"/>
          <w:szCs w:val="24"/>
          <w:lang w:val="en-GB"/>
        </w:rPr>
        <w:t>6.24.2</w:t>
      </w:r>
      <w:r w:rsidRPr="00726884">
        <w:rPr>
          <w:rFonts w:ascii="Cambria" w:eastAsia="Times New Roman" w:hAnsi="Cambria" w:cs="Arial"/>
          <w:iCs/>
          <w:sz w:val="24"/>
          <w:szCs w:val="24"/>
          <w:lang w:val="en-GB"/>
        </w:rPr>
        <w:t xml:space="preserve"> </w:t>
      </w:r>
      <w:r w:rsidRPr="00AD1C90">
        <w:rPr>
          <w:rFonts w:ascii="Cambria" w:eastAsia="Times New Roman" w:hAnsi="Cambria" w:cs="Arial"/>
          <w:iCs/>
          <w:sz w:val="24"/>
          <w:szCs w:val="24"/>
          <w:lang w:val="en-GB"/>
        </w:rPr>
        <w:t xml:space="preserve">(under the 2nd PCI list). This phase was defined as   </w:t>
      </w:r>
      <w:r w:rsidRPr="00726884">
        <w:rPr>
          <w:rFonts w:ascii="Cambria" w:eastAsia="Times New Roman" w:hAnsi="Cambria" w:cs="Arial"/>
          <w:b/>
          <w:i/>
          <w:iCs/>
          <w:sz w:val="24"/>
          <w:szCs w:val="24"/>
          <w:lang w:val="en-GB"/>
        </w:rPr>
        <w:t>Development of the National Gas Transmission System on the Romanian Territory on the Bulgaria-Romania-Hungary-Austria route, Podișor - GMS Horia and 3 new compressor stations (Jupa, Bibești and Podișor)</w:t>
      </w:r>
      <w:r w:rsidRPr="00AD1C90">
        <w:rPr>
          <w:rFonts w:ascii="Cambria" w:eastAsia="Times New Roman" w:hAnsi="Cambria" w:cs="Arial"/>
          <w:iCs/>
          <w:sz w:val="24"/>
          <w:szCs w:val="24"/>
          <w:lang w:val="en-GB"/>
        </w:rPr>
        <w:t xml:space="preserve">. Following the implementation of Stage 1, a capacity of 1.75 bcma will be enabled towards Hungary (through the interconnection Romania-Hungary) and 1.5 bcma will be enabled towards Bulgaria.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In the context of the Connecting Europe Facility 2015 Programme (CEF 2015, CALL II), on 12 October 2016, TRANSGAZ submitted an application to INEA for grants to fund the eligibility costs related to the first phase construction works.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On 09.09.2016, TRANSGAZ signed the Grant Agreement no. INEA / CEF / ENER / M2015 / 1119593 with INEA. The European Commission, through INEA, allocated Transgaz a grant amounting to Euro 179,320,400.00 for the implementation of </w:t>
      </w:r>
      <w:r w:rsidRPr="00726884">
        <w:rPr>
          <w:rFonts w:ascii="Cambria" w:eastAsia="Times New Roman" w:hAnsi="Cambria" w:cs="Arial"/>
          <w:b/>
          <w:iCs/>
          <w:sz w:val="24"/>
          <w:szCs w:val="24"/>
          <w:lang w:val="en-GB"/>
        </w:rPr>
        <w:t>BRUA Phase I</w:t>
      </w:r>
      <w:r w:rsidRPr="00AD1C90">
        <w:rPr>
          <w:rFonts w:ascii="Cambria" w:eastAsia="Times New Roman" w:hAnsi="Cambria" w:cs="Arial"/>
          <w:iCs/>
          <w:sz w:val="24"/>
          <w:szCs w:val="24"/>
          <w:lang w:val="en-GB"/>
        </w:rPr>
        <w:t>.</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By Transgaz Board Decision no. 38/30.09.2016, the BRUA Project Management Unit was approved to be established under the management of the Deputy Director General – coordinator of development and maintenance activities.</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The members of the various structures under the Division for EU Funds and International Relations have been actively involved in preparatory actions related to BRUA project implementation: public consultation organization and attendance, active contribution to the work of the team designated to conclude agreements with the relevant impacted land owners.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726884" w:rsidRDefault="00AD1C90" w:rsidP="00AD1C90">
      <w:pPr>
        <w:spacing w:after="0" w:line="240" w:lineRule="auto"/>
        <w:ind w:firstLine="0"/>
        <w:contextualSpacing/>
        <w:jc w:val="both"/>
        <w:rPr>
          <w:rFonts w:ascii="Cambria" w:eastAsia="Times New Roman" w:hAnsi="Cambria" w:cs="Arial"/>
          <w:i/>
          <w:iCs/>
          <w:sz w:val="24"/>
          <w:szCs w:val="24"/>
          <w:u w:val="single"/>
          <w:lang w:val="en-GB"/>
        </w:rPr>
      </w:pPr>
      <w:r w:rsidRPr="00726884">
        <w:rPr>
          <w:rFonts w:ascii="Cambria" w:eastAsia="Times New Roman" w:hAnsi="Cambria" w:cs="Arial"/>
          <w:i/>
          <w:iCs/>
          <w:sz w:val="24"/>
          <w:szCs w:val="24"/>
          <w:u w:val="single"/>
          <w:lang w:val="en-GB"/>
        </w:rPr>
        <w:t xml:space="preserve">The Upgrading TCS Şinca and the related installations Project </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The project is currently going through the post-implementation monitoring stage. Considering the importance of this stage in order to maintain the relevant funding under the Sectoral Operational Programme ”Increase in Economic Competitiveness 2007-2013”, the outcome indicators are monitored for a five years’ period since the investment completion. The Report on the investment durability for the reference period 01.01.2016 – 30.12.2016 was submitted to the Interim Entity thereby confirming the following:</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 xml:space="preserve">The project </w:t>
      </w:r>
      <w:r w:rsidRPr="00726884">
        <w:rPr>
          <w:rFonts w:ascii="Cambria" w:eastAsia="Times New Roman" w:hAnsi="Cambria" w:cs="Arial"/>
          <w:b/>
          <w:iCs/>
          <w:sz w:val="24"/>
          <w:szCs w:val="24"/>
          <w:lang w:val="en-GB"/>
        </w:rPr>
        <w:t>did not undergo any significant modification</w:t>
      </w:r>
      <w:r w:rsidRPr="00AD1C90">
        <w:rPr>
          <w:rFonts w:ascii="Cambria" w:eastAsia="Times New Roman" w:hAnsi="Cambria" w:cs="Arial"/>
          <w:iCs/>
          <w:sz w:val="24"/>
          <w:szCs w:val="24"/>
          <w:lang w:val="en-GB"/>
        </w:rPr>
        <w:t>, according to Art. 57 of Regulation (CE) no. 1083/2006 – durability of operations, as far as the following are concerned:</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lastRenderedPageBreak/>
        <w:t>affecting its nature or its implementation conditions or giving to a firm or public body an undue advantage; and</w:t>
      </w:r>
    </w:p>
    <w:p w:rsidR="00AD1C90" w:rsidRPr="00AD1C90" w:rsidRDefault="00AD1C90" w:rsidP="00AD1C90">
      <w:pPr>
        <w:spacing w:after="0" w:line="240" w:lineRule="auto"/>
        <w:ind w:firstLine="0"/>
        <w:contextualSpacing/>
        <w:jc w:val="both"/>
        <w:rPr>
          <w:rFonts w:ascii="Cambria" w:eastAsia="Times New Roman" w:hAnsi="Cambria" w:cs="Arial"/>
          <w:iCs/>
          <w:sz w:val="24"/>
          <w:szCs w:val="24"/>
          <w:lang w:val="en-GB"/>
        </w:rPr>
      </w:pPr>
      <w:r w:rsidRPr="00AD1C90">
        <w:rPr>
          <w:rFonts w:ascii="Cambria" w:eastAsia="Times New Roman" w:hAnsi="Cambria" w:cs="Arial"/>
          <w:iCs/>
          <w:sz w:val="24"/>
          <w:szCs w:val="24"/>
          <w:lang w:val="en-GB"/>
        </w:rPr>
        <w:t>resulting either from a change in the nature of ownership of an item of infrastructure or the cessation of a productive activity.</w:t>
      </w:r>
    </w:p>
    <w:p w:rsidR="00AD1C90" w:rsidRPr="0081317F" w:rsidRDefault="00AD1C90" w:rsidP="00AD1C90">
      <w:pPr>
        <w:spacing w:after="0" w:line="240" w:lineRule="auto"/>
        <w:ind w:firstLine="0"/>
        <w:contextualSpacing/>
        <w:jc w:val="both"/>
        <w:rPr>
          <w:rFonts w:ascii="Cambria" w:eastAsia="Times New Roman" w:hAnsi="Cambria" w:cs="Arial"/>
          <w:b/>
          <w:iCs/>
          <w:sz w:val="24"/>
          <w:szCs w:val="24"/>
          <w:lang w:val="en-GB"/>
        </w:rPr>
      </w:pPr>
      <w:r w:rsidRPr="0081317F">
        <w:rPr>
          <w:rFonts w:ascii="Cambria" w:eastAsia="Times New Roman" w:hAnsi="Cambria" w:cs="Arial"/>
          <w:b/>
          <w:iCs/>
          <w:sz w:val="24"/>
          <w:szCs w:val="24"/>
          <w:lang w:val="en-GB"/>
        </w:rPr>
        <w:t xml:space="preserve">The investment is maintained in the beneficiary area. </w:t>
      </w:r>
    </w:p>
    <w:p w:rsidR="007572FB" w:rsidRPr="00322BD0" w:rsidRDefault="007572FB" w:rsidP="007572FB">
      <w:pPr>
        <w:spacing w:after="0" w:line="240" w:lineRule="auto"/>
        <w:ind w:firstLine="0"/>
        <w:contextualSpacing/>
        <w:jc w:val="both"/>
        <w:rPr>
          <w:rFonts w:ascii="Cambria" w:eastAsia="Times New Roman" w:hAnsi="Cambria" w:cs="Arial"/>
          <w:iCs/>
          <w:sz w:val="24"/>
          <w:szCs w:val="24"/>
          <w:lang w:val="en-GB"/>
        </w:rPr>
      </w:pPr>
    </w:p>
    <w:p w:rsidR="008D13E3" w:rsidRPr="00322BD0" w:rsidRDefault="008D13E3" w:rsidP="008D13E3">
      <w:pPr>
        <w:spacing w:after="0" w:line="240" w:lineRule="auto"/>
        <w:ind w:left="540" w:firstLine="0"/>
        <w:jc w:val="both"/>
        <w:rPr>
          <w:rFonts w:ascii="Cambria" w:eastAsia="Times New Roman" w:hAnsi="Cambria" w:cs="Arial"/>
          <w:iCs/>
          <w:sz w:val="24"/>
          <w:szCs w:val="24"/>
          <w:lang w:val="en-GB"/>
        </w:rPr>
      </w:pPr>
    </w:p>
    <w:p w:rsidR="008D13E3" w:rsidRPr="0081317F" w:rsidRDefault="0058109B" w:rsidP="008D13E3">
      <w:pPr>
        <w:spacing w:after="0" w:line="240" w:lineRule="auto"/>
        <w:ind w:firstLine="0"/>
        <w:jc w:val="both"/>
        <w:rPr>
          <w:rFonts w:ascii="Cambria" w:eastAsia="Times New Roman" w:hAnsi="Cambria" w:cs="Arial"/>
          <w:i/>
          <w:iCs/>
          <w:sz w:val="24"/>
          <w:szCs w:val="24"/>
          <w:u w:val="single"/>
          <w:lang w:val="en-GB"/>
        </w:rPr>
      </w:pPr>
      <w:r w:rsidRPr="0081317F">
        <w:rPr>
          <w:rFonts w:ascii="Cambria" w:eastAsia="Times New Roman" w:hAnsi="Cambria" w:cs="Arial"/>
          <w:i/>
          <w:iCs/>
          <w:sz w:val="24"/>
          <w:szCs w:val="24"/>
          <w:u w:val="single"/>
          <w:lang w:val="en-GB"/>
        </w:rPr>
        <w:t>The</w:t>
      </w:r>
      <w:r w:rsidR="008D13E3" w:rsidRPr="0081317F">
        <w:rPr>
          <w:rFonts w:ascii="Cambria" w:eastAsia="Times New Roman" w:hAnsi="Cambria" w:cs="Arial"/>
          <w:i/>
          <w:iCs/>
          <w:sz w:val="24"/>
          <w:szCs w:val="24"/>
          <w:u w:val="single"/>
          <w:lang w:val="en-GB"/>
        </w:rPr>
        <w:t xml:space="preserve"> SCADA</w:t>
      </w:r>
      <w:r w:rsidRPr="0081317F">
        <w:rPr>
          <w:rFonts w:ascii="Cambria" w:eastAsia="Times New Roman" w:hAnsi="Cambria" w:cs="Arial"/>
          <w:i/>
          <w:iCs/>
          <w:sz w:val="24"/>
          <w:szCs w:val="24"/>
          <w:u w:val="single"/>
          <w:lang w:val="en-GB"/>
        </w:rPr>
        <w:t xml:space="preserve"> Project</w:t>
      </w:r>
    </w:p>
    <w:p w:rsidR="008D13E3" w:rsidRPr="00322BD0" w:rsidRDefault="00673073" w:rsidP="00FA6EB9">
      <w:pPr>
        <w:numPr>
          <w:ilvl w:val="0"/>
          <w:numId w:val="30"/>
        </w:numPr>
        <w:spacing w:after="0" w:line="240" w:lineRule="auto"/>
        <w:ind w:left="540"/>
        <w:contextualSpacing/>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 xml:space="preserve">Cooperation with the </w:t>
      </w:r>
      <w:r w:rsidR="008D13E3" w:rsidRPr="00322BD0">
        <w:rPr>
          <w:rFonts w:ascii="Cambria" w:eastAsia="Times New Roman" w:hAnsi="Cambria" w:cs="Arial"/>
          <w:iCs/>
          <w:sz w:val="24"/>
          <w:szCs w:val="24"/>
          <w:lang w:val="en-GB"/>
        </w:rPr>
        <w:t>SCADA</w:t>
      </w:r>
      <w:r w:rsidRPr="00322BD0">
        <w:rPr>
          <w:rFonts w:ascii="Cambria" w:eastAsia="Times New Roman" w:hAnsi="Cambria" w:cs="Arial"/>
          <w:iCs/>
          <w:sz w:val="24"/>
          <w:szCs w:val="24"/>
          <w:lang w:val="en-GB"/>
        </w:rPr>
        <w:t xml:space="preserve"> PMU for the preparation of the documents necessary to be submitted at the balance final payment request</w:t>
      </w:r>
      <w:r w:rsidR="008D13E3" w:rsidRPr="00322BD0">
        <w:rPr>
          <w:rFonts w:ascii="Cambria" w:eastAsia="Times New Roman" w:hAnsi="Cambria" w:cs="Arial"/>
          <w:iCs/>
          <w:sz w:val="24"/>
          <w:szCs w:val="24"/>
          <w:lang w:val="en-GB"/>
        </w:rPr>
        <w:t>;</w:t>
      </w:r>
    </w:p>
    <w:p w:rsidR="008D13E3" w:rsidRPr="00322BD0" w:rsidRDefault="00673073" w:rsidP="00FA6EB9">
      <w:pPr>
        <w:numPr>
          <w:ilvl w:val="0"/>
          <w:numId w:val="30"/>
        </w:numPr>
        <w:spacing w:after="0" w:line="240" w:lineRule="auto"/>
        <w:ind w:left="540"/>
        <w:contextualSpacing/>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Consultancy regarding the provisions of the financing contract</w:t>
      </w:r>
      <w:r w:rsidR="008D13E3" w:rsidRPr="00322BD0">
        <w:rPr>
          <w:rFonts w:ascii="Cambria" w:eastAsia="Times New Roman" w:hAnsi="Cambria" w:cs="Arial"/>
          <w:iCs/>
          <w:sz w:val="24"/>
          <w:szCs w:val="24"/>
          <w:lang w:val="en-GB"/>
        </w:rPr>
        <w:t>;</w:t>
      </w:r>
    </w:p>
    <w:p w:rsidR="00A512C6" w:rsidRPr="00945A8E" w:rsidRDefault="00D7758B"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The final reimbursement request was submitted in </w:t>
      </w:r>
      <w:r w:rsidR="00A512C6" w:rsidRPr="00945A8E">
        <w:rPr>
          <w:rFonts w:asciiTheme="majorHAnsi" w:eastAsia="Calibri" w:hAnsiTheme="majorHAnsi" w:cs="Times New Roman"/>
          <w:sz w:val="24"/>
          <w:szCs w:val="24"/>
          <w:lang w:val="ro-RO"/>
        </w:rPr>
        <w:t xml:space="preserve">26 </w:t>
      </w:r>
      <w:r>
        <w:rPr>
          <w:rFonts w:asciiTheme="majorHAnsi" w:eastAsia="Calibri" w:hAnsiTheme="majorHAnsi" w:cs="Times New Roman"/>
          <w:sz w:val="24"/>
          <w:szCs w:val="24"/>
          <w:lang w:val="ro-RO"/>
        </w:rPr>
        <w:t>F</w:t>
      </w:r>
      <w:r w:rsidR="00A512C6" w:rsidRPr="00945A8E">
        <w:rPr>
          <w:rFonts w:asciiTheme="majorHAnsi" w:eastAsia="Calibri" w:hAnsiTheme="majorHAnsi" w:cs="Times New Roman"/>
          <w:sz w:val="24"/>
          <w:szCs w:val="24"/>
          <w:lang w:val="ro-RO"/>
        </w:rPr>
        <w:t>ebruar</w:t>
      </w:r>
      <w:r>
        <w:rPr>
          <w:rFonts w:asciiTheme="majorHAnsi" w:eastAsia="Calibri" w:hAnsiTheme="majorHAnsi" w:cs="Times New Roman"/>
          <w:sz w:val="24"/>
          <w:szCs w:val="24"/>
          <w:lang w:val="ro-RO"/>
        </w:rPr>
        <w:t>y</w:t>
      </w:r>
      <w:r w:rsidR="00A512C6" w:rsidRPr="00945A8E">
        <w:rPr>
          <w:rFonts w:asciiTheme="majorHAnsi" w:eastAsia="Calibri" w:hAnsiTheme="majorHAnsi" w:cs="Times New Roman"/>
          <w:sz w:val="24"/>
          <w:szCs w:val="24"/>
          <w:lang w:val="ro-RO"/>
        </w:rPr>
        <w:t xml:space="preserve"> 2016;</w:t>
      </w:r>
    </w:p>
    <w:p w:rsidR="00A512C6" w:rsidRPr="00945A8E" w:rsidRDefault="00D7758B"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The acceptance of the payment was sent in 8 Aprilie 2016 and the financi</w:t>
      </w:r>
      <w:r w:rsidR="00F32980">
        <w:rPr>
          <w:rFonts w:asciiTheme="majorHAnsi" w:eastAsia="Calibri" w:hAnsiTheme="majorHAnsi" w:cs="Times New Roman"/>
          <w:sz w:val="24"/>
          <w:szCs w:val="24"/>
          <w:lang w:val="ro-RO"/>
        </w:rPr>
        <w:t>al correc</w:t>
      </w:r>
      <w:r>
        <w:rPr>
          <w:rFonts w:asciiTheme="majorHAnsi" w:eastAsia="Calibri" w:hAnsiTheme="majorHAnsi" w:cs="Times New Roman"/>
          <w:sz w:val="24"/>
          <w:szCs w:val="24"/>
          <w:lang w:val="ro-RO"/>
        </w:rPr>
        <w:t>tion of 5% was rejected;</w:t>
      </w:r>
    </w:p>
    <w:p w:rsidR="00D7758B" w:rsidRDefault="00D92360"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Collaboration in the preparation of the </w:t>
      </w:r>
      <w:r w:rsidR="00F32980">
        <w:rPr>
          <w:rFonts w:asciiTheme="majorHAnsi" w:eastAsia="Calibri" w:hAnsiTheme="majorHAnsi" w:cs="Times New Roman"/>
          <w:sz w:val="24"/>
          <w:szCs w:val="24"/>
          <w:lang w:val="ro-RO"/>
        </w:rPr>
        <w:t>Report for the sustainability of the project;</w:t>
      </w:r>
    </w:p>
    <w:p w:rsidR="00F32980" w:rsidRDefault="00455D11"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To settle, as for the amendments/relocations of equipments related to the SCADA system, following the discussions with the OIE representatives, that together with the annual report notifications to be sent if there are modifications in the SCADA system. </w:t>
      </w:r>
    </w:p>
    <w:p w:rsidR="008D13E3" w:rsidRPr="00322BD0" w:rsidRDefault="008D13E3" w:rsidP="008D13E3">
      <w:pPr>
        <w:spacing w:after="0" w:line="240" w:lineRule="auto"/>
        <w:ind w:firstLine="0"/>
        <w:jc w:val="both"/>
        <w:rPr>
          <w:rFonts w:ascii="Cambria" w:eastAsia="Times New Roman" w:hAnsi="Cambria" w:cs="Arial"/>
          <w:iCs/>
          <w:color w:val="FF0000"/>
          <w:sz w:val="24"/>
          <w:szCs w:val="24"/>
          <w:lang w:val="en-GB"/>
        </w:rPr>
      </w:pPr>
    </w:p>
    <w:p w:rsidR="008D13E3" w:rsidRPr="0081317F" w:rsidRDefault="00055568" w:rsidP="008D13E3">
      <w:pPr>
        <w:spacing w:after="0" w:line="240" w:lineRule="auto"/>
        <w:ind w:firstLine="0"/>
        <w:jc w:val="both"/>
        <w:rPr>
          <w:rFonts w:asciiTheme="majorHAnsi" w:eastAsia="Times New Roman" w:hAnsiTheme="majorHAnsi" w:cs="Arial"/>
          <w:i/>
          <w:iCs/>
          <w:sz w:val="24"/>
          <w:szCs w:val="24"/>
          <w:u w:val="single"/>
          <w:lang w:val="en-GB"/>
        </w:rPr>
      </w:pPr>
      <w:r w:rsidRPr="0081317F">
        <w:rPr>
          <w:rFonts w:asciiTheme="majorHAnsi" w:eastAsia="Times New Roman" w:hAnsiTheme="majorHAnsi" w:cs="Arial"/>
          <w:i/>
          <w:iCs/>
          <w:sz w:val="24"/>
          <w:szCs w:val="24"/>
          <w:u w:val="single"/>
          <w:lang w:val="en-GB"/>
        </w:rPr>
        <w:t xml:space="preserve">The Automation, monitoring, data transmission – the </w:t>
      </w:r>
      <w:r w:rsidR="008D13E3" w:rsidRPr="0081317F">
        <w:rPr>
          <w:rFonts w:asciiTheme="majorHAnsi" w:eastAsia="Times New Roman" w:hAnsiTheme="majorHAnsi" w:cs="Arial"/>
          <w:i/>
          <w:iCs/>
          <w:sz w:val="24"/>
          <w:szCs w:val="24"/>
          <w:u w:val="single"/>
          <w:lang w:val="en-GB"/>
        </w:rPr>
        <w:t>Iași-Ungheni</w:t>
      </w:r>
      <w:r w:rsidRPr="0081317F">
        <w:rPr>
          <w:rFonts w:asciiTheme="majorHAnsi" w:eastAsia="Times New Roman" w:hAnsiTheme="majorHAnsi" w:cs="Arial"/>
          <w:i/>
          <w:iCs/>
          <w:sz w:val="24"/>
          <w:szCs w:val="24"/>
          <w:u w:val="single"/>
          <w:lang w:val="en-GB"/>
        </w:rPr>
        <w:t xml:space="preserve"> pipeline Project</w:t>
      </w:r>
    </w:p>
    <w:p w:rsidR="00A512C6" w:rsidRPr="0081317F" w:rsidRDefault="00455D11" w:rsidP="008D13E3">
      <w:pPr>
        <w:spacing w:after="0" w:line="240" w:lineRule="auto"/>
        <w:ind w:firstLine="0"/>
        <w:jc w:val="both"/>
        <w:rPr>
          <w:rFonts w:asciiTheme="majorHAnsi" w:eastAsia="Times New Roman" w:hAnsiTheme="majorHAnsi" w:cs="Arial"/>
          <w:i/>
          <w:iCs/>
          <w:sz w:val="24"/>
          <w:szCs w:val="24"/>
          <w:u w:val="single"/>
          <w:lang w:val="ro-RO"/>
        </w:rPr>
      </w:pPr>
      <w:r w:rsidRPr="0081317F">
        <w:rPr>
          <w:rFonts w:asciiTheme="majorHAnsi" w:eastAsia="Times New Roman" w:hAnsiTheme="majorHAnsi" w:cs="Arial"/>
          <w:i/>
          <w:iCs/>
          <w:sz w:val="24"/>
          <w:szCs w:val="24"/>
          <w:u w:val="single"/>
          <w:lang w:val="ro-RO"/>
        </w:rPr>
        <w:t xml:space="preserve">Consultancy granted by TRANSGAZ to the National Agency for Mineral Resources (ANRM) </w:t>
      </w:r>
      <w:r w:rsidR="00D62CCE" w:rsidRPr="0081317F">
        <w:rPr>
          <w:rFonts w:asciiTheme="majorHAnsi" w:eastAsia="Times New Roman" w:hAnsiTheme="majorHAnsi" w:cs="Arial"/>
          <w:i/>
          <w:iCs/>
          <w:sz w:val="24"/>
          <w:szCs w:val="24"/>
          <w:u w:val="single"/>
          <w:lang w:val="ro-RO"/>
        </w:rPr>
        <w:t xml:space="preserve">based on the Association Protocol. </w:t>
      </w:r>
    </w:p>
    <w:p w:rsidR="008D13E3" w:rsidRPr="00322BD0" w:rsidRDefault="008C5870" w:rsidP="00FA6EB9">
      <w:pPr>
        <w:numPr>
          <w:ilvl w:val="0"/>
          <w:numId w:val="30"/>
        </w:numPr>
        <w:spacing w:after="0" w:line="240" w:lineRule="auto"/>
        <w:ind w:left="538" w:hanging="357"/>
        <w:jc w:val="both"/>
        <w:rPr>
          <w:rFonts w:asciiTheme="majorHAnsi" w:eastAsia="Times New Roman" w:hAnsiTheme="majorHAnsi" w:cs="Arial"/>
          <w:iCs/>
          <w:sz w:val="24"/>
          <w:szCs w:val="24"/>
          <w:lang w:val="en-GB"/>
        </w:rPr>
      </w:pPr>
      <w:r w:rsidRPr="00322BD0">
        <w:rPr>
          <w:rFonts w:asciiTheme="majorHAnsi" w:eastAsia="Times New Roman" w:hAnsiTheme="majorHAnsi" w:cs="Arial"/>
          <w:iCs/>
          <w:sz w:val="24"/>
          <w:szCs w:val="24"/>
          <w:lang w:val="en-GB"/>
        </w:rPr>
        <w:t>Participation in the project management team from</w:t>
      </w:r>
      <w:r w:rsidR="008D13E3" w:rsidRPr="00322BD0">
        <w:rPr>
          <w:rFonts w:asciiTheme="majorHAnsi" w:eastAsia="Times New Roman" w:hAnsiTheme="majorHAnsi" w:cs="Arial"/>
          <w:iCs/>
          <w:sz w:val="24"/>
          <w:szCs w:val="24"/>
          <w:lang w:val="en-GB"/>
        </w:rPr>
        <w:t xml:space="preserve"> Transgaz;</w:t>
      </w:r>
    </w:p>
    <w:p w:rsidR="008D13E3" w:rsidRPr="00322BD0" w:rsidRDefault="008C5870" w:rsidP="00FA6EB9">
      <w:pPr>
        <w:numPr>
          <w:ilvl w:val="0"/>
          <w:numId w:val="30"/>
        </w:numPr>
        <w:spacing w:after="0" w:line="240" w:lineRule="auto"/>
        <w:ind w:left="538" w:hanging="357"/>
        <w:jc w:val="both"/>
        <w:rPr>
          <w:rFonts w:asciiTheme="majorHAnsi" w:eastAsia="Times New Roman" w:hAnsiTheme="majorHAnsi" w:cs="Arial"/>
          <w:iCs/>
          <w:sz w:val="24"/>
          <w:szCs w:val="24"/>
          <w:lang w:val="en-GB"/>
        </w:rPr>
      </w:pPr>
      <w:r w:rsidRPr="00322BD0">
        <w:rPr>
          <w:rFonts w:asciiTheme="majorHAnsi" w:eastAsia="Times New Roman" w:hAnsiTheme="majorHAnsi" w:cs="Arial"/>
          <w:iCs/>
          <w:sz w:val="24"/>
          <w:szCs w:val="24"/>
          <w:lang w:val="en-GB"/>
        </w:rPr>
        <w:t xml:space="preserve">Monitoring preparation of technical project of the </w:t>
      </w:r>
      <w:r w:rsidR="009E518F" w:rsidRPr="00322BD0">
        <w:rPr>
          <w:rFonts w:asciiTheme="majorHAnsi" w:eastAsia="Times New Roman" w:hAnsiTheme="majorHAnsi" w:cs="Arial"/>
          <w:iCs/>
          <w:sz w:val="24"/>
          <w:szCs w:val="24"/>
          <w:lang w:val="en-GB"/>
        </w:rPr>
        <w:t>investment</w:t>
      </w:r>
      <w:r w:rsidR="008D13E3" w:rsidRPr="00322BD0">
        <w:rPr>
          <w:rFonts w:asciiTheme="majorHAnsi" w:eastAsia="Times New Roman" w:hAnsiTheme="majorHAnsi" w:cs="Arial"/>
          <w:iCs/>
          <w:sz w:val="24"/>
          <w:szCs w:val="24"/>
          <w:lang w:val="en-GB"/>
        </w:rPr>
        <w:t>;</w:t>
      </w:r>
    </w:p>
    <w:p w:rsidR="008D13E3" w:rsidRPr="00322BD0" w:rsidRDefault="008C5870" w:rsidP="00FA6EB9">
      <w:pPr>
        <w:numPr>
          <w:ilvl w:val="0"/>
          <w:numId w:val="30"/>
        </w:numPr>
        <w:spacing w:after="0" w:line="240" w:lineRule="auto"/>
        <w:ind w:left="538" w:hanging="357"/>
        <w:jc w:val="both"/>
        <w:rPr>
          <w:rFonts w:asciiTheme="majorHAnsi" w:eastAsia="Times New Roman" w:hAnsiTheme="majorHAnsi" w:cs="Arial"/>
          <w:iCs/>
          <w:sz w:val="24"/>
          <w:szCs w:val="24"/>
          <w:lang w:val="en-GB"/>
        </w:rPr>
      </w:pPr>
      <w:r w:rsidRPr="00322BD0">
        <w:rPr>
          <w:rFonts w:asciiTheme="majorHAnsi" w:eastAsia="Times New Roman" w:hAnsiTheme="majorHAnsi" w:cs="Arial"/>
          <w:iCs/>
          <w:sz w:val="24"/>
          <w:szCs w:val="24"/>
          <w:lang w:val="en-GB"/>
        </w:rPr>
        <w:t>ANRM (the beneficiary of the investment) project management team  technical and specialist assistance</w:t>
      </w:r>
      <w:r w:rsidR="008D13E3" w:rsidRPr="00322BD0">
        <w:rPr>
          <w:rFonts w:asciiTheme="majorHAnsi" w:eastAsia="Times New Roman" w:hAnsiTheme="majorHAnsi" w:cs="Arial"/>
          <w:iCs/>
          <w:sz w:val="24"/>
          <w:szCs w:val="24"/>
          <w:lang w:val="en-GB"/>
        </w:rPr>
        <w:t>;</w:t>
      </w:r>
    </w:p>
    <w:p w:rsidR="008D13E3" w:rsidRDefault="00291596" w:rsidP="00FA6EB9">
      <w:pPr>
        <w:numPr>
          <w:ilvl w:val="0"/>
          <w:numId w:val="30"/>
        </w:numPr>
        <w:spacing w:after="0" w:line="240" w:lineRule="auto"/>
        <w:ind w:left="538" w:hanging="357"/>
        <w:rPr>
          <w:rFonts w:asciiTheme="majorHAnsi" w:eastAsia="Times New Roman" w:hAnsiTheme="majorHAnsi" w:cs="Arial"/>
          <w:iCs/>
          <w:sz w:val="24"/>
          <w:szCs w:val="24"/>
          <w:lang w:val="en-GB"/>
        </w:rPr>
      </w:pPr>
      <w:r w:rsidRPr="00322BD0">
        <w:rPr>
          <w:rFonts w:asciiTheme="majorHAnsi" w:eastAsia="Times New Roman" w:hAnsiTheme="majorHAnsi" w:cs="Arial"/>
          <w:iCs/>
          <w:sz w:val="24"/>
          <w:szCs w:val="24"/>
          <w:lang w:val="en-GB"/>
        </w:rPr>
        <w:t>Actual monitoring of invest implementation</w:t>
      </w:r>
      <w:r w:rsidR="008D13E3" w:rsidRPr="00322BD0">
        <w:rPr>
          <w:rFonts w:asciiTheme="majorHAnsi" w:eastAsia="Times New Roman" w:hAnsiTheme="majorHAnsi" w:cs="Arial"/>
          <w:iCs/>
          <w:sz w:val="24"/>
          <w:szCs w:val="24"/>
          <w:lang w:val="en-GB"/>
        </w:rPr>
        <w:t xml:space="preserve"> </w:t>
      </w:r>
      <w:r w:rsidRPr="00322BD0">
        <w:rPr>
          <w:rFonts w:asciiTheme="majorHAnsi" w:eastAsia="Times New Roman" w:hAnsiTheme="majorHAnsi" w:cs="Arial"/>
          <w:iCs/>
          <w:sz w:val="24"/>
          <w:szCs w:val="24"/>
          <w:lang w:val="en-GB"/>
        </w:rPr>
        <w:t>with permanent presence at the site during the execution of the works</w:t>
      </w:r>
      <w:r w:rsidR="008D13E3" w:rsidRPr="00322BD0">
        <w:rPr>
          <w:rFonts w:asciiTheme="majorHAnsi" w:eastAsia="Times New Roman" w:hAnsiTheme="majorHAnsi" w:cs="Arial"/>
          <w:iCs/>
          <w:sz w:val="24"/>
          <w:szCs w:val="24"/>
          <w:lang w:val="en-GB"/>
        </w:rPr>
        <w:t>.</w:t>
      </w:r>
    </w:p>
    <w:p w:rsidR="0045676C" w:rsidRDefault="0045676C"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Performance of the preparatory tests in view of the final acceptance;</w:t>
      </w:r>
    </w:p>
    <w:p w:rsidR="0045676C" w:rsidRDefault="0045676C"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The execution of the 72 hours tests and the final acceptance of the works;</w:t>
      </w:r>
    </w:p>
    <w:p w:rsidR="00A512C6" w:rsidRPr="0045676C" w:rsidRDefault="0045676C" w:rsidP="00FA6EB9">
      <w:pPr>
        <w:numPr>
          <w:ilvl w:val="0"/>
          <w:numId w:val="30"/>
        </w:numPr>
        <w:spacing w:after="0" w:line="240" w:lineRule="auto"/>
        <w:contextualSpacing/>
        <w:jc w:val="both"/>
        <w:rPr>
          <w:rFonts w:asciiTheme="majorHAnsi" w:eastAsia="Calibri" w:hAnsiTheme="majorHAnsi" w:cs="Times New Roman"/>
          <w:sz w:val="24"/>
          <w:szCs w:val="24"/>
          <w:lang w:val="ro-RO"/>
        </w:rPr>
      </w:pPr>
      <w:r>
        <w:rPr>
          <w:rFonts w:asciiTheme="majorHAnsi" w:eastAsia="Calibri" w:hAnsiTheme="majorHAnsi" w:cs="Times New Roman"/>
          <w:sz w:val="24"/>
          <w:szCs w:val="24"/>
          <w:lang w:val="ro-RO"/>
        </w:rPr>
        <w:t xml:space="preserve">The integration of the automation in the SCADA system. </w:t>
      </w:r>
    </w:p>
    <w:p w:rsidR="00237A06" w:rsidRPr="00322BD0" w:rsidRDefault="00237A06" w:rsidP="008D13E3">
      <w:pPr>
        <w:spacing w:after="0" w:line="240" w:lineRule="auto"/>
        <w:ind w:left="540" w:firstLine="0"/>
        <w:jc w:val="both"/>
        <w:rPr>
          <w:rStyle w:val="ln2tpreambul1"/>
          <w:rFonts w:asciiTheme="majorHAnsi" w:hAnsiTheme="majorHAnsi" w:cs="Arial"/>
          <w:i w:val="0"/>
          <w:sz w:val="24"/>
          <w:szCs w:val="24"/>
          <w:lang w:val="en-GB"/>
        </w:rPr>
      </w:pPr>
    </w:p>
    <w:p w:rsidR="00C125C7" w:rsidRPr="00322BD0" w:rsidRDefault="0045676C" w:rsidP="00323FDD">
      <w:pPr>
        <w:spacing w:after="0" w:line="240" w:lineRule="auto"/>
        <w:ind w:firstLine="0"/>
        <w:jc w:val="both"/>
        <w:rPr>
          <w:rStyle w:val="ln2tpreambul1"/>
          <w:rFonts w:asciiTheme="majorHAnsi" w:hAnsiTheme="majorHAnsi" w:cs="Arial"/>
          <w:b/>
          <w:i w:val="0"/>
          <w:sz w:val="24"/>
          <w:szCs w:val="24"/>
          <w:lang w:val="en-GB"/>
        </w:rPr>
      </w:pPr>
      <w:r>
        <w:rPr>
          <w:rStyle w:val="ln2tpreambul1"/>
          <w:rFonts w:asciiTheme="majorHAnsi" w:hAnsiTheme="majorHAnsi" w:cs="Arial"/>
          <w:b/>
          <w:i w:val="0"/>
          <w:sz w:val="24"/>
          <w:szCs w:val="24"/>
          <w:lang w:val="en-GB"/>
        </w:rPr>
        <w:t xml:space="preserve">In order </w:t>
      </w:r>
      <w:r w:rsidRPr="0081317F">
        <w:rPr>
          <w:rStyle w:val="ln2tpreambul1"/>
          <w:rFonts w:asciiTheme="majorHAnsi" w:hAnsiTheme="majorHAnsi" w:cs="Arial"/>
          <w:b/>
          <w:i w:val="0"/>
          <w:sz w:val="24"/>
          <w:szCs w:val="24"/>
          <w:u w:val="single"/>
          <w:lang w:val="en-GB"/>
        </w:rPr>
        <w:t>to absorb</w:t>
      </w:r>
      <w:r w:rsidR="00C125C7" w:rsidRPr="0081317F">
        <w:rPr>
          <w:rStyle w:val="ln2tpreambul1"/>
          <w:rFonts w:asciiTheme="majorHAnsi" w:hAnsiTheme="majorHAnsi" w:cs="Arial"/>
          <w:b/>
          <w:i w:val="0"/>
          <w:sz w:val="24"/>
          <w:szCs w:val="24"/>
          <w:u w:val="single"/>
          <w:lang w:val="en-GB"/>
        </w:rPr>
        <w:t xml:space="preserve"> new funding</w:t>
      </w:r>
      <w:r w:rsidR="00C125C7" w:rsidRPr="00322BD0">
        <w:rPr>
          <w:rStyle w:val="ln2tpreambul1"/>
          <w:rFonts w:asciiTheme="majorHAnsi" w:hAnsiTheme="majorHAnsi" w:cs="Arial"/>
          <w:b/>
          <w:i w:val="0"/>
          <w:sz w:val="24"/>
          <w:szCs w:val="24"/>
          <w:lang w:val="en-GB"/>
        </w:rPr>
        <w:t xml:space="preserve"> for TRANSGAZ' projects, the following activities were performed:</w:t>
      </w:r>
    </w:p>
    <w:p w:rsidR="00323FDD" w:rsidRPr="00322BD0" w:rsidRDefault="00323FDD" w:rsidP="00323FDD">
      <w:pPr>
        <w:spacing w:after="0" w:line="240" w:lineRule="auto"/>
        <w:ind w:firstLine="0"/>
        <w:jc w:val="both"/>
        <w:rPr>
          <w:rStyle w:val="ln2tpreambul1"/>
          <w:rFonts w:asciiTheme="majorHAnsi" w:hAnsiTheme="majorHAnsi" w:cs="Arial"/>
          <w:i w:val="0"/>
          <w:sz w:val="24"/>
          <w:szCs w:val="24"/>
          <w:u w:val="single"/>
          <w:lang w:val="en-GB"/>
        </w:rPr>
      </w:pPr>
    </w:p>
    <w:p w:rsidR="00C125C7" w:rsidRPr="00322BD0" w:rsidRDefault="00C125C7" w:rsidP="00FA6EB9">
      <w:pPr>
        <w:numPr>
          <w:ilvl w:val="0"/>
          <w:numId w:val="19"/>
        </w:numPr>
        <w:spacing w:after="0" w:line="240" w:lineRule="auto"/>
        <w:jc w:val="both"/>
        <w:rPr>
          <w:rStyle w:val="ln2tpreambul1"/>
          <w:rFonts w:asciiTheme="majorHAnsi" w:hAnsiTheme="majorHAnsi" w:cs="Arial"/>
          <w:i w:val="0"/>
          <w:sz w:val="24"/>
          <w:szCs w:val="24"/>
          <w:lang w:val="en-GB"/>
        </w:rPr>
      </w:pPr>
      <w:r w:rsidRPr="00322BD0">
        <w:rPr>
          <w:rStyle w:val="ln2tpreambul1"/>
          <w:rFonts w:asciiTheme="majorHAnsi" w:hAnsiTheme="majorHAnsi" w:cs="Arial"/>
          <w:i w:val="0"/>
          <w:sz w:val="24"/>
          <w:szCs w:val="24"/>
          <w:lang w:val="en-GB"/>
        </w:rPr>
        <w:t xml:space="preserve">Identification of the priority axis in the Financing programs  2014 – 2020, for which TRANSGAZ could </w:t>
      </w:r>
      <w:r w:rsidR="009E518F" w:rsidRPr="00322BD0">
        <w:rPr>
          <w:rStyle w:val="ln2tpreambul1"/>
          <w:rFonts w:asciiTheme="majorHAnsi" w:hAnsiTheme="majorHAnsi" w:cs="Arial"/>
          <w:i w:val="0"/>
          <w:sz w:val="24"/>
          <w:szCs w:val="24"/>
          <w:lang w:val="en-GB"/>
        </w:rPr>
        <w:t>submit</w:t>
      </w:r>
      <w:r w:rsidRPr="00322BD0">
        <w:rPr>
          <w:rStyle w:val="ln2tpreambul1"/>
          <w:rFonts w:asciiTheme="majorHAnsi" w:hAnsiTheme="majorHAnsi" w:cs="Arial"/>
          <w:i w:val="0"/>
          <w:sz w:val="24"/>
          <w:szCs w:val="24"/>
          <w:lang w:val="en-GB"/>
        </w:rPr>
        <w:t xml:space="preserve"> Financing Requests and which will be achieved after the opening of these programs and the publication of the Applicants' Guides;</w:t>
      </w:r>
    </w:p>
    <w:p w:rsidR="0028731E" w:rsidRPr="00322BD0" w:rsidRDefault="00B6774C" w:rsidP="00FA6EB9">
      <w:pPr>
        <w:numPr>
          <w:ilvl w:val="0"/>
          <w:numId w:val="19"/>
        </w:numPr>
        <w:spacing w:after="0" w:line="240" w:lineRule="auto"/>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 xml:space="preserve">Submitting to the Ministry of the European Funds of the proposals for the completion of the applicants’ guide referring to the LIOP Large </w:t>
      </w:r>
      <w:r w:rsidR="009E518F" w:rsidRPr="00322BD0">
        <w:rPr>
          <w:rFonts w:ascii="Cambria" w:eastAsia="Times New Roman" w:hAnsi="Cambria" w:cs="Arial"/>
          <w:iCs/>
          <w:sz w:val="24"/>
          <w:szCs w:val="24"/>
          <w:lang w:val="en-GB"/>
        </w:rPr>
        <w:t>Infrastructure</w:t>
      </w:r>
      <w:r w:rsidRPr="00322BD0">
        <w:rPr>
          <w:rFonts w:ascii="Cambria" w:eastAsia="Times New Roman" w:hAnsi="Cambria" w:cs="Arial"/>
          <w:iCs/>
          <w:sz w:val="24"/>
          <w:szCs w:val="24"/>
          <w:lang w:val="en-GB"/>
        </w:rPr>
        <w:t xml:space="preserve"> Operational Programme</w:t>
      </w:r>
      <w:r w:rsidR="0028731E" w:rsidRPr="00322BD0">
        <w:rPr>
          <w:rFonts w:ascii="Cambria" w:eastAsia="Times New Roman" w:hAnsi="Cambria" w:cs="Arial"/>
          <w:iCs/>
          <w:sz w:val="24"/>
          <w:szCs w:val="24"/>
          <w:lang w:val="en-GB"/>
        </w:rPr>
        <w:t xml:space="preserve"> (</w:t>
      </w:r>
      <w:r w:rsidRPr="00322BD0">
        <w:rPr>
          <w:rFonts w:ascii="Cambria" w:eastAsia="Times New Roman" w:hAnsi="Cambria" w:cs="Arial"/>
          <w:iCs/>
          <w:sz w:val="24"/>
          <w:szCs w:val="24"/>
          <w:lang w:val="en-GB"/>
        </w:rPr>
        <w:t>during the public consultation</w:t>
      </w:r>
      <w:r w:rsidR="0028731E" w:rsidRPr="00322BD0">
        <w:rPr>
          <w:rFonts w:ascii="Cambria" w:eastAsia="Times New Roman" w:hAnsi="Cambria" w:cs="Arial"/>
          <w:iCs/>
          <w:sz w:val="24"/>
          <w:szCs w:val="24"/>
          <w:lang w:val="en-GB"/>
        </w:rPr>
        <w:t>);</w:t>
      </w:r>
    </w:p>
    <w:p w:rsidR="0028731E" w:rsidRPr="00322BD0" w:rsidRDefault="00FE6BF8" w:rsidP="00FA6EB9">
      <w:pPr>
        <w:numPr>
          <w:ilvl w:val="0"/>
          <w:numId w:val="19"/>
        </w:numPr>
        <w:spacing w:after="0" w:line="240" w:lineRule="auto"/>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 xml:space="preserve">Submitting information to the TRANSGAZ  division/unit management </w:t>
      </w:r>
      <w:r w:rsidR="0028731E" w:rsidRPr="00322BD0">
        <w:rPr>
          <w:rFonts w:ascii="Cambria" w:eastAsia="Times New Roman" w:hAnsi="Cambria" w:cs="Arial"/>
          <w:iCs/>
          <w:sz w:val="24"/>
          <w:szCs w:val="24"/>
          <w:lang w:val="en-GB"/>
        </w:rPr>
        <w:t xml:space="preserve"> </w:t>
      </w:r>
      <w:r w:rsidRPr="00322BD0">
        <w:rPr>
          <w:rFonts w:ascii="Cambria" w:eastAsia="Times New Roman" w:hAnsi="Cambria" w:cs="Arial"/>
          <w:iCs/>
          <w:sz w:val="24"/>
          <w:szCs w:val="24"/>
          <w:lang w:val="en-GB"/>
        </w:rPr>
        <w:t>on the financing opportunities through the Competitiveness Operational Programme</w:t>
      </w:r>
      <w:r w:rsidR="0028731E" w:rsidRPr="00322BD0">
        <w:rPr>
          <w:rFonts w:ascii="Cambria" w:eastAsia="Times New Roman" w:hAnsi="Cambria" w:cs="Arial"/>
          <w:iCs/>
          <w:sz w:val="24"/>
          <w:szCs w:val="24"/>
          <w:lang w:val="en-GB"/>
        </w:rPr>
        <w:t xml:space="preserve">, </w:t>
      </w:r>
      <w:r w:rsidRPr="00322BD0">
        <w:rPr>
          <w:rFonts w:ascii="Cambria" w:eastAsia="Times New Roman" w:hAnsi="Cambria" w:cs="Arial"/>
          <w:iCs/>
          <w:sz w:val="24"/>
          <w:szCs w:val="24"/>
          <w:lang w:val="en-GB"/>
        </w:rPr>
        <w:t xml:space="preserve">for correlating its provisions with the Development and Research Programme of </w:t>
      </w:r>
      <w:r w:rsidR="0028731E" w:rsidRPr="00322BD0">
        <w:rPr>
          <w:rFonts w:ascii="Cambria" w:eastAsia="Times New Roman" w:hAnsi="Cambria" w:cs="Arial"/>
          <w:iCs/>
          <w:sz w:val="24"/>
          <w:szCs w:val="24"/>
          <w:lang w:val="en-GB"/>
        </w:rPr>
        <w:t xml:space="preserve">TRANSGAZ </w:t>
      </w:r>
      <w:r w:rsidRPr="00322BD0">
        <w:rPr>
          <w:rFonts w:ascii="Cambria" w:eastAsia="Times New Roman" w:hAnsi="Cambria" w:cs="Arial"/>
          <w:iCs/>
          <w:sz w:val="24"/>
          <w:szCs w:val="24"/>
          <w:lang w:val="en-GB"/>
        </w:rPr>
        <w:t>and promoting own investment objectives</w:t>
      </w:r>
      <w:r w:rsidR="0028731E" w:rsidRPr="00322BD0">
        <w:rPr>
          <w:rFonts w:ascii="Cambria" w:eastAsia="Times New Roman" w:hAnsi="Cambria" w:cs="Arial"/>
          <w:iCs/>
          <w:sz w:val="24"/>
          <w:szCs w:val="24"/>
          <w:lang w:val="en-GB"/>
        </w:rPr>
        <w:t>;</w:t>
      </w:r>
    </w:p>
    <w:p w:rsidR="00274375" w:rsidRPr="00322BD0" w:rsidRDefault="00FE6BF8" w:rsidP="00FA6EB9">
      <w:pPr>
        <w:numPr>
          <w:ilvl w:val="0"/>
          <w:numId w:val="19"/>
        </w:numPr>
        <w:spacing w:after="0" w:line="240" w:lineRule="auto"/>
        <w:jc w:val="both"/>
        <w:rPr>
          <w:rStyle w:val="ln2tpreambul1"/>
          <w:rFonts w:asciiTheme="majorHAnsi" w:hAnsiTheme="majorHAnsi" w:cs="Arial"/>
          <w:i w:val="0"/>
          <w:sz w:val="24"/>
          <w:szCs w:val="24"/>
          <w:lang w:val="en-GB"/>
        </w:rPr>
      </w:pPr>
      <w:r w:rsidRPr="00322BD0">
        <w:rPr>
          <w:rFonts w:ascii="Cambria" w:eastAsia="Times New Roman" w:hAnsi="Cambria" w:cs="Arial"/>
          <w:iCs/>
          <w:sz w:val="24"/>
          <w:szCs w:val="24"/>
          <w:lang w:val="en-GB"/>
        </w:rPr>
        <w:t>Initiation of actions regarding additional</w:t>
      </w:r>
      <w:r w:rsidR="00963941" w:rsidRPr="00322BD0">
        <w:rPr>
          <w:rFonts w:ascii="Cambria" w:eastAsia="Times New Roman" w:hAnsi="Cambria" w:cs="Arial"/>
          <w:iCs/>
          <w:sz w:val="24"/>
          <w:szCs w:val="24"/>
          <w:lang w:val="en-GB"/>
        </w:rPr>
        <w:t xml:space="preserve"> </w:t>
      </w:r>
      <w:r w:rsidR="00274375" w:rsidRPr="00322BD0">
        <w:rPr>
          <w:rStyle w:val="ln2tpreambul1"/>
          <w:rFonts w:asciiTheme="majorHAnsi" w:hAnsiTheme="majorHAnsi" w:cs="Arial"/>
          <w:i w:val="0"/>
          <w:sz w:val="24"/>
          <w:szCs w:val="24"/>
          <w:lang w:val="en-GB"/>
        </w:rPr>
        <w:t xml:space="preserve">allocation of funds in the financial years 2014–2020, for the gas transmission sector through the </w:t>
      </w:r>
      <w:r w:rsidR="00963941" w:rsidRPr="00322BD0">
        <w:rPr>
          <w:rStyle w:val="ln2tpreambul1"/>
          <w:rFonts w:asciiTheme="majorHAnsi" w:hAnsiTheme="majorHAnsi" w:cs="Arial"/>
          <w:i w:val="0"/>
          <w:sz w:val="24"/>
          <w:szCs w:val="24"/>
          <w:lang w:val="en-GB"/>
        </w:rPr>
        <w:t>LIOP</w:t>
      </w:r>
      <w:r w:rsidR="00274375" w:rsidRPr="00322BD0">
        <w:rPr>
          <w:rStyle w:val="ln2tpreambul1"/>
          <w:rFonts w:asciiTheme="majorHAnsi" w:hAnsiTheme="majorHAnsi" w:cs="Arial"/>
          <w:i w:val="0"/>
          <w:sz w:val="24"/>
          <w:szCs w:val="24"/>
          <w:lang w:val="en-GB"/>
        </w:rPr>
        <w:t>;</w:t>
      </w:r>
    </w:p>
    <w:p w:rsidR="00C35FDC" w:rsidRPr="00322BD0" w:rsidRDefault="00C35FDC" w:rsidP="00FA6EB9">
      <w:pPr>
        <w:numPr>
          <w:ilvl w:val="0"/>
          <w:numId w:val="19"/>
        </w:numPr>
        <w:spacing w:after="0" w:line="240" w:lineRule="auto"/>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lastRenderedPageBreak/>
        <w:t>Supporting and promoting the project regarding the NTS developments in North East Romania for enhancing gas supply to the region  and ensuring transmission capacities to Moldavia, for financing through LIOP;</w:t>
      </w:r>
    </w:p>
    <w:p w:rsidR="00C35FDC" w:rsidRPr="00322BD0" w:rsidRDefault="007777F3" w:rsidP="00FA6EB9">
      <w:pPr>
        <w:numPr>
          <w:ilvl w:val="0"/>
          <w:numId w:val="19"/>
        </w:numPr>
        <w:spacing w:after="0" w:line="240" w:lineRule="auto"/>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 xml:space="preserve">Preparation of notifications for all </w:t>
      </w:r>
      <w:r w:rsidR="00C35FDC" w:rsidRPr="00322BD0">
        <w:rPr>
          <w:rFonts w:ascii="Cambria" w:eastAsia="Times New Roman" w:hAnsi="Cambria" w:cs="Arial"/>
          <w:iCs/>
          <w:sz w:val="24"/>
          <w:szCs w:val="24"/>
          <w:lang w:val="en-GB"/>
        </w:rPr>
        <w:t>TRANSGAZ</w:t>
      </w:r>
      <w:r w:rsidRPr="00322BD0">
        <w:rPr>
          <w:rFonts w:ascii="Cambria" w:eastAsia="Times New Roman" w:hAnsi="Cambria" w:cs="Arial"/>
          <w:iCs/>
          <w:sz w:val="24"/>
          <w:szCs w:val="24"/>
          <w:lang w:val="en-GB"/>
        </w:rPr>
        <w:t xml:space="preserve"> departments regarding European grant obtaining conditions and criteria</w:t>
      </w:r>
      <w:r w:rsidR="00C35FDC" w:rsidRPr="00322BD0">
        <w:rPr>
          <w:rFonts w:ascii="Cambria" w:eastAsia="Times New Roman" w:hAnsi="Cambria" w:cs="Arial"/>
          <w:iCs/>
          <w:sz w:val="24"/>
          <w:szCs w:val="24"/>
          <w:lang w:val="en-GB"/>
        </w:rPr>
        <w:t xml:space="preserve">, </w:t>
      </w:r>
      <w:r w:rsidRPr="00322BD0">
        <w:rPr>
          <w:rFonts w:ascii="Cambria" w:eastAsia="Times New Roman" w:hAnsi="Cambria" w:cs="Arial"/>
          <w:iCs/>
          <w:sz w:val="24"/>
          <w:szCs w:val="24"/>
          <w:lang w:val="en-GB"/>
        </w:rPr>
        <w:t xml:space="preserve">enabling identification and communication to the EU Funds Department of the potentially </w:t>
      </w:r>
      <w:r w:rsidR="009E518F" w:rsidRPr="00322BD0">
        <w:rPr>
          <w:rFonts w:ascii="Cambria" w:eastAsia="Times New Roman" w:hAnsi="Cambria" w:cs="Arial"/>
          <w:iCs/>
          <w:sz w:val="24"/>
          <w:szCs w:val="24"/>
          <w:lang w:val="en-GB"/>
        </w:rPr>
        <w:t>financeable</w:t>
      </w:r>
      <w:r w:rsidRPr="00322BD0">
        <w:rPr>
          <w:rFonts w:ascii="Cambria" w:eastAsia="Times New Roman" w:hAnsi="Cambria" w:cs="Arial"/>
          <w:iCs/>
          <w:sz w:val="24"/>
          <w:szCs w:val="24"/>
          <w:lang w:val="en-GB"/>
        </w:rPr>
        <w:t xml:space="preserve"> projects</w:t>
      </w:r>
      <w:r w:rsidR="00C35FDC" w:rsidRPr="00322BD0">
        <w:rPr>
          <w:rFonts w:ascii="Cambria" w:eastAsia="Times New Roman" w:hAnsi="Cambria" w:cs="Arial"/>
          <w:iCs/>
          <w:sz w:val="24"/>
          <w:szCs w:val="24"/>
          <w:lang w:val="en-GB"/>
        </w:rPr>
        <w:t>;</w:t>
      </w:r>
    </w:p>
    <w:p w:rsidR="00C35FDC" w:rsidRPr="00322BD0" w:rsidRDefault="00D77E75" w:rsidP="00FA6EB9">
      <w:pPr>
        <w:numPr>
          <w:ilvl w:val="0"/>
          <w:numId w:val="19"/>
        </w:numPr>
        <w:spacing w:after="0" w:line="240" w:lineRule="auto"/>
        <w:jc w:val="both"/>
        <w:rPr>
          <w:rFonts w:ascii="Cambria" w:hAnsi="Cambria"/>
          <w:sz w:val="24"/>
          <w:szCs w:val="24"/>
          <w:lang w:val="en-GB"/>
        </w:rPr>
      </w:pPr>
      <w:r w:rsidRPr="00322BD0">
        <w:rPr>
          <w:rFonts w:ascii="Cambria" w:hAnsi="Cambria"/>
          <w:sz w:val="24"/>
          <w:szCs w:val="24"/>
          <w:lang w:val="en-GB"/>
        </w:rPr>
        <w:t>Cooperation with the parties involved in supplying information</w:t>
      </w:r>
      <w:r w:rsidR="00C35FDC" w:rsidRPr="00322BD0">
        <w:rPr>
          <w:rFonts w:ascii="Cambria" w:hAnsi="Cambria"/>
          <w:sz w:val="24"/>
          <w:szCs w:val="24"/>
          <w:lang w:val="en-GB"/>
        </w:rPr>
        <w:t>, document</w:t>
      </w:r>
      <w:r w:rsidRPr="00322BD0">
        <w:rPr>
          <w:rFonts w:ascii="Cambria" w:hAnsi="Cambria"/>
          <w:sz w:val="24"/>
          <w:szCs w:val="24"/>
          <w:lang w:val="en-GB"/>
        </w:rPr>
        <w:t>s</w:t>
      </w:r>
      <w:r w:rsidR="00C35FDC" w:rsidRPr="00322BD0">
        <w:rPr>
          <w:rFonts w:ascii="Cambria" w:hAnsi="Cambria"/>
          <w:sz w:val="24"/>
          <w:szCs w:val="24"/>
          <w:lang w:val="en-GB"/>
        </w:rPr>
        <w:t xml:space="preserve">, </w:t>
      </w:r>
      <w:r w:rsidRPr="00322BD0">
        <w:rPr>
          <w:rFonts w:ascii="Cambria" w:hAnsi="Cambria"/>
          <w:sz w:val="24"/>
          <w:szCs w:val="24"/>
          <w:lang w:val="en-GB"/>
        </w:rPr>
        <w:t>forms necessary for the preparation of the grant requests</w:t>
      </w:r>
      <w:r w:rsidR="00C35FDC" w:rsidRPr="00322BD0">
        <w:rPr>
          <w:rFonts w:ascii="Cambria" w:hAnsi="Cambria"/>
          <w:sz w:val="24"/>
          <w:szCs w:val="24"/>
          <w:lang w:val="en-GB"/>
        </w:rPr>
        <w:t>;</w:t>
      </w:r>
    </w:p>
    <w:p w:rsidR="00A512C6" w:rsidRPr="00A512C6" w:rsidRDefault="00B92FEC" w:rsidP="00FA6EB9">
      <w:pPr>
        <w:numPr>
          <w:ilvl w:val="0"/>
          <w:numId w:val="19"/>
        </w:numPr>
        <w:spacing w:after="0" w:line="240" w:lineRule="auto"/>
        <w:jc w:val="both"/>
        <w:rPr>
          <w:rFonts w:ascii="Cambria" w:eastAsia="Times New Roman" w:hAnsi="Cambria" w:cs="Arial"/>
          <w:iCs/>
          <w:sz w:val="24"/>
          <w:szCs w:val="24"/>
          <w:lang w:val="en-GB"/>
        </w:rPr>
      </w:pPr>
      <w:r w:rsidRPr="00322BD0">
        <w:rPr>
          <w:rFonts w:ascii="Cambria" w:eastAsia="Times New Roman" w:hAnsi="Cambria" w:cs="Arial"/>
          <w:iCs/>
          <w:sz w:val="24"/>
          <w:szCs w:val="24"/>
          <w:lang w:val="en-GB"/>
        </w:rPr>
        <w:t>Analysis of compliance with the eligibility criteria of potential TRANSGAZ projects</w:t>
      </w:r>
      <w:r w:rsidR="00C35FDC" w:rsidRPr="00322BD0">
        <w:rPr>
          <w:rFonts w:ascii="Cambria" w:eastAsia="SimSun" w:hAnsi="Cambria" w:cs="Arial"/>
          <w:iCs/>
          <w:sz w:val="24"/>
          <w:szCs w:val="24"/>
          <w:lang w:val="en-GB" w:eastAsia="en-US"/>
        </w:rPr>
        <w:t xml:space="preserve">, </w:t>
      </w:r>
      <w:r w:rsidRPr="00322BD0">
        <w:rPr>
          <w:rFonts w:ascii="Cambria" w:eastAsia="SimSun" w:hAnsi="Cambria" w:cs="Arial"/>
          <w:iCs/>
          <w:sz w:val="24"/>
          <w:szCs w:val="24"/>
          <w:lang w:val="en-GB" w:eastAsia="en-US"/>
        </w:rPr>
        <w:t>according to the</w:t>
      </w:r>
      <w:r w:rsidR="00C35FDC" w:rsidRPr="00322BD0">
        <w:rPr>
          <w:rFonts w:ascii="Cambria" w:eastAsia="SimSun" w:hAnsi="Cambria" w:cs="Arial"/>
          <w:iCs/>
          <w:sz w:val="24"/>
          <w:szCs w:val="24"/>
          <w:lang w:val="en-GB" w:eastAsia="en-US"/>
        </w:rPr>
        <w:t xml:space="preserve"> 2014 – 2020</w:t>
      </w:r>
      <w:r w:rsidRPr="00322BD0">
        <w:rPr>
          <w:rFonts w:ascii="Cambria" w:eastAsia="SimSun" w:hAnsi="Cambria" w:cs="Arial"/>
          <w:iCs/>
          <w:sz w:val="24"/>
          <w:szCs w:val="24"/>
          <w:lang w:val="en-GB" w:eastAsia="en-US"/>
        </w:rPr>
        <w:t xml:space="preserve"> Financing Programmes as follows</w:t>
      </w:r>
      <w:r w:rsidR="00C35FDC" w:rsidRPr="00322BD0">
        <w:rPr>
          <w:rFonts w:ascii="Cambria" w:eastAsia="SimSun" w:hAnsi="Cambria" w:cs="Arial"/>
          <w:iCs/>
          <w:sz w:val="24"/>
          <w:szCs w:val="24"/>
          <w:lang w:val="en-GB" w:eastAsia="en-US"/>
        </w:rPr>
        <w:t>:</w:t>
      </w:r>
    </w:p>
    <w:p w:rsidR="00A512C6" w:rsidRPr="00FE7F09" w:rsidRDefault="0045676C" w:rsidP="00FE7F09">
      <w:pPr>
        <w:spacing w:after="0" w:line="240" w:lineRule="auto"/>
        <w:ind w:left="270" w:firstLine="0"/>
        <w:jc w:val="both"/>
        <w:rPr>
          <w:rFonts w:asciiTheme="majorHAnsi" w:eastAsia="Times New Roman" w:hAnsiTheme="majorHAnsi" w:cs="Arial"/>
          <w:iCs/>
          <w:sz w:val="24"/>
          <w:szCs w:val="24"/>
          <w:lang w:val="ro-RO"/>
        </w:rPr>
      </w:pPr>
      <w:r>
        <w:rPr>
          <w:rFonts w:asciiTheme="majorHAnsi" w:eastAsia="Times New Roman" w:hAnsiTheme="majorHAnsi" w:cs="Arial"/>
          <w:iCs/>
          <w:sz w:val="24"/>
          <w:szCs w:val="24"/>
          <w:lang w:val="ro-RO"/>
        </w:rPr>
        <w:t xml:space="preserve">The </w:t>
      </w:r>
      <w:r w:rsidR="00FE7F09">
        <w:rPr>
          <w:rFonts w:asciiTheme="majorHAnsi" w:eastAsia="Times New Roman" w:hAnsiTheme="majorHAnsi" w:cs="Arial"/>
          <w:iCs/>
          <w:sz w:val="24"/>
          <w:szCs w:val="24"/>
          <w:lang w:val="ro-RO"/>
        </w:rPr>
        <w:t>promotion of the funding</w:t>
      </w:r>
      <w:r>
        <w:rPr>
          <w:rFonts w:asciiTheme="majorHAnsi" w:eastAsia="Times New Roman" w:hAnsiTheme="majorHAnsi" w:cs="Arial"/>
          <w:iCs/>
          <w:sz w:val="24"/>
          <w:szCs w:val="24"/>
          <w:lang w:val="ro-RO"/>
        </w:rPr>
        <w:t xml:space="preserve"> of some potential TRANSGAZ projects are considered, aiming</w:t>
      </w:r>
      <w:r w:rsidR="00FE7F09">
        <w:rPr>
          <w:rFonts w:asciiTheme="majorHAnsi" w:eastAsia="Times New Roman" w:hAnsiTheme="majorHAnsi" w:cs="Arial"/>
          <w:iCs/>
          <w:sz w:val="24"/>
          <w:szCs w:val="24"/>
          <w:lang w:val="ro-RO"/>
        </w:rPr>
        <w:t xml:space="preserve"> mainly</w:t>
      </w:r>
      <w:r>
        <w:rPr>
          <w:rFonts w:asciiTheme="majorHAnsi" w:eastAsia="Times New Roman" w:hAnsiTheme="majorHAnsi" w:cs="Arial"/>
          <w:iCs/>
          <w:sz w:val="24"/>
          <w:szCs w:val="24"/>
          <w:lang w:val="ro-RO"/>
        </w:rPr>
        <w:t>:</w:t>
      </w:r>
    </w:p>
    <w:p w:rsidR="00C35FDC" w:rsidRPr="0081317F" w:rsidRDefault="00FE7F09" w:rsidP="00FA6EB9">
      <w:pPr>
        <w:numPr>
          <w:ilvl w:val="0"/>
          <w:numId w:val="31"/>
        </w:numPr>
        <w:spacing w:after="0" w:line="240" w:lineRule="auto"/>
        <w:ind w:left="990"/>
        <w:contextualSpacing/>
        <w:jc w:val="both"/>
        <w:rPr>
          <w:rFonts w:asciiTheme="majorHAnsi" w:eastAsia="SimSun" w:hAnsiTheme="majorHAnsi" w:cs="Arial"/>
          <w:i/>
          <w:iCs/>
          <w:sz w:val="24"/>
          <w:szCs w:val="24"/>
          <w:lang w:val="en-GB" w:eastAsia="en-US"/>
        </w:rPr>
      </w:pPr>
      <w:r w:rsidRPr="0081317F">
        <w:rPr>
          <w:rStyle w:val="hps"/>
          <w:rFonts w:asciiTheme="majorHAnsi" w:hAnsiTheme="majorHAnsi" w:cs="Arial"/>
          <w:i/>
          <w:sz w:val="24"/>
          <w:szCs w:val="24"/>
          <w:lang w:val="en-GB"/>
        </w:rPr>
        <w:t xml:space="preserve">The </w:t>
      </w:r>
      <w:r w:rsidR="00564E5F" w:rsidRPr="0081317F">
        <w:rPr>
          <w:rStyle w:val="hps"/>
          <w:rFonts w:asciiTheme="majorHAnsi" w:hAnsiTheme="majorHAnsi" w:cs="Arial"/>
          <w:i/>
          <w:sz w:val="24"/>
          <w:szCs w:val="24"/>
          <w:lang w:val="en-GB"/>
        </w:rPr>
        <w:t>use of</w:t>
      </w:r>
      <w:r w:rsidR="00564E5F" w:rsidRPr="0081317F">
        <w:rPr>
          <w:rFonts w:asciiTheme="majorHAnsi" w:hAnsiTheme="majorHAnsi" w:cs="Arial"/>
          <w:i/>
          <w:sz w:val="24"/>
          <w:szCs w:val="24"/>
          <w:lang w:val="en-GB"/>
        </w:rPr>
        <w:t xml:space="preserve"> </w:t>
      </w:r>
      <w:r w:rsidR="00564E5F" w:rsidRPr="0081317F">
        <w:rPr>
          <w:rStyle w:val="hps"/>
          <w:rFonts w:asciiTheme="majorHAnsi" w:hAnsiTheme="majorHAnsi" w:cs="Arial"/>
          <w:i/>
          <w:sz w:val="24"/>
          <w:szCs w:val="24"/>
          <w:lang w:val="en-GB"/>
        </w:rPr>
        <w:t>the kinetic energy</w:t>
      </w:r>
      <w:r w:rsidR="00564E5F" w:rsidRPr="0081317F">
        <w:rPr>
          <w:rFonts w:asciiTheme="majorHAnsi" w:hAnsiTheme="majorHAnsi" w:cs="Arial"/>
          <w:i/>
          <w:sz w:val="24"/>
          <w:szCs w:val="24"/>
          <w:lang w:val="en-GB"/>
        </w:rPr>
        <w:t xml:space="preserve"> </w:t>
      </w:r>
      <w:r w:rsidR="00564E5F" w:rsidRPr="0081317F">
        <w:rPr>
          <w:rStyle w:val="hps"/>
          <w:rFonts w:asciiTheme="majorHAnsi" w:hAnsiTheme="majorHAnsi" w:cs="Arial"/>
          <w:i/>
          <w:sz w:val="24"/>
          <w:szCs w:val="24"/>
          <w:lang w:val="en-GB"/>
        </w:rPr>
        <w:t>of gas flow</w:t>
      </w:r>
      <w:r w:rsidR="00564E5F" w:rsidRPr="0081317F">
        <w:rPr>
          <w:rFonts w:asciiTheme="majorHAnsi" w:hAnsiTheme="majorHAnsi" w:cs="Arial"/>
          <w:i/>
          <w:sz w:val="24"/>
          <w:szCs w:val="24"/>
          <w:lang w:val="en-GB"/>
        </w:rPr>
        <w:t xml:space="preserve"> </w:t>
      </w:r>
      <w:r w:rsidR="00564E5F" w:rsidRPr="0081317F">
        <w:rPr>
          <w:rStyle w:val="hps"/>
          <w:rFonts w:asciiTheme="majorHAnsi" w:hAnsiTheme="majorHAnsi" w:cs="Arial"/>
          <w:i/>
          <w:sz w:val="24"/>
          <w:szCs w:val="24"/>
          <w:lang w:val="en-GB"/>
        </w:rPr>
        <w:t>in order to obtain</w:t>
      </w:r>
      <w:r w:rsidR="00564E5F" w:rsidRPr="0081317F">
        <w:rPr>
          <w:rFonts w:asciiTheme="majorHAnsi" w:hAnsiTheme="majorHAnsi" w:cs="Arial"/>
          <w:i/>
          <w:sz w:val="24"/>
          <w:szCs w:val="24"/>
          <w:lang w:val="en-GB"/>
        </w:rPr>
        <w:t xml:space="preserve"> </w:t>
      </w:r>
      <w:r w:rsidR="00564E5F" w:rsidRPr="0081317F">
        <w:rPr>
          <w:rStyle w:val="hps"/>
          <w:rFonts w:asciiTheme="majorHAnsi" w:hAnsiTheme="majorHAnsi" w:cs="Arial"/>
          <w:i/>
          <w:sz w:val="24"/>
          <w:szCs w:val="24"/>
          <w:lang w:val="en-GB"/>
        </w:rPr>
        <w:t>electricity</w:t>
      </w:r>
      <w:r w:rsidR="00C35FDC" w:rsidRPr="0081317F">
        <w:rPr>
          <w:rFonts w:asciiTheme="majorHAnsi" w:eastAsia="SimSun" w:hAnsiTheme="majorHAnsi" w:cs="Arial"/>
          <w:i/>
          <w:iCs/>
          <w:sz w:val="24"/>
          <w:szCs w:val="24"/>
          <w:lang w:val="en-GB" w:eastAsia="en-US"/>
        </w:rPr>
        <w:t>;</w:t>
      </w:r>
    </w:p>
    <w:p w:rsidR="00C35FDC" w:rsidRPr="0081317F" w:rsidRDefault="00FE7F09" w:rsidP="00FA6EB9">
      <w:pPr>
        <w:numPr>
          <w:ilvl w:val="0"/>
          <w:numId w:val="31"/>
        </w:numPr>
        <w:spacing w:after="0" w:line="240" w:lineRule="auto"/>
        <w:ind w:left="990"/>
        <w:contextualSpacing/>
        <w:jc w:val="both"/>
        <w:rPr>
          <w:rFonts w:asciiTheme="majorHAnsi" w:eastAsia="SimSun" w:hAnsiTheme="majorHAnsi" w:cs="Arial"/>
          <w:i/>
          <w:iCs/>
          <w:sz w:val="24"/>
          <w:szCs w:val="24"/>
          <w:lang w:val="en-GB" w:eastAsia="en-US"/>
        </w:rPr>
      </w:pPr>
      <w:r w:rsidRPr="0081317F">
        <w:rPr>
          <w:rStyle w:val="hps"/>
          <w:rFonts w:asciiTheme="majorHAnsi" w:hAnsiTheme="majorHAnsi" w:cs="Arial"/>
          <w:i/>
          <w:sz w:val="24"/>
          <w:szCs w:val="24"/>
          <w:lang w:val="en-GB"/>
        </w:rPr>
        <w:t xml:space="preserve">The </w:t>
      </w:r>
      <w:r w:rsidR="00BF014E" w:rsidRPr="0081317F">
        <w:rPr>
          <w:rStyle w:val="hps"/>
          <w:rFonts w:asciiTheme="majorHAnsi" w:hAnsiTheme="majorHAnsi" w:cs="Arial"/>
          <w:i/>
          <w:sz w:val="24"/>
          <w:szCs w:val="24"/>
          <w:lang w:val="en-GB"/>
        </w:rPr>
        <w:t>possibility</w:t>
      </w:r>
      <w:r w:rsidR="00BF014E" w:rsidRPr="0081317F">
        <w:rPr>
          <w:rFonts w:asciiTheme="majorHAnsi" w:hAnsiTheme="majorHAnsi" w:cs="Arial"/>
          <w:i/>
          <w:sz w:val="24"/>
          <w:szCs w:val="24"/>
          <w:lang w:val="en-GB"/>
        </w:rPr>
        <w:t xml:space="preserve"> </w:t>
      </w:r>
      <w:r w:rsidR="00BF014E" w:rsidRPr="0081317F">
        <w:rPr>
          <w:rStyle w:val="hps"/>
          <w:rFonts w:asciiTheme="majorHAnsi" w:hAnsiTheme="majorHAnsi" w:cs="Arial"/>
          <w:i/>
          <w:sz w:val="24"/>
          <w:szCs w:val="24"/>
          <w:lang w:val="en-GB"/>
        </w:rPr>
        <w:t>to develop</w:t>
      </w:r>
      <w:r w:rsidR="00BF014E" w:rsidRPr="0081317F">
        <w:rPr>
          <w:rFonts w:asciiTheme="majorHAnsi" w:hAnsiTheme="majorHAnsi" w:cs="Arial"/>
          <w:i/>
          <w:sz w:val="24"/>
          <w:szCs w:val="24"/>
          <w:lang w:val="en-GB"/>
        </w:rPr>
        <w:t xml:space="preserve"> </w:t>
      </w:r>
      <w:r w:rsidR="00BF014E" w:rsidRPr="0081317F">
        <w:rPr>
          <w:rStyle w:val="hps"/>
          <w:rFonts w:asciiTheme="majorHAnsi" w:hAnsiTheme="majorHAnsi" w:cs="Arial"/>
          <w:i/>
          <w:sz w:val="24"/>
          <w:szCs w:val="24"/>
          <w:lang w:val="en-GB"/>
        </w:rPr>
        <w:t>facilities to allow</w:t>
      </w:r>
      <w:r w:rsidR="00BF014E" w:rsidRPr="0081317F">
        <w:rPr>
          <w:rFonts w:asciiTheme="majorHAnsi" w:hAnsiTheme="majorHAnsi" w:cs="Arial"/>
          <w:i/>
          <w:sz w:val="24"/>
          <w:szCs w:val="24"/>
          <w:lang w:val="en-GB"/>
        </w:rPr>
        <w:t xml:space="preserve"> </w:t>
      </w:r>
      <w:r w:rsidR="00BF014E" w:rsidRPr="0081317F">
        <w:rPr>
          <w:rStyle w:val="hps"/>
          <w:rFonts w:asciiTheme="majorHAnsi" w:hAnsiTheme="majorHAnsi" w:cs="Arial"/>
          <w:i/>
          <w:sz w:val="24"/>
          <w:szCs w:val="24"/>
          <w:lang w:val="en-GB"/>
        </w:rPr>
        <w:t>(in collaboration</w:t>
      </w:r>
      <w:r w:rsidR="00BF014E" w:rsidRPr="0081317F">
        <w:rPr>
          <w:rFonts w:asciiTheme="majorHAnsi" w:hAnsiTheme="majorHAnsi" w:cs="Arial"/>
          <w:i/>
          <w:sz w:val="24"/>
          <w:szCs w:val="24"/>
          <w:lang w:val="en-GB"/>
        </w:rPr>
        <w:t xml:space="preserve"> </w:t>
      </w:r>
      <w:r w:rsidR="00BF014E" w:rsidRPr="0081317F">
        <w:rPr>
          <w:rStyle w:val="hps"/>
          <w:rFonts w:asciiTheme="majorHAnsi" w:hAnsiTheme="majorHAnsi" w:cs="Arial"/>
          <w:i/>
          <w:sz w:val="24"/>
          <w:szCs w:val="24"/>
          <w:lang w:val="en-GB"/>
        </w:rPr>
        <w:t>with other companies</w:t>
      </w:r>
      <w:r w:rsidR="00BF014E" w:rsidRPr="0081317F">
        <w:rPr>
          <w:rFonts w:asciiTheme="majorHAnsi" w:hAnsiTheme="majorHAnsi" w:cs="Arial"/>
          <w:i/>
          <w:sz w:val="24"/>
          <w:szCs w:val="24"/>
          <w:lang w:val="en-GB"/>
        </w:rPr>
        <w:t xml:space="preserve">) production </w:t>
      </w:r>
      <w:r w:rsidR="00BF014E" w:rsidRPr="0081317F">
        <w:rPr>
          <w:rStyle w:val="hps"/>
          <w:rFonts w:asciiTheme="majorHAnsi" w:hAnsiTheme="majorHAnsi" w:cs="Arial"/>
          <w:i/>
          <w:sz w:val="24"/>
          <w:szCs w:val="24"/>
          <w:lang w:val="en-GB"/>
        </w:rPr>
        <w:t>and</w:t>
      </w:r>
      <w:r w:rsidR="00BF014E" w:rsidRPr="0081317F">
        <w:rPr>
          <w:rFonts w:asciiTheme="majorHAnsi" w:hAnsiTheme="majorHAnsi" w:cs="Arial"/>
          <w:i/>
          <w:sz w:val="24"/>
          <w:szCs w:val="24"/>
          <w:lang w:val="en-GB"/>
        </w:rPr>
        <w:t xml:space="preserve"> </w:t>
      </w:r>
      <w:r w:rsidR="00BF014E" w:rsidRPr="0081317F">
        <w:rPr>
          <w:rStyle w:val="hps"/>
          <w:rFonts w:asciiTheme="majorHAnsi" w:hAnsiTheme="majorHAnsi" w:cs="Arial"/>
          <w:i/>
          <w:sz w:val="24"/>
          <w:szCs w:val="24"/>
          <w:lang w:val="en-GB"/>
        </w:rPr>
        <w:t>transmission of synthetic natural gas</w:t>
      </w:r>
      <w:r w:rsidR="00C35FDC" w:rsidRPr="0081317F">
        <w:rPr>
          <w:rFonts w:asciiTheme="majorHAnsi" w:eastAsia="SimSun" w:hAnsiTheme="majorHAnsi" w:cs="Arial"/>
          <w:i/>
          <w:iCs/>
          <w:sz w:val="24"/>
          <w:szCs w:val="24"/>
          <w:lang w:val="en-GB" w:eastAsia="en-US"/>
        </w:rPr>
        <w:t>;</w:t>
      </w:r>
    </w:p>
    <w:p w:rsidR="00C35FDC" w:rsidRPr="0081317F" w:rsidRDefault="00FE7F09" w:rsidP="00FA6EB9">
      <w:pPr>
        <w:numPr>
          <w:ilvl w:val="0"/>
          <w:numId w:val="31"/>
        </w:numPr>
        <w:spacing w:after="0" w:line="240" w:lineRule="auto"/>
        <w:ind w:left="990"/>
        <w:contextualSpacing/>
        <w:jc w:val="both"/>
        <w:rPr>
          <w:rFonts w:asciiTheme="majorHAnsi" w:eastAsia="SimSun" w:hAnsiTheme="majorHAnsi" w:cs="Arial"/>
          <w:i/>
          <w:iCs/>
          <w:sz w:val="24"/>
          <w:szCs w:val="24"/>
          <w:lang w:val="en-GB" w:eastAsia="en-US"/>
        </w:rPr>
      </w:pPr>
      <w:r w:rsidRPr="0081317F">
        <w:rPr>
          <w:rFonts w:asciiTheme="majorHAnsi" w:eastAsia="SimSun" w:hAnsiTheme="majorHAnsi" w:cs="Arial"/>
          <w:i/>
          <w:iCs/>
          <w:sz w:val="24"/>
          <w:szCs w:val="24"/>
          <w:lang w:val="en-GB" w:eastAsia="en-US"/>
        </w:rPr>
        <w:t xml:space="preserve">The </w:t>
      </w:r>
      <w:r w:rsidR="00FB2404" w:rsidRPr="0081317F">
        <w:rPr>
          <w:rFonts w:asciiTheme="majorHAnsi" w:eastAsia="SimSun" w:hAnsiTheme="majorHAnsi" w:cs="Arial"/>
          <w:i/>
          <w:iCs/>
          <w:sz w:val="24"/>
          <w:szCs w:val="24"/>
          <w:lang w:val="en-GB" w:eastAsia="en-US"/>
        </w:rPr>
        <w:t xml:space="preserve">possibility to refurbish the </w:t>
      </w:r>
      <w:r w:rsidR="00C35FDC" w:rsidRPr="0081317F">
        <w:rPr>
          <w:rFonts w:asciiTheme="majorHAnsi" w:eastAsia="SimSun" w:hAnsiTheme="majorHAnsi" w:cs="Arial"/>
          <w:i/>
          <w:iCs/>
          <w:sz w:val="24"/>
          <w:szCs w:val="24"/>
          <w:lang w:val="en-GB" w:eastAsia="en-US"/>
        </w:rPr>
        <w:t>Băţani</w:t>
      </w:r>
      <w:r w:rsidR="00FB2404" w:rsidRPr="0081317F">
        <w:rPr>
          <w:rFonts w:asciiTheme="majorHAnsi" w:eastAsia="SimSun" w:hAnsiTheme="majorHAnsi" w:cs="Arial"/>
          <w:i/>
          <w:iCs/>
          <w:sz w:val="24"/>
          <w:szCs w:val="24"/>
          <w:lang w:val="en-GB" w:eastAsia="en-US"/>
        </w:rPr>
        <w:t xml:space="preserve"> CS</w:t>
      </w:r>
      <w:r w:rsidR="00C35FDC" w:rsidRPr="0081317F">
        <w:rPr>
          <w:rFonts w:asciiTheme="majorHAnsi" w:eastAsia="SimSun" w:hAnsiTheme="majorHAnsi" w:cs="Arial"/>
          <w:i/>
          <w:iCs/>
          <w:sz w:val="24"/>
          <w:szCs w:val="24"/>
          <w:lang w:val="en-GB" w:eastAsia="en-US"/>
        </w:rPr>
        <w:t xml:space="preserve">, </w:t>
      </w:r>
      <w:r w:rsidR="00FB2404" w:rsidRPr="0081317F">
        <w:rPr>
          <w:rFonts w:asciiTheme="majorHAnsi" w:eastAsia="SimSun" w:hAnsiTheme="majorHAnsi" w:cs="Arial"/>
          <w:i/>
          <w:iCs/>
          <w:sz w:val="24"/>
          <w:szCs w:val="24"/>
          <w:lang w:val="en-GB" w:eastAsia="en-US"/>
        </w:rPr>
        <w:t>the first turbocompre</w:t>
      </w:r>
      <w:r w:rsidRPr="0081317F">
        <w:rPr>
          <w:rFonts w:asciiTheme="majorHAnsi" w:eastAsia="SimSun" w:hAnsiTheme="majorHAnsi" w:cs="Arial"/>
          <w:i/>
          <w:iCs/>
          <w:sz w:val="24"/>
          <w:szCs w:val="24"/>
          <w:lang w:val="en-GB" w:eastAsia="en-US"/>
        </w:rPr>
        <w:t xml:space="preserve">ssor station in Europe, and to </w:t>
      </w:r>
      <w:r w:rsidR="00FB2404" w:rsidRPr="0081317F">
        <w:rPr>
          <w:rFonts w:asciiTheme="majorHAnsi" w:eastAsia="SimSun" w:hAnsiTheme="majorHAnsi" w:cs="Arial"/>
          <w:i/>
          <w:iCs/>
          <w:sz w:val="24"/>
          <w:szCs w:val="24"/>
          <w:lang w:val="en-GB" w:eastAsia="en-US"/>
        </w:rPr>
        <w:t>record it as historic monument</w:t>
      </w:r>
      <w:r w:rsidR="00C35FDC" w:rsidRPr="0081317F">
        <w:rPr>
          <w:rFonts w:asciiTheme="majorHAnsi" w:eastAsia="SimSun" w:hAnsiTheme="majorHAnsi" w:cs="Arial"/>
          <w:i/>
          <w:iCs/>
          <w:sz w:val="24"/>
          <w:szCs w:val="24"/>
          <w:lang w:val="en-GB" w:eastAsia="en-US"/>
        </w:rPr>
        <w:t>.</w:t>
      </w:r>
    </w:p>
    <w:p w:rsidR="00FE7F09" w:rsidRDefault="00FE7F09"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 xml:space="preserve">The cooperation with firms within the EU in view of the development of some </w:t>
      </w:r>
      <w:r w:rsidR="00587C3A">
        <w:rPr>
          <w:rFonts w:asciiTheme="majorHAnsi" w:eastAsia="SimSun" w:hAnsiTheme="majorHAnsi" w:cs="Arial"/>
          <w:i/>
          <w:iCs/>
          <w:sz w:val="24"/>
          <w:szCs w:val="24"/>
          <w:lang w:val="ro-RO" w:eastAsia="en-US"/>
        </w:rPr>
        <w:t>research topic to allow the accession of European funds through the ORIZONT 2020</w:t>
      </w:r>
      <w:r w:rsidR="002F5B42" w:rsidRPr="002F5B42">
        <w:rPr>
          <w:rFonts w:asciiTheme="majorHAnsi" w:eastAsia="SimSun" w:hAnsiTheme="majorHAnsi" w:cs="Arial"/>
          <w:i/>
          <w:iCs/>
          <w:sz w:val="24"/>
          <w:szCs w:val="24"/>
          <w:lang w:val="ro-RO" w:eastAsia="en-US"/>
        </w:rPr>
        <w:t xml:space="preserve"> </w:t>
      </w:r>
      <w:r w:rsidR="002F5B42">
        <w:rPr>
          <w:rFonts w:asciiTheme="majorHAnsi" w:eastAsia="SimSun" w:hAnsiTheme="majorHAnsi" w:cs="Arial"/>
          <w:i/>
          <w:iCs/>
          <w:sz w:val="24"/>
          <w:szCs w:val="24"/>
          <w:lang w:val="ro-RO" w:eastAsia="en-US"/>
        </w:rPr>
        <w:t>program</w:t>
      </w:r>
      <w:r w:rsidR="00587C3A">
        <w:rPr>
          <w:rFonts w:asciiTheme="majorHAnsi" w:eastAsia="SimSun" w:hAnsiTheme="majorHAnsi" w:cs="Arial"/>
          <w:i/>
          <w:iCs/>
          <w:sz w:val="24"/>
          <w:szCs w:val="24"/>
          <w:lang w:val="ro-RO" w:eastAsia="en-US"/>
        </w:rPr>
        <w:t>.</w:t>
      </w:r>
    </w:p>
    <w:p w:rsidR="00587C3A" w:rsidRDefault="00434624"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The increase of the capacity of the company to absorb state of the art technology and to adapt this technology to the needs of the target markets by industrial research activities, feasibility studies, innovation activities;</w:t>
      </w:r>
    </w:p>
    <w:p w:rsidR="00434624" w:rsidRDefault="00434624"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Sustaining intelligent specialization processes by research activities, feasibility studies, innovation activities;</w:t>
      </w:r>
    </w:p>
    <w:p w:rsidR="00434624" w:rsidRDefault="00434624"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Increase the competitivity of the Research – Design Division</w:t>
      </w:r>
      <w:r w:rsidR="002F5B42">
        <w:rPr>
          <w:rFonts w:asciiTheme="majorHAnsi" w:eastAsia="SimSun" w:hAnsiTheme="majorHAnsi" w:cs="Arial"/>
          <w:i/>
          <w:iCs/>
          <w:sz w:val="24"/>
          <w:szCs w:val="24"/>
          <w:lang w:val="ro-RO" w:eastAsia="en-US"/>
        </w:rPr>
        <w:t xml:space="preserve"> by attracting external funding, through specific CD projects and support;</w:t>
      </w:r>
      <w:r>
        <w:rPr>
          <w:rFonts w:asciiTheme="majorHAnsi" w:eastAsia="SimSun" w:hAnsiTheme="majorHAnsi" w:cs="Arial"/>
          <w:i/>
          <w:iCs/>
          <w:sz w:val="24"/>
          <w:szCs w:val="24"/>
          <w:lang w:val="ro-RO" w:eastAsia="en-US"/>
        </w:rPr>
        <w:t xml:space="preserve"> </w:t>
      </w:r>
    </w:p>
    <w:p w:rsidR="002F5B42" w:rsidRDefault="002F5B42"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Development of the human resources and of the specific infrastructure of the Research-Design Division by CDI projects;</w:t>
      </w:r>
    </w:p>
    <w:p w:rsidR="0058165E" w:rsidRPr="002F5B42" w:rsidRDefault="002F5B42" w:rsidP="00FA6EB9">
      <w:pPr>
        <w:numPr>
          <w:ilvl w:val="0"/>
          <w:numId w:val="31"/>
        </w:numPr>
        <w:spacing w:after="0" w:line="240" w:lineRule="auto"/>
        <w:ind w:left="990"/>
        <w:contextualSpacing/>
        <w:jc w:val="both"/>
        <w:rPr>
          <w:rFonts w:asciiTheme="majorHAnsi" w:eastAsia="SimSun" w:hAnsiTheme="majorHAnsi" w:cs="Arial"/>
          <w:i/>
          <w:iCs/>
          <w:sz w:val="24"/>
          <w:szCs w:val="24"/>
          <w:lang w:val="ro-RO" w:eastAsia="en-US"/>
        </w:rPr>
      </w:pPr>
      <w:r>
        <w:rPr>
          <w:rFonts w:asciiTheme="majorHAnsi" w:eastAsia="SimSun" w:hAnsiTheme="majorHAnsi" w:cs="Arial"/>
          <w:i/>
          <w:iCs/>
          <w:sz w:val="24"/>
          <w:szCs w:val="24"/>
          <w:lang w:val="ro-RO" w:eastAsia="en-US"/>
        </w:rPr>
        <w:t>Professional preparation by exchanging experiences or specialty courses within the Operational Program Human Capital – POCU.</w:t>
      </w:r>
    </w:p>
    <w:p w:rsidR="0058165E" w:rsidRPr="00322BD0" w:rsidRDefault="00E949BF" w:rsidP="0058165E">
      <w:pPr>
        <w:pStyle w:val="Heading2"/>
        <w:rPr>
          <w:rFonts w:ascii="Cambria" w:eastAsia="Times New Roman" w:hAnsi="Cambria" w:cs="Cambria"/>
          <w:bCs w:val="0"/>
          <w:i w:val="0"/>
          <w:iCs w:val="0"/>
          <w:sz w:val="24"/>
          <w:szCs w:val="24"/>
          <w:lang w:val="en-GB"/>
        </w:rPr>
      </w:pPr>
      <w:bookmarkStart w:id="18" w:name="_Toc414263617"/>
      <w:bookmarkStart w:id="19" w:name="_Toc446310815"/>
      <w:r w:rsidRPr="00322BD0">
        <w:rPr>
          <w:rFonts w:ascii="Cambria" w:hAnsi="Cambria"/>
          <w:i w:val="0"/>
          <w:sz w:val="24"/>
          <w:szCs w:val="24"/>
          <w:lang w:val="en-GB"/>
        </w:rPr>
        <w:t xml:space="preserve">2.4 </w:t>
      </w:r>
      <w:bookmarkEnd w:id="18"/>
      <w:r w:rsidR="006E3E61" w:rsidRPr="00322BD0">
        <w:rPr>
          <w:rFonts w:ascii="Cambria" w:eastAsia="Times New Roman" w:hAnsi="Cambria" w:cs="Cambria"/>
          <w:bCs w:val="0"/>
          <w:i w:val="0"/>
          <w:iCs w:val="0"/>
          <w:sz w:val="24"/>
          <w:szCs w:val="24"/>
          <w:lang w:val="en-GB"/>
        </w:rPr>
        <w:t>Indicators of management performance</w:t>
      </w:r>
      <w:bookmarkEnd w:id="19"/>
    </w:p>
    <w:p w:rsidR="00CA1E4C" w:rsidRPr="00A512C6" w:rsidRDefault="00E62B82" w:rsidP="0058165E">
      <w:pPr>
        <w:pStyle w:val="Heading2"/>
        <w:rPr>
          <w:rFonts w:ascii="Cambria" w:eastAsia="Times New Roman" w:hAnsi="Cambria" w:cs="Times New Roman"/>
          <w:b w:val="0"/>
          <w:i w:val="0"/>
          <w:sz w:val="24"/>
          <w:szCs w:val="24"/>
          <w:lang w:val="en-GB" w:eastAsia="ro-RO"/>
        </w:rPr>
      </w:pPr>
      <w:r w:rsidRPr="00A512C6">
        <w:rPr>
          <w:rFonts w:ascii="Cambria" w:eastAsia="Times New Roman" w:hAnsi="Cambria" w:cs="Cambria"/>
          <w:b w:val="0"/>
          <w:i w:val="0"/>
          <w:sz w:val="24"/>
          <w:szCs w:val="24"/>
          <w:lang w:val="en-GB"/>
        </w:rPr>
        <w:t xml:space="preserve">In compliance with Chapter 6 of the Management Plan of SNTGN Transgaz SA Mediaș for 2013-2017, named </w:t>
      </w:r>
      <w:r w:rsidR="00D15401" w:rsidRPr="00A512C6">
        <w:rPr>
          <w:rFonts w:ascii="Cambria" w:eastAsia="Times New Roman" w:hAnsi="Cambria" w:cs="Cambria"/>
          <w:b w:val="0"/>
          <w:i w:val="0"/>
          <w:sz w:val="24"/>
          <w:szCs w:val="24"/>
          <w:lang w:val="en-GB"/>
        </w:rPr>
        <w:t>`</w:t>
      </w:r>
      <w:r w:rsidRPr="00A512C6">
        <w:rPr>
          <w:rFonts w:ascii="Cambria" w:eastAsia="Times New Roman" w:hAnsi="Cambria" w:cs="Cambria"/>
          <w:b w:val="0"/>
          <w:i w:val="0"/>
          <w:sz w:val="24"/>
          <w:szCs w:val="24"/>
          <w:lang w:val="en-GB"/>
        </w:rPr>
        <w:t>Performance Criteria and Objectives</w:t>
      </w:r>
      <w:r w:rsidR="00D15401" w:rsidRPr="00A512C6">
        <w:rPr>
          <w:rFonts w:ascii="Cambria" w:eastAsia="Times New Roman" w:hAnsi="Cambria" w:cs="Cambria"/>
          <w:b w:val="0"/>
          <w:i w:val="0"/>
          <w:sz w:val="24"/>
          <w:szCs w:val="24"/>
          <w:lang w:val="en-GB"/>
        </w:rPr>
        <w:t>`</w:t>
      </w:r>
      <w:r w:rsidRPr="00A512C6">
        <w:rPr>
          <w:rFonts w:ascii="Cambria" w:eastAsia="Times New Roman" w:hAnsi="Cambria" w:cs="Cambria"/>
          <w:b w:val="0"/>
          <w:i w:val="0"/>
          <w:sz w:val="24"/>
          <w:szCs w:val="24"/>
          <w:lang w:val="en-GB"/>
        </w:rPr>
        <w:t>, the performance criteria and objective</w:t>
      </w:r>
      <w:r w:rsidR="00C3487A" w:rsidRPr="00A512C6">
        <w:rPr>
          <w:rFonts w:ascii="Cambria" w:eastAsia="Times New Roman" w:hAnsi="Cambria" w:cs="Cambria"/>
          <w:b w:val="0"/>
          <w:i w:val="0"/>
          <w:sz w:val="24"/>
          <w:szCs w:val="24"/>
          <w:lang w:val="en-GB"/>
        </w:rPr>
        <w:t>s are defined and set as follow</w:t>
      </w:r>
      <w:r w:rsidR="0058165E" w:rsidRPr="00A512C6">
        <w:rPr>
          <w:rFonts w:ascii="Cambria" w:eastAsia="Times New Roman" w:hAnsi="Cambria" w:cs="Cambria"/>
          <w:b w:val="0"/>
          <w:i w:val="0"/>
          <w:sz w:val="24"/>
          <w:szCs w:val="24"/>
          <w:lang w:val="en-GB"/>
        </w:rPr>
        <w:t>s</w:t>
      </w:r>
      <w:r w:rsidR="00464353" w:rsidRPr="00A512C6">
        <w:rPr>
          <w:rFonts w:ascii="Cambria" w:eastAsia="Times New Roman" w:hAnsi="Cambria" w:cs="Times New Roman"/>
          <w:b w:val="0"/>
          <w:i w:val="0"/>
          <w:sz w:val="24"/>
          <w:szCs w:val="24"/>
          <w:lang w:val="en-GB" w:eastAsia="ro-RO"/>
        </w:rPr>
        <w:t xml:space="preserve">  </w:t>
      </w:r>
    </w:p>
    <w:p w:rsidR="006E32D9" w:rsidRPr="00322BD0" w:rsidRDefault="006E32D9" w:rsidP="0042645B">
      <w:pPr>
        <w:spacing w:after="0" w:line="240" w:lineRule="auto"/>
        <w:ind w:firstLine="0"/>
        <w:jc w:val="both"/>
        <w:rPr>
          <w:rFonts w:ascii="Cambria" w:eastAsia="Times New Roman" w:hAnsi="Cambria" w:cs="Times New Roman"/>
          <w:sz w:val="24"/>
          <w:szCs w:val="24"/>
          <w:lang w:val="en-GB" w:eastAsia="ro-RO"/>
        </w:rPr>
      </w:pPr>
    </w:p>
    <w:p w:rsidR="00596C82" w:rsidRPr="00322BD0" w:rsidRDefault="0058165E" w:rsidP="003976C1">
      <w:pPr>
        <w:ind w:firstLine="0"/>
        <w:rPr>
          <w:rFonts w:ascii="Cambria" w:eastAsia="Times New Roman" w:hAnsi="Cambria"/>
          <w:b/>
          <w:sz w:val="24"/>
          <w:szCs w:val="24"/>
          <w:lang w:val="en-GB" w:eastAsia="ro-RO"/>
        </w:rPr>
      </w:pPr>
      <w:r w:rsidRPr="00322BD0">
        <w:rPr>
          <w:rFonts w:ascii="Cambria" w:eastAsia="Times New Roman" w:hAnsi="Cambria" w:cs="Times New Roman"/>
          <w:noProof/>
          <w:sz w:val="24"/>
          <w:szCs w:val="24"/>
          <w:lang w:val="ro-RO" w:eastAsia="ro-RO"/>
        </w:rPr>
        <w:lastRenderedPageBreak/>
        <w:drawing>
          <wp:anchor distT="0" distB="0" distL="114300" distR="114300" simplePos="0" relativeHeight="251855872" behindDoc="0" locked="0" layoutInCell="1" allowOverlap="1" wp14:anchorId="3E557F9A" wp14:editId="710D0518">
            <wp:simplePos x="0" y="0"/>
            <wp:positionH relativeFrom="column">
              <wp:posOffset>-72362</wp:posOffset>
            </wp:positionH>
            <wp:positionV relativeFrom="paragraph">
              <wp:posOffset>61310</wp:posOffset>
            </wp:positionV>
            <wp:extent cx="5010150" cy="2771775"/>
            <wp:effectExtent l="0" t="57150" r="0" b="85725"/>
            <wp:wrapSquare wrapText="bothSides"/>
            <wp:docPr id="78" name="Diagram 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p>
    <w:p w:rsidR="00596C82" w:rsidRPr="00322BD0" w:rsidRDefault="00596C82" w:rsidP="003976C1">
      <w:pPr>
        <w:ind w:firstLine="0"/>
        <w:rPr>
          <w:rFonts w:ascii="Cambria" w:eastAsia="Times New Roman" w:hAnsi="Cambria"/>
          <w:b/>
          <w:sz w:val="24"/>
          <w:szCs w:val="24"/>
          <w:lang w:val="en-GB" w:eastAsia="ro-RO"/>
        </w:rPr>
      </w:pPr>
    </w:p>
    <w:p w:rsidR="00596C82" w:rsidRPr="00322BD0" w:rsidRDefault="00596C82" w:rsidP="003976C1">
      <w:pPr>
        <w:ind w:firstLine="0"/>
        <w:rPr>
          <w:rFonts w:ascii="Cambria" w:eastAsia="Times New Roman" w:hAnsi="Cambria"/>
          <w:b/>
          <w:sz w:val="24"/>
          <w:szCs w:val="24"/>
          <w:lang w:val="en-GB" w:eastAsia="ro-RO"/>
        </w:rPr>
      </w:pPr>
    </w:p>
    <w:p w:rsidR="00596C82" w:rsidRPr="00322BD0" w:rsidRDefault="00596C82" w:rsidP="003976C1">
      <w:pPr>
        <w:ind w:firstLine="0"/>
        <w:rPr>
          <w:rFonts w:ascii="Cambria" w:eastAsia="Times New Roman" w:hAnsi="Cambria"/>
          <w:b/>
          <w:sz w:val="24"/>
          <w:szCs w:val="24"/>
          <w:lang w:val="en-GB" w:eastAsia="ro-RO"/>
        </w:rPr>
      </w:pPr>
    </w:p>
    <w:p w:rsidR="00596C82" w:rsidRPr="00322BD0" w:rsidRDefault="00596C82" w:rsidP="003976C1">
      <w:pPr>
        <w:ind w:firstLine="0"/>
        <w:rPr>
          <w:rFonts w:ascii="Cambria" w:eastAsia="Times New Roman" w:hAnsi="Cambria"/>
          <w:b/>
          <w:sz w:val="24"/>
          <w:szCs w:val="24"/>
          <w:lang w:val="en-GB" w:eastAsia="ro-RO"/>
        </w:rPr>
      </w:pPr>
    </w:p>
    <w:p w:rsidR="00596C82" w:rsidRPr="00322BD0" w:rsidRDefault="00596C82" w:rsidP="003976C1">
      <w:pPr>
        <w:ind w:firstLine="0"/>
        <w:rPr>
          <w:rFonts w:ascii="Cambria" w:eastAsia="Times New Roman" w:hAnsi="Cambria"/>
          <w:b/>
          <w:sz w:val="24"/>
          <w:szCs w:val="24"/>
          <w:lang w:val="en-GB" w:eastAsia="ro-RO"/>
        </w:rPr>
      </w:pPr>
    </w:p>
    <w:p w:rsidR="00C3487A" w:rsidRPr="00322BD0" w:rsidRDefault="00C3487A" w:rsidP="00C3487A">
      <w:pPr>
        <w:ind w:firstLine="0"/>
        <w:rPr>
          <w:rFonts w:ascii="Cambria" w:eastAsia="Times New Roman" w:hAnsi="Cambria" w:cs="Times New Roman"/>
          <w:b/>
          <w:sz w:val="24"/>
          <w:szCs w:val="24"/>
          <w:lang w:val="en-GB" w:eastAsia="ro-RO"/>
        </w:rPr>
      </w:pPr>
      <w:r w:rsidRPr="00322BD0">
        <w:rPr>
          <w:rFonts w:ascii="Cambria" w:eastAsia="Times New Roman" w:hAnsi="Cambria" w:cs="Cambria"/>
          <w:b/>
          <w:bCs/>
          <w:lang w:val="en-GB"/>
        </w:rPr>
        <w:t>Standard performance criteria and objectives</w:t>
      </w:r>
    </w:p>
    <w:tbl>
      <w:tblPr>
        <w:tblW w:w="4939" w:type="pct"/>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4"/>
        <w:gridCol w:w="2645"/>
        <w:gridCol w:w="1445"/>
        <w:gridCol w:w="994"/>
        <w:gridCol w:w="1373"/>
      </w:tblGrid>
      <w:tr w:rsidR="00C3487A" w:rsidRPr="00322BD0" w:rsidTr="00A512C6">
        <w:trPr>
          <w:trHeight w:val="650"/>
          <w:tblCellSpacing w:w="20" w:type="dxa"/>
          <w:jc w:val="center"/>
        </w:trPr>
        <w:tc>
          <w:tcPr>
            <w:tcW w:w="1340" w:type="pct"/>
            <w:shd w:val="clear" w:color="auto" w:fill="DBE5F1" w:themeFill="accent1" w:themeFillTint="33"/>
            <w:vAlign w:val="center"/>
            <w:hideMark/>
          </w:tcPr>
          <w:p w:rsidR="00C3487A" w:rsidRPr="00322BD0" w:rsidRDefault="00C3487A" w:rsidP="00C3487A">
            <w:pPr>
              <w:spacing w:after="0" w:line="240" w:lineRule="auto"/>
              <w:ind w:firstLine="0"/>
              <w:rPr>
                <w:rFonts w:ascii="Cambria" w:hAnsi="Cambria"/>
                <w:b/>
                <w:bCs/>
                <w:sz w:val="18"/>
                <w:szCs w:val="18"/>
                <w:lang w:val="en-GB" w:eastAsia="en-US"/>
              </w:rPr>
            </w:pPr>
            <w:r w:rsidRPr="00322BD0">
              <w:rPr>
                <w:rFonts w:ascii="Cambria" w:hAnsi="Cambria"/>
                <w:b/>
                <w:bCs/>
                <w:sz w:val="18"/>
                <w:szCs w:val="18"/>
                <w:lang w:val="en-GB" w:eastAsia="en-US"/>
              </w:rPr>
              <w:t>Performance criteria</w:t>
            </w:r>
          </w:p>
        </w:tc>
        <w:tc>
          <w:tcPr>
            <w:tcW w:w="1465" w:type="pct"/>
            <w:shd w:val="clear" w:color="auto" w:fill="DBE5F1" w:themeFill="accent1" w:themeFillTint="33"/>
            <w:vAlign w:val="center"/>
            <w:hideMark/>
          </w:tcPr>
          <w:p w:rsidR="00C3487A" w:rsidRPr="00322BD0" w:rsidRDefault="00C3487A" w:rsidP="00C3487A">
            <w:pPr>
              <w:spacing w:after="0" w:line="240" w:lineRule="auto"/>
              <w:ind w:firstLine="0"/>
              <w:jc w:val="center"/>
              <w:rPr>
                <w:rFonts w:ascii="Cambria" w:hAnsi="Cambria"/>
                <w:b/>
                <w:bCs/>
                <w:sz w:val="18"/>
                <w:szCs w:val="18"/>
                <w:lang w:val="en-GB" w:eastAsia="en-US"/>
              </w:rPr>
            </w:pPr>
            <w:r w:rsidRPr="00322BD0">
              <w:rPr>
                <w:rFonts w:ascii="Cambria" w:hAnsi="Cambria"/>
                <w:b/>
                <w:bCs/>
                <w:sz w:val="18"/>
                <w:szCs w:val="18"/>
                <w:lang w:val="en-GB" w:eastAsia="en-US"/>
              </w:rPr>
              <w:t>Performance objective</w:t>
            </w:r>
          </w:p>
        </w:tc>
        <w:tc>
          <w:tcPr>
            <w:tcW w:w="790" w:type="pct"/>
            <w:shd w:val="clear" w:color="auto" w:fill="DBE5F1" w:themeFill="accent1" w:themeFillTint="33"/>
            <w:vAlign w:val="center"/>
            <w:hideMark/>
          </w:tcPr>
          <w:p w:rsidR="00C3487A" w:rsidRPr="00322BD0" w:rsidRDefault="00C3487A" w:rsidP="006E32D9">
            <w:pPr>
              <w:spacing w:after="0" w:line="240" w:lineRule="auto"/>
              <w:ind w:firstLine="0"/>
              <w:jc w:val="center"/>
              <w:rPr>
                <w:rFonts w:asciiTheme="majorHAnsi" w:eastAsia="Times New Roman" w:hAnsiTheme="majorHAnsi"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 xml:space="preserve">Management Plan </w:t>
            </w:r>
          </w:p>
          <w:p w:rsidR="00C3487A" w:rsidRPr="00322BD0" w:rsidRDefault="00C3487A" w:rsidP="00933922">
            <w:pPr>
              <w:spacing w:after="0" w:line="240" w:lineRule="auto"/>
              <w:ind w:firstLine="0"/>
              <w:jc w:val="center"/>
              <w:rPr>
                <w:rFonts w:asciiTheme="majorHAnsi" w:eastAsia="Times New Roman" w:hAnsiTheme="majorHAnsi"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201</w:t>
            </w:r>
            <w:r w:rsidR="00A512C6">
              <w:rPr>
                <w:rFonts w:asciiTheme="majorHAnsi" w:eastAsia="Times New Roman" w:hAnsiTheme="majorHAnsi" w:cs="Times New Roman"/>
                <w:b/>
                <w:bCs/>
                <w:color w:val="000000"/>
                <w:sz w:val="16"/>
                <w:szCs w:val="16"/>
                <w:lang w:val="en-GB" w:eastAsia="en-US"/>
              </w:rPr>
              <w:t>6</w:t>
            </w:r>
          </w:p>
        </w:tc>
        <w:tc>
          <w:tcPr>
            <w:tcW w:w="537" w:type="pct"/>
            <w:shd w:val="clear" w:color="auto" w:fill="DBE5F1" w:themeFill="accent1" w:themeFillTint="33"/>
            <w:vAlign w:val="center"/>
            <w:hideMark/>
          </w:tcPr>
          <w:p w:rsidR="00C3487A" w:rsidRPr="00322BD0" w:rsidRDefault="00C3487A" w:rsidP="006E32D9">
            <w:pPr>
              <w:spacing w:after="0" w:line="240" w:lineRule="auto"/>
              <w:ind w:firstLine="0"/>
              <w:jc w:val="center"/>
              <w:rPr>
                <w:rFonts w:asciiTheme="majorHAnsi" w:eastAsia="Times New Roman" w:hAnsiTheme="majorHAnsi"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Achieved</w:t>
            </w:r>
          </w:p>
          <w:p w:rsidR="00C3487A" w:rsidRPr="00322BD0" w:rsidRDefault="00C3487A" w:rsidP="00933922">
            <w:pPr>
              <w:spacing w:after="0" w:line="240" w:lineRule="auto"/>
              <w:ind w:firstLine="0"/>
              <w:jc w:val="center"/>
              <w:rPr>
                <w:rFonts w:asciiTheme="majorHAnsi" w:eastAsia="Times New Roman" w:hAnsiTheme="majorHAnsi"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201</w:t>
            </w:r>
            <w:r w:rsidR="00A512C6">
              <w:rPr>
                <w:rFonts w:asciiTheme="majorHAnsi" w:eastAsia="Times New Roman" w:hAnsiTheme="majorHAnsi" w:cs="Times New Roman"/>
                <w:b/>
                <w:bCs/>
                <w:color w:val="000000"/>
                <w:sz w:val="16"/>
                <w:szCs w:val="16"/>
                <w:lang w:val="en-GB" w:eastAsia="en-US"/>
              </w:rPr>
              <w:t>6</w:t>
            </w:r>
          </w:p>
        </w:tc>
        <w:tc>
          <w:tcPr>
            <w:tcW w:w="738" w:type="pct"/>
            <w:shd w:val="clear" w:color="auto" w:fill="DBE5F1" w:themeFill="accent1" w:themeFillTint="33"/>
            <w:vAlign w:val="center"/>
            <w:hideMark/>
          </w:tcPr>
          <w:p w:rsidR="00C3487A" w:rsidRPr="00322BD0" w:rsidRDefault="00C3487A" w:rsidP="006E32D9">
            <w:pPr>
              <w:spacing w:after="0" w:line="240" w:lineRule="auto"/>
              <w:ind w:firstLine="0"/>
              <w:jc w:val="center"/>
              <w:rPr>
                <w:rFonts w:asciiTheme="majorHAnsi" w:eastAsia="Times New Roman" w:hAnsiTheme="majorHAnsi"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Achievement degree</w:t>
            </w:r>
          </w:p>
        </w:tc>
      </w:tr>
      <w:tr w:rsidR="0081317F" w:rsidRPr="00322BD0" w:rsidTr="00A512C6">
        <w:trPr>
          <w:trHeight w:val="388"/>
          <w:tblCellSpacing w:w="20" w:type="dxa"/>
          <w:jc w:val="center"/>
        </w:trPr>
        <w:tc>
          <w:tcPr>
            <w:tcW w:w="1340" w:type="pct"/>
            <w:shd w:val="clear" w:color="auto" w:fill="auto"/>
            <w:vAlign w:val="center"/>
            <w:hideMark/>
          </w:tcPr>
          <w:p w:rsidR="0081317F" w:rsidRPr="00322BD0" w:rsidRDefault="0081317F" w:rsidP="00A16E33">
            <w:pPr>
              <w:spacing w:after="0" w:line="240" w:lineRule="auto"/>
              <w:ind w:firstLine="0"/>
              <w:rPr>
                <w:rFonts w:ascii="Cambria" w:hAnsi="Cambria"/>
                <w:bCs/>
                <w:sz w:val="18"/>
                <w:szCs w:val="18"/>
                <w:lang w:val="en-GB" w:eastAsia="en-US"/>
              </w:rPr>
            </w:pPr>
            <w:r w:rsidRPr="00322BD0">
              <w:rPr>
                <w:rFonts w:ascii="Cambria" w:hAnsi="Cambria" w:cs="Cambria"/>
                <w:color w:val="000000"/>
                <w:sz w:val="18"/>
                <w:szCs w:val="18"/>
                <w:lang w:val="en-GB"/>
              </w:rPr>
              <w:t>Implemented investments  –thousand RON</w:t>
            </w:r>
          </w:p>
        </w:tc>
        <w:tc>
          <w:tcPr>
            <w:tcW w:w="1465" w:type="pct"/>
            <w:shd w:val="clear" w:color="auto" w:fill="auto"/>
            <w:vAlign w:val="center"/>
            <w:hideMark/>
          </w:tcPr>
          <w:p w:rsidR="0081317F" w:rsidRPr="00322BD0" w:rsidRDefault="0081317F" w:rsidP="00A16E33">
            <w:pPr>
              <w:spacing w:after="0" w:line="240" w:lineRule="auto"/>
              <w:ind w:firstLine="0"/>
              <w:rPr>
                <w:rFonts w:ascii="Cambria" w:hAnsi="Cambria"/>
                <w:bCs/>
                <w:sz w:val="18"/>
                <w:szCs w:val="18"/>
                <w:lang w:val="en-GB" w:eastAsia="en-US"/>
              </w:rPr>
            </w:pPr>
            <w:r w:rsidRPr="00322BD0">
              <w:rPr>
                <w:rFonts w:ascii="Cambria" w:hAnsi="Cambria" w:cs="Cambria"/>
                <w:color w:val="000000"/>
                <w:sz w:val="18"/>
                <w:szCs w:val="18"/>
                <w:lang w:val="en-GB"/>
              </w:rPr>
              <w:t>Achieving the programmed level</w:t>
            </w:r>
          </w:p>
        </w:tc>
        <w:tc>
          <w:tcPr>
            <w:tcW w:w="790" w:type="pct"/>
            <w:shd w:val="clear" w:color="auto" w:fill="auto"/>
            <w:vAlign w:val="center"/>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141.000</w:t>
            </w:r>
          </w:p>
        </w:tc>
        <w:tc>
          <w:tcPr>
            <w:tcW w:w="537"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143.281</w:t>
            </w:r>
          </w:p>
        </w:tc>
        <w:tc>
          <w:tcPr>
            <w:tcW w:w="738"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101,62%</w:t>
            </w:r>
          </w:p>
        </w:tc>
      </w:tr>
      <w:tr w:rsidR="0081317F" w:rsidRPr="00322BD0" w:rsidTr="00A512C6">
        <w:trPr>
          <w:trHeight w:val="298"/>
          <w:tblCellSpacing w:w="20" w:type="dxa"/>
          <w:jc w:val="center"/>
        </w:trPr>
        <w:tc>
          <w:tcPr>
            <w:tcW w:w="1340" w:type="pct"/>
            <w:shd w:val="clear" w:color="auto" w:fill="FFFFFF" w:themeFill="background1"/>
            <w:vAlign w:val="center"/>
            <w:hideMark/>
          </w:tcPr>
          <w:p w:rsidR="0081317F" w:rsidRPr="00322BD0" w:rsidRDefault="0081317F" w:rsidP="00552194">
            <w:pPr>
              <w:spacing w:after="0" w:line="240" w:lineRule="auto"/>
              <w:ind w:firstLine="0"/>
              <w:rPr>
                <w:rFonts w:ascii="Cambria" w:hAnsi="Cambria"/>
                <w:bCs/>
                <w:sz w:val="18"/>
                <w:szCs w:val="18"/>
                <w:lang w:val="en-GB" w:eastAsia="en-US"/>
              </w:rPr>
            </w:pPr>
            <w:r w:rsidRPr="00322BD0">
              <w:rPr>
                <w:rFonts w:ascii="Cambria" w:hAnsi="Cambria"/>
                <w:bCs/>
                <w:sz w:val="18"/>
                <w:szCs w:val="18"/>
                <w:lang w:val="en-GB" w:eastAsia="en-US"/>
              </w:rPr>
              <w:t>EBITDA –thousands RON</w:t>
            </w:r>
          </w:p>
        </w:tc>
        <w:tc>
          <w:tcPr>
            <w:tcW w:w="1465" w:type="pct"/>
            <w:shd w:val="clear" w:color="auto" w:fill="FFFFFF" w:themeFill="background1"/>
            <w:vAlign w:val="center"/>
            <w:hideMark/>
          </w:tcPr>
          <w:p w:rsidR="0081317F" w:rsidRPr="00322BD0" w:rsidRDefault="0081317F" w:rsidP="00552194">
            <w:pPr>
              <w:spacing w:after="0" w:line="240" w:lineRule="auto"/>
              <w:ind w:firstLine="0"/>
              <w:rPr>
                <w:rFonts w:ascii="Cambria" w:hAnsi="Cambria"/>
                <w:bCs/>
                <w:sz w:val="18"/>
                <w:szCs w:val="18"/>
                <w:lang w:val="en-GB" w:eastAsia="en-US"/>
              </w:rPr>
            </w:pPr>
            <w:r w:rsidRPr="00322BD0">
              <w:rPr>
                <w:rFonts w:ascii="Cambria" w:hAnsi="Cambria" w:cs="Cambria"/>
                <w:color w:val="000000"/>
                <w:sz w:val="18"/>
                <w:szCs w:val="18"/>
                <w:lang w:val="en-GB"/>
              </w:rPr>
              <w:t>Increasing</w:t>
            </w:r>
            <w:r w:rsidRPr="00322BD0">
              <w:rPr>
                <w:rFonts w:ascii="Cambria" w:hAnsi="Cambria"/>
                <w:bCs/>
                <w:sz w:val="18"/>
                <w:szCs w:val="18"/>
                <w:lang w:val="en-GB" w:eastAsia="en-US"/>
              </w:rPr>
              <w:t xml:space="preserve"> EBITDA</w:t>
            </w:r>
          </w:p>
        </w:tc>
        <w:tc>
          <w:tcPr>
            <w:tcW w:w="790" w:type="pct"/>
            <w:shd w:val="clear" w:color="auto" w:fill="FFFFFF" w:themeFill="background1"/>
            <w:vAlign w:val="center"/>
            <w:hideMark/>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675.539</w:t>
            </w:r>
          </w:p>
        </w:tc>
        <w:tc>
          <w:tcPr>
            <w:tcW w:w="537" w:type="pct"/>
            <w:shd w:val="clear" w:color="auto" w:fill="FFFFFF" w:themeFill="background1"/>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900.091</w:t>
            </w:r>
          </w:p>
        </w:tc>
        <w:tc>
          <w:tcPr>
            <w:tcW w:w="738" w:type="pct"/>
            <w:shd w:val="clear" w:color="auto" w:fill="FFFFFF" w:themeFill="background1"/>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133,24%</w:t>
            </w:r>
          </w:p>
        </w:tc>
      </w:tr>
      <w:tr w:rsidR="0081317F" w:rsidRPr="00322BD0" w:rsidTr="00A512C6">
        <w:trPr>
          <w:trHeight w:val="693"/>
          <w:tblCellSpacing w:w="20" w:type="dxa"/>
          <w:jc w:val="center"/>
        </w:trPr>
        <w:tc>
          <w:tcPr>
            <w:tcW w:w="1340" w:type="pct"/>
            <w:shd w:val="clear" w:color="auto" w:fill="auto"/>
            <w:vAlign w:val="center"/>
            <w:hideMark/>
          </w:tcPr>
          <w:p w:rsidR="0081317F" w:rsidRPr="00322BD0" w:rsidRDefault="0081317F" w:rsidP="0099345B">
            <w:pPr>
              <w:spacing w:after="0" w:line="240" w:lineRule="auto"/>
              <w:ind w:firstLine="0"/>
              <w:rPr>
                <w:rFonts w:ascii="Cambria" w:hAnsi="Cambria"/>
                <w:bCs/>
                <w:sz w:val="18"/>
                <w:szCs w:val="18"/>
                <w:lang w:val="en-GB" w:eastAsia="en-US"/>
              </w:rPr>
            </w:pPr>
            <w:r w:rsidRPr="00322BD0">
              <w:rPr>
                <w:rFonts w:ascii="Cambria" w:hAnsi="Cambria" w:cs="Cambria"/>
                <w:color w:val="000000"/>
                <w:sz w:val="18"/>
                <w:szCs w:val="18"/>
                <w:lang w:val="en-GB"/>
              </w:rPr>
              <w:t>Work productivity</w:t>
            </w:r>
            <w:r w:rsidRPr="00322BD0">
              <w:rPr>
                <w:rFonts w:ascii="Cambria" w:hAnsi="Cambria"/>
                <w:bCs/>
                <w:sz w:val="18"/>
                <w:szCs w:val="18"/>
                <w:lang w:val="en-GB" w:eastAsia="en-US"/>
              </w:rPr>
              <w:t xml:space="preserve"> –RON/pers</w:t>
            </w:r>
          </w:p>
        </w:tc>
        <w:tc>
          <w:tcPr>
            <w:tcW w:w="1465" w:type="pct"/>
            <w:shd w:val="clear" w:color="auto" w:fill="auto"/>
            <w:vAlign w:val="center"/>
            <w:hideMark/>
          </w:tcPr>
          <w:p w:rsidR="0081317F" w:rsidRPr="00322BD0" w:rsidRDefault="0081317F" w:rsidP="0099345B">
            <w:pPr>
              <w:autoSpaceDE w:val="0"/>
              <w:autoSpaceDN w:val="0"/>
              <w:adjustRightInd w:val="0"/>
              <w:spacing w:after="0" w:line="240" w:lineRule="auto"/>
              <w:ind w:firstLine="0"/>
              <w:rPr>
                <w:rFonts w:ascii="Cambria" w:hAnsi="Cambria" w:cs="Cambria"/>
                <w:color w:val="000000"/>
                <w:sz w:val="18"/>
                <w:szCs w:val="18"/>
                <w:lang w:val="en-GB"/>
              </w:rPr>
            </w:pPr>
            <w:r w:rsidRPr="00322BD0">
              <w:rPr>
                <w:rFonts w:ascii="Cambria" w:hAnsi="Cambria" w:cs="Cambria"/>
                <w:color w:val="000000"/>
                <w:sz w:val="18"/>
                <w:szCs w:val="18"/>
                <w:lang w:val="en-GB"/>
              </w:rPr>
              <w:t>Increasing work productivity in value units (turnover / average personnel number);</w:t>
            </w:r>
          </w:p>
        </w:tc>
        <w:tc>
          <w:tcPr>
            <w:tcW w:w="790" w:type="pct"/>
            <w:shd w:val="clear" w:color="auto" w:fill="auto"/>
            <w:vAlign w:val="center"/>
            <w:hideMark/>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372.217</w:t>
            </w:r>
          </w:p>
        </w:tc>
        <w:tc>
          <w:tcPr>
            <w:tcW w:w="537"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375.177</w:t>
            </w:r>
          </w:p>
        </w:tc>
        <w:tc>
          <w:tcPr>
            <w:tcW w:w="738"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100,80%</w:t>
            </w:r>
          </w:p>
        </w:tc>
      </w:tr>
      <w:tr w:rsidR="0081317F" w:rsidRPr="00322BD0" w:rsidTr="00A512C6">
        <w:trPr>
          <w:trHeight w:val="568"/>
          <w:tblCellSpacing w:w="20" w:type="dxa"/>
          <w:jc w:val="center"/>
        </w:trPr>
        <w:tc>
          <w:tcPr>
            <w:tcW w:w="1340" w:type="pct"/>
            <w:shd w:val="clear" w:color="auto" w:fill="auto"/>
            <w:vAlign w:val="center"/>
            <w:hideMark/>
          </w:tcPr>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Overdue payments-thousand RON</w:t>
            </w:r>
          </w:p>
        </w:tc>
        <w:tc>
          <w:tcPr>
            <w:tcW w:w="1465" w:type="pct"/>
            <w:shd w:val="clear" w:color="auto" w:fill="auto"/>
            <w:vAlign w:val="center"/>
            <w:hideMark/>
          </w:tcPr>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Making payments according to contract terms (in current prices)</w:t>
            </w:r>
          </w:p>
        </w:tc>
        <w:tc>
          <w:tcPr>
            <w:tcW w:w="790" w:type="pct"/>
            <w:shd w:val="clear" w:color="auto" w:fill="auto"/>
            <w:vAlign w:val="center"/>
            <w:hideMark/>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0</w:t>
            </w:r>
          </w:p>
        </w:tc>
        <w:tc>
          <w:tcPr>
            <w:tcW w:w="537"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0</w:t>
            </w:r>
          </w:p>
        </w:tc>
        <w:tc>
          <w:tcPr>
            <w:tcW w:w="738" w:type="pct"/>
            <w:shd w:val="clear" w:color="auto" w:fill="auto"/>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100,00%</w:t>
            </w:r>
          </w:p>
        </w:tc>
      </w:tr>
      <w:tr w:rsidR="004727D1" w:rsidRPr="00322BD0" w:rsidTr="00A512C6">
        <w:trPr>
          <w:trHeight w:val="640"/>
          <w:tblCellSpacing w:w="20" w:type="dxa"/>
          <w:jc w:val="center"/>
        </w:trPr>
        <w:tc>
          <w:tcPr>
            <w:tcW w:w="1340" w:type="pct"/>
            <w:shd w:val="clear" w:color="auto" w:fill="auto"/>
            <w:vAlign w:val="center"/>
            <w:hideMark/>
          </w:tcPr>
          <w:p w:rsidR="004727D1" w:rsidRPr="00322BD0" w:rsidRDefault="004727D1"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Overdue receivables –thousand RON</w:t>
            </w:r>
          </w:p>
        </w:tc>
        <w:tc>
          <w:tcPr>
            <w:tcW w:w="1465" w:type="pct"/>
            <w:shd w:val="clear" w:color="auto" w:fill="auto"/>
            <w:vAlign w:val="center"/>
            <w:hideMark/>
          </w:tcPr>
          <w:p w:rsidR="004727D1" w:rsidRPr="00322BD0" w:rsidRDefault="004727D1"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Decreasing the volume of overdue receivables (in current prices)</w:t>
            </w:r>
          </w:p>
        </w:tc>
        <w:tc>
          <w:tcPr>
            <w:tcW w:w="790" w:type="pct"/>
            <w:shd w:val="clear" w:color="auto" w:fill="auto"/>
            <w:vAlign w:val="center"/>
            <w:hideMark/>
          </w:tcPr>
          <w:p w:rsidR="004727D1" w:rsidRPr="00B27805" w:rsidRDefault="004727D1"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65.075</w:t>
            </w:r>
          </w:p>
        </w:tc>
        <w:tc>
          <w:tcPr>
            <w:tcW w:w="537" w:type="pct"/>
            <w:shd w:val="clear" w:color="auto" w:fill="auto"/>
            <w:vAlign w:val="center"/>
          </w:tcPr>
          <w:p w:rsidR="004727D1" w:rsidRPr="00633080" w:rsidRDefault="004727D1" w:rsidP="00A64BC6">
            <w:pPr>
              <w:spacing w:after="0" w:line="240" w:lineRule="auto"/>
              <w:ind w:firstLine="0"/>
              <w:jc w:val="right"/>
              <w:rPr>
                <w:rFonts w:ascii="Cambria" w:eastAsia="Calibri" w:hAnsi="Cambria" w:cs="Arial"/>
                <w:sz w:val="16"/>
                <w:szCs w:val="16"/>
                <w:lang w:val="ro-RO" w:eastAsia="en-US"/>
              </w:rPr>
            </w:pPr>
            <w:r w:rsidRPr="00633080">
              <w:rPr>
                <w:rFonts w:ascii="Cambria" w:eastAsia="Calibri" w:hAnsi="Cambria" w:cs="Arial"/>
                <w:sz w:val="16"/>
                <w:szCs w:val="16"/>
                <w:lang w:val="ro-RO" w:eastAsia="en-US"/>
              </w:rPr>
              <w:t>268.</w:t>
            </w:r>
            <w:r>
              <w:rPr>
                <w:rFonts w:ascii="Cambria" w:eastAsia="Calibri" w:hAnsi="Cambria" w:cs="Arial"/>
                <w:sz w:val="16"/>
                <w:szCs w:val="16"/>
                <w:lang w:val="ro-RO" w:eastAsia="en-US"/>
              </w:rPr>
              <w:t>410</w:t>
            </w:r>
          </w:p>
        </w:tc>
        <w:tc>
          <w:tcPr>
            <w:tcW w:w="738" w:type="pct"/>
            <w:shd w:val="clear" w:color="auto" w:fill="auto"/>
            <w:vAlign w:val="center"/>
          </w:tcPr>
          <w:p w:rsidR="004727D1" w:rsidRPr="00633080" w:rsidRDefault="004727D1" w:rsidP="00A64BC6">
            <w:pPr>
              <w:spacing w:after="0" w:line="240" w:lineRule="auto"/>
              <w:ind w:firstLine="0"/>
              <w:jc w:val="right"/>
              <w:rPr>
                <w:rFonts w:ascii="Cambria" w:eastAsia="Calibri" w:hAnsi="Cambria" w:cs="Arial"/>
                <w:sz w:val="16"/>
                <w:szCs w:val="16"/>
                <w:lang w:val="ro-RO" w:eastAsia="en-US"/>
              </w:rPr>
            </w:pPr>
            <w:r w:rsidRPr="00633080">
              <w:rPr>
                <w:rFonts w:ascii="Cambria" w:eastAsia="Calibri" w:hAnsi="Cambria" w:cs="Arial"/>
                <w:sz w:val="16"/>
                <w:szCs w:val="16"/>
                <w:lang w:val="ro-RO" w:eastAsia="en-US"/>
              </w:rPr>
              <w:t>24,2</w:t>
            </w:r>
            <w:r>
              <w:rPr>
                <w:rFonts w:ascii="Cambria" w:eastAsia="Calibri" w:hAnsi="Cambria" w:cs="Arial"/>
                <w:sz w:val="16"/>
                <w:szCs w:val="16"/>
                <w:lang w:val="ro-RO" w:eastAsia="en-US"/>
              </w:rPr>
              <w:t>4</w:t>
            </w:r>
            <w:r w:rsidRPr="00633080">
              <w:rPr>
                <w:rFonts w:ascii="Cambria" w:eastAsia="Calibri" w:hAnsi="Cambria" w:cs="Arial"/>
                <w:sz w:val="16"/>
                <w:szCs w:val="16"/>
                <w:lang w:val="ro-RO" w:eastAsia="en-US"/>
              </w:rPr>
              <w:t>%</w:t>
            </w:r>
          </w:p>
        </w:tc>
      </w:tr>
      <w:tr w:rsidR="0081317F" w:rsidRPr="00322BD0" w:rsidTr="00A512C6">
        <w:trPr>
          <w:trHeight w:val="667"/>
          <w:tblCellSpacing w:w="20" w:type="dxa"/>
          <w:jc w:val="center"/>
        </w:trPr>
        <w:tc>
          <w:tcPr>
            <w:tcW w:w="1340" w:type="pct"/>
            <w:shd w:val="clear" w:color="auto" w:fill="FFFFFF" w:themeFill="background1"/>
            <w:vAlign w:val="center"/>
            <w:hideMark/>
          </w:tcPr>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Technological consumption- %</w:t>
            </w:r>
          </w:p>
        </w:tc>
        <w:tc>
          <w:tcPr>
            <w:tcW w:w="1465" w:type="pct"/>
            <w:shd w:val="clear" w:color="auto" w:fill="FFFFFF" w:themeFill="background1"/>
            <w:vAlign w:val="center"/>
            <w:hideMark/>
          </w:tcPr>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Meeting the quantities of natural gas representing technological consumption</w:t>
            </w:r>
          </w:p>
        </w:tc>
        <w:tc>
          <w:tcPr>
            <w:tcW w:w="790" w:type="pct"/>
            <w:shd w:val="clear" w:color="auto" w:fill="FFFFFF" w:themeFill="background1"/>
            <w:vAlign w:val="center"/>
            <w:hideMark/>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100%</w:t>
            </w:r>
          </w:p>
        </w:tc>
        <w:tc>
          <w:tcPr>
            <w:tcW w:w="537" w:type="pct"/>
            <w:shd w:val="clear" w:color="auto" w:fill="FFFFFF" w:themeFill="background1"/>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37%</w:t>
            </w:r>
          </w:p>
        </w:tc>
        <w:tc>
          <w:tcPr>
            <w:tcW w:w="738" w:type="pct"/>
            <w:shd w:val="clear" w:color="auto" w:fill="FFFFFF" w:themeFill="background1"/>
            <w:vAlign w:val="center"/>
          </w:tcPr>
          <w:p w:rsidR="0081317F" w:rsidRPr="00633080" w:rsidRDefault="0081317F" w:rsidP="008C7102">
            <w:pPr>
              <w:spacing w:after="0" w:line="240" w:lineRule="auto"/>
              <w:ind w:firstLine="0"/>
              <w:jc w:val="right"/>
              <w:rPr>
                <w:rFonts w:ascii="Cambria" w:eastAsia="Calibri" w:hAnsi="Cambria" w:cs="Arial"/>
                <w:sz w:val="16"/>
                <w:szCs w:val="16"/>
                <w:lang w:val="ro-RO" w:eastAsia="en-US"/>
              </w:rPr>
            </w:pPr>
            <w:r w:rsidRPr="00633080">
              <w:rPr>
                <w:rFonts w:ascii="Cambria" w:eastAsia="Calibri" w:hAnsi="Cambria" w:cs="Arial"/>
                <w:sz w:val="16"/>
                <w:szCs w:val="16"/>
                <w:lang w:val="ro-RO" w:eastAsia="en-US"/>
              </w:rPr>
              <w:t>267,71%</w:t>
            </w:r>
          </w:p>
        </w:tc>
      </w:tr>
      <w:tr w:rsidR="0081317F" w:rsidRPr="00322BD0" w:rsidTr="00A512C6">
        <w:trPr>
          <w:trHeight w:val="658"/>
          <w:tblCellSpacing w:w="20" w:type="dxa"/>
          <w:jc w:val="center"/>
        </w:trPr>
        <w:tc>
          <w:tcPr>
            <w:tcW w:w="1340" w:type="pct"/>
            <w:shd w:val="clear" w:color="auto" w:fill="FFFFFF" w:themeFill="background1"/>
            <w:vAlign w:val="center"/>
            <w:hideMark/>
          </w:tcPr>
          <w:p w:rsidR="0081317F" w:rsidRPr="00322BD0" w:rsidRDefault="0081317F" w:rsidP="00552194">
            <w:pPr>
              <w:autoSpaceDE w:val="0"/>
              <w:autoSpaceDN w:val="0"/>
              <w:adjustRightInd w:val="0"/>
              <w:spacing w:line="240" w:lineRule="auto"/>
              <w:ind w:firstLine="0"/>
              <w:rPr>
                <w:rFonts w:ascii="Cambria" w:hAnsi="Cambria" w:cs="Cambria"/>
                <w:color w:val="000000"/>
                <w:sz w:val="18"/>
                <w:szCs w:val="18"/>
                <w:lang w:val="en-GB"/>
              </w:rPr>
            </w:pPr>
            <w:r w:rsidRPr="00322BD0">
              <w:rPr>
                <w:rFonts w:ascii="Cambria" w:hAnsi="Cambria" w:cs="Cambria"/>
                <w:color w:val="000000"/>
                <w:sz w:val="18"/>
                <w:szCs w:val="18"/>
                <w:lang w:val="en-GB"/>
              </w:rPr>
              <w:t>Operating expenses for 1000 RON operating income</w:t>
            </w:r>
          </w:p>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RON</w:t>
            </w:r>
          </w:p>
        </w:tc>
        <w:tc>
          <w:tcPr>
            <w:tcW w:w="1465" w:type="pct"/>
            <w:shd w:val="clear" w:color="auto" w:fill="FFFFFF" w:themeFill="background1"/>
            <w:vAlign w:val="center"/>
            <w:hideMark/>
          </w:tcPr>
          <w:p w:rsidR="0081317F" w:rsidRPr="00322BD0" w:rsidRDefault="0081317F" w:rsidP="00552194">
            <w:pPr>
              <w:autoSpaceDE w:val="0"/>
              <w:autoSpaceDN w:val="0"/>
              <w:adjustRightInd w:val="0"/>
              <w:spacing w:line="240" w:lineRule="auto"/>
              <w:ind w:firstLine="0"/>
              <w:rPr>
                <w:rFonts w:ascii="Cambria" w:hAnsi="Cambria" w:cs="Calibri"/>
                <w:sz w:val="18"/>
                <w:szCs w:val="18"/>
                <w:lang w:val="en-GB"/>
              </w:rPr>
            </w:pPr>
            <w:r w:rsidRPr="00322BD0">
              <w:rPr>
                <w:rFonts w:ascii="Cambria" w:hAnsi="Cambria" w:cs="Cambria"/>
                <w:color w:val="000000"/>
                <w:sz w:val="18"/>
                <w:szCs w:val="18"/>
                <w:lang w:val="en-GB"/>
              </w:rPr>
              <w:t>Decreasing operating expenses for 1000 RON operating income</w:t>
            </w:r>
          </w:p>
        </w:tc>
        <w:tc>
          <w:tcPr>
            <w:tcW w:w="790" w:type="pct"/>
            <w:shd w:val="clear" w:color="auto" w:fill="FFFFFF" w:themeFill="background1"/>
            <w:vAlign w:val="center"/>
            <w:hideMark/>
          </w:tcPr>
          <w:p w:rsidR="0081317F" w:rsidRPr="00B27805" w:rsidRDefault="0081317F" w:rsidP="00A56D34">
            <w:pPr>
              <w:spacing w:after="0" w:line="240" w:lineRule="auto"/>
              <w:ind w:firstLine="0"/>
              <w:jc w:val="right"/>
              <w:rPr>
                <w:rFonts w:ascii="Cambria" w:eastAsia="Times New Roman" w:hAnsi="Cambria" w:cs="Times New Roman"/>
                <w:sz w:val="20"/>
                <w:szCs w:val="20"/>
                <w:lang w:val="ro-RO" w:eastAsia="en-US"/>
              </w:rPr>
            </w:pPr>
            <w:r w:rsidRPr="00B27805">
              <w:rPr>
                <w:rFonts w:ascii="Cambria" w:eastAsia="Times New Roman" w:hAnsi="Cambria" w:cs="Times New Roman"/>
                <w:sz w:val="20"/>
                <w:szCs w:val="20"/>
                <w:lang w:val="ro-RO" w:eastAsia="en-US"/>
              </w:rPr>
              <w:t>735,09</w:t>
            </w:r>
          </w:p>
        </w:tc>
        <w:tc>
          <w:tcPr>
            <w:tcW w:w="537" w:type="pct"/>
            <w:shd w:val="clear" w:color="auto" w:fill="FFFFFF" w:themeFill="background1"/>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630,80</w:t>
            </w:r>
          </w:p>
        </w:tc>
        <w:tc>
          <w:tcPr>
            <w:tcW w:w="738" w:type="pct"/>
            <w:shd w:val="clear" w:color="auto" w:fill="FFFFFF" w:themeFill="background1"/>
            <w:vAlign w:val="center"/>
          </w:tcPr>
          <w:p w:rsidR="0081317F" w:rsidRPr="00633080" w:rsidRDefault="0081317F" w:rsidP="008C7102">
            <w:pPr>
              <w:spacing w:after="0" w:line="240" w:lineRule="auto"/>
              <w:ind w:firstLine="0"/>
              <w:jc w:val="right"/>
              <w:rPr>
                <w:rFonts w:ascii="Cambria" w:eastAsia="Times New Roman" w:hAnsi="Cambria" w:cs="Times New Roman"/>
                <w:sz w:val="16"/>
                <w:szCs w:val="16"/>
                <w:lang w:val="ro-RO" w:eastAsia="en-US"/>
              </w:rPr>
            </w:pPr>
            <w:r w:rsidRPr="00633080">
              <w:rPr>
                <w:rFonts w:ascii="Cambria" w:eastAsia="Times New Roman" w:hAnsi="Cambria" w:cs="Times New Roman"/>
                <w:sz w:val="16"/>
                <w:szCs w:val="16"/>
                <w:lang w:val="ro-RO" w:eastAsia="en-US"/>
              </w:rPr>
              <w:t>116,53%</w:t>
            </w:r>
          </w:p>
        </w:tc>
      </w:tr>
    </w:tbl>
    <w:p w:rsidR="00773AE0" w:rsidRPr="00322BD0" w:rsidRDefault="00773AE0" w:rsidP="00743544">
      <w:pPr>
        <w:spacing w:after="0" w:line="240" w:lineRule="auto"/>
        <w:ind w:firstLine="0"/>
        <w:jc w:val="center"/>
        <w:rPr>
          <w:rFonts w:ascii="Cambria" w:eastAsia="Times New Roman" w:hAnsi="Cambria" w:cs="Times New Roman"/>
          <w:b/>
          <w:i/>
          <w:sz w:val="16"/>
          <w:szCs w:val="16"/>
          <w:lang w:val="en-GB" w:eastAsia="ro-RO"/>
        </w:rPr>
      </w:pPr>
    </w:p>
    <w:p w:rsidR="00A53D2A" w:rsidRPr="00322BD0" w:rsidRDefault="00C3487A" w:rsidP="00743544">
      <w:pPr>
        <w:spacing w:after="0" w:line="240" w:lineRule="auto"/>
        <w:ind w:firstLine="0"/>
        <w:jc w:val="center"/>
        <w:rPr>
          <w:rFonts w:ascii="Cambria" w:eastAsia="Times New Roman" w:hAnsi="Cambria" w:cs="Cambria"/>
          <w:b/>
          <w:bCs/>
          <w:i/>
          <w:iCs/>
          <w:sz w:val="16"/>
          <w:szCs w:val="16"/>
          <w:lang w:val="en-GB"/>
        </w:rPr>
      </w:pPr>
      <w:r w:rsidRPr="00322BD0">
        <w:rPr>
          <w:rFonts w:ascii="Cambria" w:eastAsia="Times New Roman" w:hAnsi="Cambria" w:cs="Times New Roman"/>
          <w:b/>
          <w:i/>
          <w:sz w:val="16"/>
          <w:szCs w:val="16"/>
          <w:lang w:val="en-GB" w:eastAsia="ro-RO"/>
        </w:rPr>
        <w:t>Table 1</w:t>
      </w:r>
      <w:r w:rsidR="00A512C6">
        <w:rPr>
          <w:rFonts w:ascii="Cambria" w:eastAsia="Times New Roman" w:hAnsi="Cambria" w:cs="Times New Roman"/>
          <w:b/>
          <w:i/>
          <w:sz w:val="16"/>
          <w:szCs w:val="16"/>
          <w:lang w:val="en-GB" w:eastAsia="ro-RO"/>
        </w:rPr>
        <w:t>7</w:t>
      </w:r>
      <w:r w:rsidRPr="00322BD0">
        <w:rPr>
          <w:rFonts w:ascii="Cambria" w:eastAsia="Times New Roman" w:hAnsi="Cambria" w:cs="Times New Roman"/>
          <w:b/>
          <w:i/>
          <w:sz w:val="16"/>
          <w:szCs w:val="16"/>
          <w:lang w:val="en-GB" w:eastAsia="ro-RO"/>
        </w:rPr>
        <w:t xml:space="preserve">– </w:t>
      </w:r>
      <w:r w:rsidRPr="00322BD0">
        <w:rPr>
          <w:rFonts w:ascii="Cambria" w:eastAsia="Times New Roman" w:hAnsi="Cambria" w:cs="Cambria"/>
          <w:b/>
          <w:bCs/>
          <w:i/>
          <w:iCs/>
          <w:sz w:val="16"/>
          <w:szCs w:val="16"/>
          <w:lang w:val="en-GB"/>
        </w:rPr>
        <w:t xml:space="preserve">Degree of fulfilment of standard performance indicators </w:t>
      </w:r>
      <w:r w:rsidR="00A512C6">
        <w:rPr>
          <w:rFonts w:ascii="Cambria" w:eastAsia="Times New Roman" w:hAnsi="Cambria" w:cs="Cambria"/>
          <w:b/>
          <w:bCs/>
          <w:i/>
          <w:iCs/>
          <w:sz w:val="16"/>
          <w:szCs w:val="16"/>
          <w:lang w:val="en-GB"/>
        </w:rPr>
        <w:t>at 31 December 2016</w:t>
      </w:r>
    </w:p>
    <w:p w:rsidR="00C808CB" w:rsidRPr="00322BD0" w:rsidRDefault="00C808CB" w:rsidP="00C808CB">
      <w:pPr>
        <w:spacing w:after="0" w:line="240" w:lineRule="auto"/>
        <w:ind w:firstLine="0"/>
        <w:rPr>
          <w:rFonts w:ascii="Cambria" w:eastAsia="Times New Roman" w:hAnsi="Cambria" w:cs="Cambria"/>
          <w:b/>
          <w:bCs/>
          <w:i/>
          <w:iCs/>
          <w:sz w:val="16"/>
          <w:szCs w:val="16"/>
          <w:lang w:val="en-GB"/>
        </w:rPr>
      </w:pPr>
    </w:p>
    <w:p w:rsidR="00C808CB" w:rsidRPr="00322BD0" w:rsidRDefault="00C808CB" w:rsidP="00C808CB">
      <w:pPr>
        <w:spacing w:after="0" w:line="240" w:lineRule="auto"/>
        <w:ind w:firstLine="0"/>
        <w:rPr>
          <w:rFonts w:ascii="Cambria" w:eastAsia="Times New Roman" w:hAnsi="Cambria" w:cs="Cambria"/>
          <w:bCs/>
          <w:iCs/>
          <w:sz w:val="24"/>
          <w:szCs w:val="24"/>
          <w:lang w:val="en-GB"/>
        </w:rPr>
      </w:pPr>
      <w:r w:rsidRPr="00322BD0">
        <w:rPr>
          <w:rFonts w:ascii="Cambria" w:eastAsia="Times New Roman" w:hAnsi="Cambria" w:cs="Cambria"/>
          <w:bCs/>
          <w:iCs/>
          <w:sz w:val="24"/>
          <w:szCs w:val="24"/>
          <w:lang w:val="en-GB"/>
        </w:rPr>
        <w:t>The evolution of the standard performance indicators</w:t>
      </w:r>
      <w:r w:rsidR="00F0257D">
        <w:rPr>
          <w:rFonts w:ascii="Cambria" w:eastAsia="Times New Roman" w:hAnsi="Cambria" w:cs="Cambria"/>
          <w:bCs/>
          <w:iCs/>
          <w:sz w:val="24"/>
          <w:szCs w:val="24"/>
          <w:lang w:val="en-GB"/>
        </w:rPr>
        <w:t xml:space="preserve"> in the period</w:t>
      </w:r>
      <w:r w:rsidR="00A512C6">
        <w:rPr>
          <w:rFonts w:ascii="Cambria" w:eastAsia="Times New Roman" w:hAnsi="Cambria" w:cs="Cambria"/>
          <w:bCs/>
          <w:iCs/>
          <w:sz w:val="24"/>
          <w:szCs w:val="24"/>
          <w:lang w:val="en-GB"/>
        </w:rPr>
        <w:t xml:space="preserve"> 2013-2016</w:t>
      </w:r>
      <w:r w:rsidR="00A61527" w:rsidRPr="00322BD0">
        <w:rPr>
          <w:rFonts w:ascii="Cambria" w:eastAsia="Times New Roman" w:hAnsi="Cambria" w:cs="Cambria"/>
          <w:bCs/>
          <w:iCs/>
          <w:sz w:val="24"/>
          <w:szCs w:val="24"/>
          <w:lang w:val="en-GB"/>
        </w:rPr>
        <w:t>:</w:t>
      </w:r>
    </w:p>
    <w:tbl>
      <w:tblPr>
        <w:tblW w:w="5243" w:type="pct"/>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1097"/>
        <w:gridCol w:w="886"/>
        <w:gridCol w:w="819"/>
        <w:gridCol w:w="1012"/>
        <w:gridCol w:w="830"/>
        <w:gridCol w:w="1004"/>
        <w:gridCol w:w="1078"/>
        <w:gridCol w:w="881"/>
        <w:gridCol w:w="892"/>
        <w:gridCol w:w="950"/>
      </w:tblGrid>
      <w:tr w:rsidR="00A56D34" w:rsidRPr="00322BD0" w:rsidTr="0081317F">
        <w:trPr>
          <w:trHeight w:val="208"/>
          <w:tblHeader/>
          <w:tblCellSpacing w:w="20" w:type="dxa"/>
          <w:jc w:val="center"/>
        </w:trPr>
        <w:tc>
          <w:tcPr>
            <w:tcW w:w="559" w:type="pct"/>
            <w:vMerge w:val="restart"/>
            <w:shd w:val="clear" w:color="auto" w:fill="D6E0F4"/>
            <w:vAlign w:val="center"/>
            <w:hideMark/>
          </w:tcPr>
          <w:p w:rsidR="00FC6CAB" w:rsidRPr="00322BD0" w:rsidRDefault="00FC6CAB" w:rsidP="00A56D34">
            <w:pPr>
              <w:spacing w:after="0" w:line="240" w:lineRule="auto"/>
              <w:ind w:left="-42" w:right="-144" w:firstLine="0"/>
              <w:jc w:val="center"/>
              <w:rPr>
                <w:rFonts w:ascii="Cambria" w:eastAsia="Times New Roman" w:hAnsi="Cambria" w:cs="Times New Roman"/>
                <w:b/>
                <w:bCs/>
                <w:color w:val="000000"/>
                <w:sz w:val="14"/>
                <w:szCs w:val="14"/>
                <w:lang w:val="en-GB" w:eastAsia="en-US"/>
              </w:rPr>
            </w:pPr>
            <w:r w:rsidRPr="00322BD0">
              <w:rPr>
                <w:rFonts w:ascii="Cambria" w:hAnsi="Cambria" w:cs="Cambria"/>
                <w:b/>
                <w:bCs/>
                <w:color w:val="000000"/>
                <w:sz w:val="14"/>
                <w:szCs w:val="14"/>
                <w:lang w:val="en-GB"/>
              </w:rPr>
              <w:lastRenderedPageBreak/>
              <w:t>Performance criteria</w:t>
            </w:r>
          </w:p>
        </w:tc>
        <w:tc>
          <w:tcPr>
            <w:tcW w:w="456" w:type="pct"/>
            <w:vMerge w:val="restart"/>
            <w:shd w:val="clear" w:color="auto" w:fill="D6E0F4"/>
            <w:vAlign w:val="center"/>
            <w:hideMark/>
          </w:tcPr>
          <w:p w:rsidR="00FC6CAB" w:rsidRPr="00322BD0" w:rsidRDefault="00FC6CAB" w:rsidP="00A56D34">
            <w:pPr>
              <w:spacing w:after="0" w:line="240" w:lineRule="auto"/>
              <w:ind w:right="-76" w:firstLine="0"/>
              <w:jc w:val="center"/>
              <w:rPr>
                <w:rFonts w:ascii="Cambria" w:eastAsia="Times New Roman" w:hAnsi="Cambria" w:cs="Times New Roman"/>
                <w:b/>
                <w:bCs/>
                <w:color w:val="000000"/>
                <w:sz w:val="14"/>
                <w:szCs w:val="14"/>
                <w:lang w:val="en-GB" w:eastAsia="en-US"/>
              </w:rPr>
            </w:pPr>
            <w:r w:rsidRPr="00322BD0">
              <w:rPr>
                <w:rFonts w:ascii="Cambria" w:hAnsi="Cambria" w:cs="Cambria"/>
                <w:b/>
                <w:bCs/>
                <w:color w:val="000000"/>
                <w:sz w:val="14"/>
                <w:szCs w:val="14"/>
                <w:lang w:val="en-GB"/>
              </w:rPr>
              <w:t>Performance objective</w:t>
            </w:r>
          </w:p>
        </w:tc>
        <w:tc>
          <w:tcPr>
            <w:tcW w:w="944" w:type="pct"/>
            <w:gridSpan w:val="2"/>
            <w:shd w:val="clear" w:color="auto" w:fill="D6E0F4"/>
            <w:vAlign w:val="center"/>
          </w:tcPr>
          <w:p w:rsidR="00FC6CAB" w:rsidRPr="00322BD0" w:rsidRDefault="00FC6CAB" w:rsidP="00A56D34">
            <w:pPr>
              <w:spacing w:after="0" w:line="240" w:lineRule="auto"/>
              <w:ind w:right="-83" w:firstLine="0"/>
              <w:jc w:val="center"/>
              <w:rPr>
                <w:rFonts w:asciiTheme="majorHAnsi" w:eastAsia="Times New Roman" w:hAnsiTheme="majorHAnsi" w:cs="Times New Roman"/>
                <w:b/>
                <w:bCs/>
                <w:sz w:val="18"/>
                <w:szCs w:val="18"/>
                <w:lang w:val="en-GB" w:eastAsia="en-US"/>
              </w:rPr>
            </w:pPr>
            <w:r w:rsidRPr="00322BD0">
              <w:rPr>
                <w:rFonts w:asciiTheme="majorHAnsi" w:eastAsia="Times New Roman" w:hAnsiTheme="majorHAnsi" w:cs="Times New Roman"/>
                <w:b/>
                <w:bCs/>
                <w:sz w:val="18"/>
                <w:szCs w:val="18"/>
                <w:lang w:val="en-GB" w:eastAsia="en-US"/>
              </w:rPr>
              <w:t>2013</w:t>
            </w:r>
          </w:p>
        </w:tc>
        <w:tc>
          <w:tcPr>
            <w:tcW w:w="945" w:type="pct"/>
            <w:gridSpan w:val="2"/>
            <w:shd w:val="clear" w:color="auto" w:fill="D6E0F4"/>
            <w:vAlign w:val="center"/>
          </w:tcPr>
          <w:p w:rsidR="00FC6CAB" w:rsidRPr="00322BD0" w:rsidRDefault="00FC6CAB" w:rsidP="00A56D34">
            <w:pPr>
              <w:spacing w:after="0" w:line="240" w:lineRule="auto"/>
              <w:ind w:right="-85" w:firstLine="0"/>
              <w:jc w:val="center"/>
              <w:rPr>
                <w:rFonts w:asciiTheme="majorHAnsi" w:eastAsia="Times New Roman" w:hAnsiTheme="majorHAnsi" w:cs="Times New Roman"/>
                <w:b/>
                <w:bCs/>
                <w:sz w:val="18"/>
                <w:szCs w:val="18"/>
                <w:lang w:val="en-GB" w:eastAsia="en-US"/>
              </w:rPr>
            </w:pPr>
            <w:r w:rsidRPr="00322BD0">
              <w:rPr>
                <w:rFonts w:asciiTheme="majorHAnsi" w:eastAsia="Times New Roman" w:hAnsiTheme="majorHAnsi" w:cs="Times New Roman"/>
                <w:b/>
                <w:bCs/>
                <w:sz w:val="18"/>
                <w:szCs w:val="18"/>
                <w:lang w:val="en-GB" w:eastAsia="en-US"/>
              </w:rPr>
              <w:t>2014</w:t>
            </w:r>
          </w:p>
        </w:tc>
        <w:tc>
          <w:tcPr>
            <w:tcW w:w="1014" w:type="pct"/>
            <w:gridSpan w:val="2"/>
            <w:shd w:val="clear" w:color="auto" w:fill="D6E0F4"/>
            <w:vAlign w:val="center"/>
          </w:tcPr>
          <w:p w:rsidR="00FC6CAB" w:rsidRPr="00322BD0" w:rsidRDefault="00FC6CAB" w:rsidP="00A56D34">
            <w:pPr>
              <w:spacing w:after="0" w:line="240" w:lineRule="auto"/>
              <w:ind w:right="-85" w:firstLine="0"/>
              <w:jc w:val="center"/>
              <w:rPr>
                <w:rFonts w:asciiTheme="majorHAnsi" w:eastAsia="Times New Roman" w:hAnsiTheme="majorHAnsi" w:cs="Times New Roman"/>
                <w:b/>
                <w:bCs/>
                <w:sz w:val="18"/>
                <w:szCs w:val="18"/>
                <w:lang w:val="en-GB" w:eastAsia="en-US"/>
              </w:rPr>
            </w:pPr>
            <w:r w:rsidRPr="00322BD0">
              <w:rPr>
                <w:rFonts w:asciiTheme="majorHAnsi" w:eastAsia="Times New Roman" w:hAnsiTheme="majorHAnsi" w:cs="Times New Roman"/>
                <w:b/>
                <w:bCs/>
                <w:sz w:val="18"/>
                <w:szCs w:val="18"/>
                <w:lang w:val="en-GB" w:eastAsia="en-US"/>
              </w:rPr>
              <w:t>2015</w:t>
            </w:r>
          </w:p>
        </w:tc>
        <w:tc>
          <w:tcPr>
            <w:tcW w:w="939" w:type="pct"/>
            <w:gridSpan w:val="2"/>
            <w:shd w:val="clear" w:color="auto" w:fill="D6E0F4"/>
          </w:tcPr>
          <w:p w:rsidR="00FC6CAB" w:rsidRDefault="00FC6CAB" w:rsidP="00B23078">
            <w:pPr>
              <w:spacing w:after="0" w:line="240" w:lineRule="auto"/>
              <w:ind w:firstLine="0"/>
              <w:jc w:val="center"/>
              <w:rPr>
                <w:rFonts w:asciiTheme="majorHAnsi" w:eastAsia="Times New Roman" w:hAnsiTheme="majorHAnsi" w:cs="Times New Roman"/>
                <w:b/>
                <w:bCs/>
                <w:sz w:val="18"/>
                <w:szCs w:val="18"/>
                <w:lang w:val="en-GB" w:eastAsia="en-US"/>
              </w:rPr>
            </w:pPr>
            <w:r>
              <w:rPr>
                <w:rFonts w:asciiTheme="majorHAnsi" w:eastAsia="Times New Roman" w:hAnsiTheme="majorHAnsi" w:cs="Times New Roman"/>
                <w:b/>
                <w:bCs/>
                <w:sz w:val="18"/>
                <w:szCs w:val="18"/>
                <w:lang w:val="en-GB" w:eastAsia="en-US"/>
              </w:rPr>
              <w:t>2016</w:t>
            </w:r>
          </w:p>
        </w:tc>
      </w:tr>
      <w:tr w:rsidR="00A56D34" w:rsidRPr="00322BD0" w:rsidTr="0081317F">
        <w:trPr>
          <w:trHeight w:val="650"/>
          <w:tblHeader/>
          <w:tblCellSpacing w:w="20" w:type="dxa"/>
          <w:jc w:val="center"/>
        </w:trPr>
        <w:tc>
          <w:tcPr>
            <w:tcW w:w="559" w:type="pct"/>
            <w:vMerge/>
            <w:shd w:val="clear" w:color="auto" w:fill="D6E0F4"/>
            <w:vAlign w:val="center"/>
          </w:tcPr>
          <w:p w:rsidR="00A56D34" w:rsidRPr="00322BD0" w:rsidRDefault="00A56D34" w:rsidP="00A56D34">
            <w:pPr>
              <w:spacing w:after="0" w:line="240" w:lineRule="auto"/>
              <w:ind w:left="-42" w:right="-144" w:firstLine="0"/>
              <w:jc w:val="center"/>
              <w:rPr>
                <w:rFonts w:asciiTheme="majorHAnsi" w:eastAsia="Times New Roman" w:hAnsiTheme="majorHAnsi" w:cs="Times New Roman"/>
                <w:b/>
                <w:bCs/>
                <w:sz w:val="18"/>
                <w:szCs w:val="18"/>
                <w:lang w:val="en-GB" w:eastAsia="en-US"/>
              </w:rPr>
            </w:pPr>
          </w:p>
        </w:tc>
        <w:tc>
          <w:tcPr>
            <w:tcW w:w="456" w:type="pct"/>
            <w:vMerge/>
            <w:shd w:val="clear" w:color="auto" w:fill="D6E0F4"/>
            <w:vAlign w:val="center"/>
          </w:tcPr>
          <w:p w:rsidR="00A56D34" w:rsidRPr="00322BD0" w:rsidRDefault="00A56D34" w:rsidP="00A56D34">
            <w:pPr>
              <w:spacing w:after="0" w:line="240" w:lineRule="auto"/>
              <w:ind w:right="-76" w:firstLine="0"/>
              <w:jc w:val="center"/>
              <w:rPr>
                <w:rFonts w:asciiTheme="majorHAnsi" w:eastAsia="Times New Roman" w:hAnsiTheme="majorHAnsi" w:cs="Times New Roman"/>
                <w:b/>
                <w:bCs/>
                <w:sz w:val="18"/>
                <w:szCs w:val="18"/>
                <w:lang w:val="en-GB" w:eastAsia="en-US"/>
              </w:rPr>
            </w:pPr>
          </w:p>
        </w:tc>
        <w:tc>
          <w:tcPr>
            <w:tcW w:w="420" w:type="pct"/>
            <w:shd w:val="clear" w:color="auto" w:fill="D6E0F4"/>
            <w:vAlign w:val="center"/>
          </w:tcPr>
          <w:p w:rsidR="00A56D34" w:rsidRPr="00322BD0" w:rsidRDefault="00A56D34" w:rsidP="00A56D34">
            <w:pPr>
              <w:spacing w:after="80" w:line="240" w:lineRule="auto"/>
              <w:ind w:right="-83"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Management Plan</w:t>
            </w:r>
          </w:p>
        </w:tc>
        <w:tc>
          <w:tcPr>
            <w:tcW w:w="504" w:type="pct"/>
            <w:shd w:val="clear" w:color="auto" w:fill="D6E0F4"/>
            <w:vAlign w:val="center"/>
          </w:tcPr>
          <w:p w:rsidR="00A56D34" w:rsidRPr="00322BD0" w:rsidRDefault="00A56D34" w:rsidP="00A56D34">
            <w:pPr>
              <w:spacing w:after="80" w:line="240" w:lineRule="auto"/>
              <w:ind w:right="-83"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Achieved</w:t>
            </w:r>
          </w:p>
        </w:tc>
        <w:tc>
          <w:tcPr>
            <w:tcW w:w="425" w:type="pct"/>
            <w:shd w:val="clear" w:color="auto" w:fill="D6E0F4"/>
            <w:vAlign w:val="center"/>
          </w:tcPr>
          <w:p w:rsidR="00A56D34" w:rsidRPr="00322BD0" w:rsidRDefault="00A56D34" w:rsidP="00A56D34">
            <w:pPr>
              <w:spacing w:after="80" w:line="240" w:lineRule="auto"/>
              <w:ind w:right="-85"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Management Plan</w:t>
            </w:r>
          </w:p>
        </w:tc>
        <w:tc>
          <w:tcPr>
            <w:tcW w:w="500" w:type="pct"/>
            <w:shd w:val="clear" w:color="auto" w:fill="D6E0F4"/>
            <w:vAlign w:val="center"/>
          </w:tcPr>
          <w:p w:rsidR="00A56D34" w:rsidRPr="00322BD0" w:rsidRDefault="00A56D34" w:rsidP="00A56D34">
            <w:pPr>
              <w:spacing w:after="80" w:line="240" w:lineRule="auto"/>
              <w:ind w:right="-85"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Achieved</w:t>
            </w:r>
          </w:p>
        </w:tc>
        <w:tc>
          <w:tcPr>
            <w:tcW w:w="560" w:type="pct"/>
            <w:shd w:val="clear" w:color="auto" w:fill="D6E0F4"/>
            <w:vAlign w:val="center"/>
          </w:tcPr>
          <w:p w:rsidR="00A56D34" w:rsidRPr="00322BD0" w:rsidRDefault="00A56D34" w:rsidP="00A56D34">
            <w:pPr>
              <w:spacing w:after="80" w:line="240" w:lineRule="auto"/>
              <w:ind w:right="-85"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Management Plan</w:t>
            </w:r>
          </w:p>
        </w:tc>
        <w:tc>
          <w:tcPr>
            <w:tcW w:w="434" w:type="pct"/>
            <w:shd w:val="clear" w:color="auto" w:fill="D6E0F4"/>
            <w:vAlign w:val="center"/>
          </w:tcPr>
          <w:p w:rsidR="00A56D34" w:rsidRPr="00322BD0" w:rsidRDefault="00A56D34" w:rsidP="00A56D34">
            <w:pPr>
              <w:spacing w:after="80" w:line="240" w:lineRule="auto"/>
              <w:ind w:right="-85"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Achieved</w:t>
            </w:r>
          </w:p>
        </w:tc>
        <w:tc>
          <w:tcPr>
            <w:tcW w:w="459" w:type="pct"/>
            <w:shd w:val="clear" w:color="auto" w:fill="D6E0F4"/>
            <w:vAlign w:val="center"/>
          </w:tcPr>
          <w:p w:rsidR="00A56D34" w:rsidRPr="00322BD0" w:rsidRDefault="00A56D34" w:rsidP="00A56D34">
            <w:pPr>
              <w:spacing w:after="80" w:line="240" w:lineRule="auto"/>
              <w:ind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Management Plan</w:t>
            </w:r>
          </w:p>
        </w:tc>
        <w:tc>
          <w:tcPr>
            <w:tcW w:w="459" w:type="pct"/>
            <w:shd w:val="clear" w:color="auto" w:fill="D6E0F4"/>
            <w:vAlign w:val="center"/>
          </w:tcPr>
          <w:p w:rsidR="00A56D34" w:rsidRPr="00322BD0" w:rsidRDefault="00A56D34" w:rsidP="00A56D34">
            <w:pPr>
              <w:spacing w:after="80" w:line="240" w:lineRule="auto"/>
              <w:ind w:firstLine="0"/>
              <w:jc w:val="center"/>
              <w:rPr>
                <w:rFonts w:asciiTheme="majorHAnsi" w:eastAsia="Calibri" w:hAnsiTheme="majorHAnsi" w:cs="Times New Roman"/>
                <w:sz w:val="14"/>
                <w:szCs w:val="14"/>
                <w:lang w:val="en-GB" w:eastAsia="en-US"/>
              </w:rPr>
            </w:pPr>
            <w:r w:rsidRPr="00322BD0">
              <w:rPr>
                <w:rFonts w:asciiTheme="majorHAnsi" w:eastAsia="Calibri" w:hAnsiTheme="majorHAnsi" w:cs="Times New Roman"/>
                <w:sz w:val="14"/>
                <w:szCs w:val="14"/>
                <w:lang w:val="en-GB" w:eastAsia="en-US"/>
              </w:rPr>
              <w:t>Achieved</w:t>
            </w:r>
          </w:p>
        </w:tc>
      </w:tr>
      <w:tr w:rsidR="0081317F" w:rsidRPr="00322BD0" w:rsidTr="0081317F">
        <w:trPr>
          <w:trHeight w:val="739"/>
          <w:tblCellSpacing w:w="20" w:type="dxa"/>
          <w:jc w:val="center"/>
        </w:trPr>
        <w:tc>
          <w:tcPr>
            <w:tcW w:w="559" w:type="pct"/>
            <w:shd w:val="clear" w:color="auto" w:fill="auto"/>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Commissioned investments</w:t>
            </w:r>
          </w:p>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thousand RON</w:t>
            </w:r>
          </w:p>
        </w:tc>
        <w:tc>
          <w:tcPr>
            <w:tcW w:w="456" w:type="pct"/>
            <w:shd w:val="clear" w:color="auto" w:fill="auto"/>
            <w:vAlign w:val="center"/>
            <w:hideMark/>
          </w:tcPr>
          <w:p w:rsidR="0081317F" w:rsidRPr="00322BD0" w:rsidRDefault="0081317F" w:rsidP="0081317F">
            <w:pPr>
              <w:autoSpaceDE w:val="0"/>
              <w:autoSpaceDN w:val="0"/>
              <w:adjustRightInd w:val="0"/>
              <w:spacing w:line="240" w:lineRule="auto"/>
              <w:ind w:right="-76" w:firstLine="0"/>
              <w:rPr>
                <w:rFonts w:ascii="Cambria" w:hAnsi="Cambria" w:cs="Calibri"/>
                <w:sz w:val="16"/>
                <w:szCs w:val="16"/>
                <w:lang w:val="en-GB"/>
              </w:rPr>
            </w:pPr>
            <w:r w:rsidRPr="00322BD0">
              <w:rPr>
                <w:rFonts w:ascii="Cambria" w:hAnsi="Cambria" w:cs="Cambria"/>
                <w:color w:val="000000"/>
                <w:sz w:val="16"/>
                <w:szCs w:val="16"/>
                <w:lang w:val="en-GB"/>
              </w:rPr>
              <w:t>Achieving the programmed level</w:t>
            </w:r>
            <w:r w:rsidRPr="00322BD0">
              <w:rPr>
                <w:rFonts w:ascii="Cambria" w:hAnsi="Cambria" w:cs="Cambria"/>
                <w:b/>
                <w:bCs/>
                <w:color w:val="000000"/>
                <w:sz w:val="16"/>
                <w:szCs w:val="16"/>
                <w:lang w:val="en-GB"/>
              </w:rPr>
              <w:t xml:space="preserve"> </w:t>
            </w:r>
          </w:p>
        </w:tc>
        <w:tc>
          <w:tcPr>
            <w:tcW w:w="420" w:type="pct"/>
            <w:vAlign w:val="center"/>
          </w:tcPr>
          <w:p w:rsidR="0081317F" w:rsidRPr="00FF6874" w:rsidRDefault="0081317F" w:rsidP="0081317F">
            <w:pPr>
              <w:spacing w:after="0" w:line="240" w:lineRule="auto"/>
              <w:ind w:right="-83" w:firstLine="0"/>
              <w:jc w:val="right"/>
              <w:rPr>
                <w:rFonts w:asciiTheme="majorHAnsi" w:eastAsia="Calibri" w:hAnsiTheme="majorHAnsi" w:cs="Times New Roman"/>
                <w:sz w:val="16"/>
                <w:szCs w:val="16"/>
                <w:lang w:eastAsia="en-US"/>
              </w:rPr>
            </w:pPr>
          </w:p>
          <w:p w:rsidR="0081317F" w:rsidRPr="00FF6874" w:rsidRDefault="0081317F" w:rsidP="0081317F">
            <w:pPr>
              <w:spacing w:after="0" w:line="240" w:lineRule="auto"/>
              <w:ind w:right="-83" w:firstLine="0"/>
              <w:jc w:val="right"/>
              <w:rPr>
                <w:rFonts w:asciiTheme="majorHAnsi" w:eastAsia="Calibri" w:hAnsiTheme="majorHAnsi" w:cs="Times New Roman"/>
                <w:sz w:val="16"/>
                <w:szCs w:val="16"/>
                <w:lang w:eastAsia="en-US"/>
              </w:rPr>
            </w:pPr>
            <w:r w:rsidRPr="00FF6874">
              <w:rPr>
                <w:rFonts w:asciiTheme="majorHAnsi" w:eastAsia="Calibri" w:hAnsiTheme="majorHAnsi" w:cs="Times New Roman"/>
                <w:sz w:val="16"/>
                <w:szCs w:val="16"/>
                <w:lang w:eastAsia="en-US"/>
              </w:rPr>
              <w:t>219.028</w:t>
            </w:r>
          </w:p>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p>
        </w:tc>
        <w:tc>
          <w:tcPr>
            <w:tcW w:w="504" w:type="pct"/>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212.367</w:t>
            </w:r>
          </w:p>
        </w:tc>
        <w:tc>
          <w:tcPr>
            <w:tcW w:w="425"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195.400</w:t>
            </w:r>
          </w:p>
        </w:tc>
        <w:tc>
          <w:tcPr>
            <w:tcW w:w="50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118.843</w:t>
            </w:r>
          </w:p>
        </w:tc>
        <w:tc>
          <w:tcPr>
            <w:tcW w:w="56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254.000</w:t>
            </w:r>
          </w:p>
        </w:tc>
        <w:tc>
          <w:tcPr>
            <w:tcW w:w="434"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289.763</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141.000</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143.281</w:t>
            </w:r>
          </w:p>
        </w:tc>
      </w:tr>
      <w:tr w:rsidR="0081317F" w:rsidRPr="00322BD0" w:rsidTr="0081317F">
        <w:trPr>
          <w:trHeight w:val="398"/>
          <w:tblCellSpacing w:w="20" w:type="dxa"/>
          <w:jc w:val="center"/>
        </w:trPr>
        <w:tc>
          <w:tcPr>
            <w:tcW w:w="559" w:type="pct"/>
            <w:shd w:val="clear" w:color="auto" w:fill="FFFFFF"/>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EBITDA – thousand RON</w:t>
            </w:r>
          </w:p>
        </w:tc>
        <w:tc>
          <w:tcPr>
            <w:tcW w:w="456" w:type="pct"/>
            <w:shd w:val="clear" w:color="auto" w:fill="FFFFFF"/>
            <w:vAlign w:val="center"/>
            <w:hideMark/>
          </w:tcPr>
          <w:p w:rsidR="0081317F" w:rsidRPr="00322BD0" w:rsidRDefault="0081317F" w:rsidP="0081317F">
            <w:pPr>
              <w:autoSpaceDE w:val="0"/>
              <w:autoSpaceDN w:val="0"/>
              <w:adjustRightInd w:val="0"/>
              <w:spacing w:line="240" w:lineRule="auto"/>
              <w:ind w:right="-76" w:firstLine="0"/>
              <w:rPr>
                <w:rFonts w:ascii="Cambria" w:hAnsi="Cambria" w:cs="Calibri"/>
                <w:sz w:val="16"/>
                <w:szCs w:val="16"/>
                <w:lang w:val="en-GB"/>
              </w:rPr>
            </w:pPr>
            <w:r w:rsidRPr="00322BD0">
              <w:rPr>
                <w:rFonts w:ascii="Cambria" w:hAnsi="Cambria" w:cs="Cambria"/>
                <w:color w:val="000000"/>
                <w:sz w:val="16"/>
                <w:szCs w:val="16"/>
                <w:lang w:val="en-GB"/>
              </w:rPr>
              <w:t>Increasing EBITDA</w:t>
            </w:r>
          </w:p>
        </w:tc>
        <w:tc>
          <w:tcPr>
            <w:tcW w:w="420"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589.084</w:t>
            </w:r>
          </w:p>
        </w:tc>
        <w:tc>
          <w:tcPr>
            <w:tcW w:w="504"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715.873</w:t>
            </w:r>
          </w:p>
        </w:tc>
        <w:tc>
          <w:tcPr>
            <w:tcW w:w="425"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583.753</w:t>
            </w:r>
          </w:p>
        </w:tc>
        <w:tc>
          <w:tcPr>
            <w:tcW w:w="50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776.861</w:t>
            </w:r>
          </w:p>
        </w:tc>
        <w:tc>
          <w:tcPr>
            <w:tcW w:w="56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619.625</w:t>
            </w:r>
          </w:p>
        </w:tc>
        <w:tc>
          <w:tcPr>
            <w:tcW w:w="434"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Calibri" w:hAnsiTheme="majorHAnsi" w:cs="Arial"/>
                <w:sz w:val="16"/>
                <w:szCs w:val="16"/>
                <w:lang w:eastAsia="en-US"/>
              </w:rPr>
              <w:t>779.579</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675.539</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900.091</w:t>
            </w:r>
          </w:p>
        </w:tc>
      </w:tr>
      <w:tr w:rsidR="0081317F" w:rsidRPr="00322BD0" w:rsidTr="0081317F">
        <w:trPr>
          <w:trHeight w:val="910"/>
          <w:tblCellSpacing w:w="20" w:type="dxa"/>
          <w:jc w:val="center"/>
        </w:trPr>
        <w:tc>
          <w:tcPr>
            <w:tcW w:w="559" w:type="pct"/>
            <w:shd w:val="clear" w:color="auto" w:fill="auto"/>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Work productivity  –RON/pers.</w:t>
            </w:r>
          </w:p>
        </w:tc>
        <w:tc>
          <w:tcPr>
            <w:tcW w:w="456" w:type="pct"/>
            <w:shd w:val="clear" w:color="auto" w:fill="auto"/>
            <w:vAlign w:val="center"/>
            <w:hideMark/>
          </w:tcPr>
          <w:p w:rsidR="0081317F" w:rsidRPr="00322BD0" w:rsidRDefault="0081317F" w:rsidP="0081317F">
            <w:pPr>
              <w:spacing w:after="0" w:line="240" w:lineRule="auto"/>
              <w:ind w:right="-76"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 xml:space="preserve">Increasing work productivity in value units (turnover / average personnel number); </w:t>
            </w:r>
          </w:p>
        </w:tc>
        <w:tc>
          <w:tcPr>
            <w:tcW w:w="420" w:type="pct"/>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303.621</w:t>
            </w:r>
          </w:p>
        </w:tc>
        <w:tc>
          <w:tcPr>
            <w:tcW w:w="504" w:type="pct"/>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300.610</w:t>
            </w:r>
          </w:p>
        </w:tc>
        <w:tc>
          <w:tcPr>
            <w:tcW w:w="425"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327.472</w:t>
            </w:r>
          </w:p>
        </w:tc>
        <w:tc>
          <w:tcPr>
            <w:tcW w:w="50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332.567</w:t>
            </w:r>
          </w:p>
        </w:tc>
        <w:tc>
          <w:tcPr>
            <w:tcW w:w="56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344.627</w:t>
            </w:r>
          </w:p>
        </w:tc>
        <w:tc>
          <w:tcPr>
            <w:tcW w:w="434"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Calibri" w:hAnsiTheme="majorHAnsi" w:cs="Arial"/>
                <w:sz w:val="16"/>
                <w:szCs w:val="16"/>
                <w:lang w:eastAsia="en-US"/>
              </w:rPr>
              <w:t>331.000</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372.217</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375.177</w:t>
            </w:r>
          </w:p>
        </w:tc>
      </w:tr>
      <w:tr w:rsidR="0081317F" w:rsidRPr="00322BD0" w:rsidTr="0081317F">
        <w:trPr>
          <w:trHeight w:val="568"/>
          <w:tblCellSpacing w:w="20" w:type="dxa"/>
          <w:jc w:val="center"/>
        </w:trPr>
        <w:tc>
          <w:tcPr>
            <w:tcW w:w="559" w:type="pct"/>
            <w:shd w:val="clear" w:color="auto" w:fill="auto"/>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Overdue payments thousand RON</w:t>
            </w:r>
          </w:p>
        </w:tc>
        <w:tc>
          <w:tcPr>
            <w:tcW w:w="456" w:type="pct"/>
            <w:shd w:val="clear" w:color="auto" w:fill="auto"/>
            <w:vAlign w:val="center"/>
            <w:hideMark/>
          </w:tcPr>
          <w:p w:rsidR="0081317F" w:rsidRPr="00322BD0" w:rsidRDefault="0081317F" w:rsidP="0081317F">
            <w:pPr>
              <w:spacing w:after="0" w:line="240" w:lineRule="auto"/>
              <w:ind w:right="-76"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 xml:space="preserve">Making payments according to contract terms (in current prices) </w:t>
            </w:r>
          </w:p>
        </w:tc>
        <w:tc>
          <w:tcPr>
            <w:tcW w:w="420" w:type="pct"/>
            <w:vAlign w:val="center"/>
          </w:tcPr>
          <w:p w:rsidR="0081317F" w:rsidRPr="00322BD0" w:rsidRDefault="0081317F" w:rsidP="0081317F">
            <w:pPr>
              <w:spacing w:after="0" w:line="240" w:lineRule="auto"/>
              <w:ind w:right="-83" w:firstLine="0"/>
              <w:jc w:val="right"/>
              <w:rPr>
                <w:rFonts w:asciiTheme="majorHAnsi" w:eastAsia="Times New Roman" w:hAnsiTheme="majorHAnsi" w:cs="Times New Roman"/>
                <w:sz w:val="18"/>
                <w:szCs w:val="18"/>
                <w:lang w:val="en-GB" w:eastAsia="en-US"/>
              </w:rPr>
            </w:pPr>
            <w:r w:rsidRPr="00322BD0">
              <w:rPr>
                <w:rFonts w:asciiTheme="majorHAnsi" w:eastAsia="Calibri" w:hAnsiTheme="majorHAnsi" w:cs="Times New Roman"/>
                <w:sz w:val="18"/>
                <w:szCs w:val="18"/>
                <w:lang w:val="en-GB" w:eastAsia="en-US"/>
              </w:rPr>
              <w:t>0</w:t>
            </w:r>
          </w:p>
        </w:tc>
        <w:tc>
          <w:tcPr>
            <w:tcW w:w="504" w:type="pct"/>
            <w:vAlign w:val="center"/>
          </w:tcPr>
          <w:p w:rsidR="0081317F" w:rsidRPr="00322BD0" w:rsidRDefault="0081317F" w:rsidP="0081317F">
            <w:pPr>
              <w:spacing w:after="0" w:line="240" w:lineRule="auto"/>
              <w:ind w:right="-83" w:firstLine="0"/>
              <w:jc w:val="right"/>
              <w:rPr>
                <w:rFonts w:asciiTheme="majorHAnsi" w:eastAsia="Times New Roman" w:hAnsiTheme="majorHAnsi" w:cs="Times New Roman"/>
                <w:sz w:val="18"/>
                <w:szCs w:val="18"/>
                <w:lang w:val="en-GB" w:eastAsia="en-US"/>
              </w:rPr>
            </w:pPr>
            <w:r w:rsidRPr="00322BD0">
              <w:rPr>
                <w:rFonts w:asciiTheme="majorHAnsi" w:eastAsia="Calibri" w:hAnsiTheme="majorHAnsi" w:cs="Times New Roman"/>
                <w:sz w:val="18"/>
                <w:szCs w:val="18"/>
                <w:lang w:val="en-GB" w:eastAsia="en-US"/>
              </w:rPr>
              <w:t>0</w:t>
            </w:r>
          </w:p>
        </w:tc>
        <w:tc>
          <w:tcPr>
            <w:tcW w:w="425" w:type="pct"/>
            <w:vAlign w:val="center"/>
          </w:tcPr>
          <w:p w:rsidR="0081317F" w:rsidRPr="00322BD0" w:rsidRDefault="0081317F" w:rsidP="0081317F">
            <w:pPr>
              <w:spacing w:after="0" w:line="240" w:lineRule="auto"/>
              <w:ind w:right="-85" w:firstLine="0"/>
              <w:jc w:val="right"/>
              <w:rPr>
                <w:rFonts w:asciiTheme="majorHAnsi" w:eastAsia="Times New Roman" w:hAnsiTheme="majorHAnsi" w:cs="Times New Roman"/>
                <w:sz w:val="18"/>
                <w:szCs w:val="18"/>
                <w:lang w:val="en-GB" w:eastAsia="en-US"/>
              </w:rPr>
            </w:pPr>
            <w:r w:rsidRPr="00322BD0">
              <w:rPr>
                <w:rFonts w:asciiTheme="majorHAnsi" w:eastAsia="Times New Roman" w:hAnsiTheme="majorHAnsi" w:cs="Times New Roman"/>
                <w:sz w:val="18"/>
                <w:szCs w:val="18"/>
                <w:lang w:val="en-GB" w:eastAsia="en-US"/>
              </w:rPr>
              <w:t>0</w:t>
            </w:r>
          </w:p>
        </w:tc>
        <w:tc>
          <w:tcPr>
            <w:tcW w:w="500" w:type="pct"/>
            <w:vAlign w:val="center"/>
          </w:tcPr>
          <w:p w:rsidR="0081317F" w:rsidRPr="00322BD0" w:rsidRDefault="0081317F" w:rsidP="0081317F">
            <w:pPr>
              <w:spacing w:after="0" w:line="240" w:lineRule="auto"/>
              <w:ind w:right="-85" w:firstLine="0"/>
              <w:jc w:val="right"/>
              <w:rPr>
                <w:rFonts w:asciiTheme="majorHAnsi" w:eastAsia="Times New Roman" w:hAnsiTheme="majorHAnsi" w:cs="Times New Roman"/>
                <w:sz w:val="18"/>
                <w:szCs w:val="18"/>
                <w:lang w:val="en-GB" w:eastAsia="en-US"/>
              </w:rPr>
            </w:pPr>
            <w:r w:rsidRPr="00322BD0">
              <w:rPr>
                <w:rFonts w:asciiTheme="majorHAnsi" w:eastAsia="Times New Roman" w:hAnsiTheme="majorHAnsi" w:cs="Times New Roman"/>
                <w:sz w:val="18"/>
                <w:szCs w:val="18"/>
                <w:lang w:val="en-GB" w:eastAsia="en-US"/>
              </w:rPr>
              <w:t>0</w:t>
            </w:r>
          </w:p>
        </w:tc>
        <w:tc>
          <w:tcPr>
            <w:tcW w:w="560" w:type="pct"/>
            <w:vAlign w:val="center"/>
          </w:tcPr>
          <w:p w:rsidR="0081317F" w:rsidRPr="00322BD0" w:rsidRDefault="0081317F" w:rsidP="0081317F">
            <w:pPr>
              <w:spacing w:after="0" w:line="240" w:lineRule="auto"/>
              <w:ind w:right="-85" w:firstLine="0"/>
              <w:jc w:val="right"/>
              <w:rPr>
                <w:rFonts w:asciiTheme="majorHAnsi" w:eastAsia="Times New Roman" w:hAnsiTheme="majorHAnsi" w:cs="Times New Roman"/>
                <w:sz w:val="18"/>
                <w:szCs w:val="18"/>
                <w:lang w:val="en-GB" w:eastAsia="en-US"/>
              </w:rPr>
            </w:pPr>
            <w:r w:rsidRPr="00322BD0">
              <w:rPr>
                <w:rFonts w:asciiTheme="majorHAnsi" w:eastAsia="Times New Roman" w:hAnsiTheme="majorHAnsi" w:cs="Times New Roman"/>
                <w:sz w:val="18"/>
                <w:szCs w:val="18"/>
                <w:lang w:val="en-GB" w:eastAsia="en-US"/>
              </w:rPr>
              <w:t>0</w:t>
            </w:r>
          </w:p>
        </w:tc>
        <w:tc>
          <w:tcPr>
            <w:tcW w:w="434" w:type="pct"/>
            <w:vAlign w:val="center"/>
          </w:tcPr>
          <w:p w:rsidR="0081317F" w:rsidRPr="00322BD0" w:rsidRDefault="0081317F" w:rsidP="0081317F">
            <w:pPr>
              <w:spacing w:after="0" w:line="240" w:lineRule="auto"/>
              <w:ind w:right="-85" w:firstLine="0"/>
              <w:jc w:val="right"/>
              <w:rPr>
                <w:rFonts w:asciiTheme="majorHAnsi" w:eastAsia="Times New Roman" w:hAnsiTheme="majorHAnsi" w:cs="Times New Roman"/>
                <w:sz w:val="18"/>
                <w:szCs w:val="18"/>
                <w:lang w:val="en-GB" w:eastAsia="en-US"/>
              </w:rPr>
            </w:pPr>
            <w:r w:rsidRPr="00322BD0">
              <w:rPr>
                <w:rFonts w:asciiTheme="majorHAnsi" w:eastAsia="Times New Roman" w:hAnsiTheme="majorHAnsi" w:cs="Times New Roman"/>
                <w:sz w:val="18"/>
                <w:szCs w:val="18"/>
                <w:lang w:val="en-GB" w:eastAsia="en-US"/>
              </w:rPr>
              <w:t>0</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0</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0</w:t>
            </w:r>
          </w:p>
        </w:tc>
      </w:tr>
      <w:tr w:rsidR="0081317F" w:rsidRPr="00322BD0" w:rsidTr="0081317F">
        <w:trPr>
          <w:trHeight w:val="640"/>
          <w:tblCellSpacing w:w="20" w:type="dxa"/>
          <w:jc w:val="center"/>
        </w:trPr>
        <w:tc>
          <w:tcPr>
            <w:tcW w:w="559" w:type="pct"/>
            <w:shd w:val="clear" w:color="auto" w:fill="auto"/>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Overdue receivables</w:t>
            </w:r>
            <w:r w:rsidRPr="00322BD0">
              <w:rPr>
                <w:rFonts w:asciiTheme="majorHAnsi" w:eastAsia="Times New Roman" w:hAnsiTheme="majorHAnsi" w:cs="Times New Roman"/>
                <w:bCs/>
                <w:sz w:val="16"/>
                <w:szCs w:val="16"/>
                <w:lang w:val="en-GB" w:eastAsia="en-US"/>
              </w:rPr>
              <w:t xml:space="preserve"> – thousand RON</w:t>
            </w:r>
          </w:p>
        </w:tc>
        <w:tc>
          <w:tcPr>
            <w:tcW w:w="456" w:type="pct"/>
            <w:shd w:val="clear" w:color="auto" w:fill="auto"/>
            <w:vAlign w:val="center"/>
            <w:hideMark/>
          </w:tcPr>
          <w:p w:rsidR="0081317F" w:rsidRPr="00322BD0" w:rsidRDefault="0081317F" w:rsidP="0081317F">
            <w:pPr>
              <w:spacing w:after="0" w:line="240" w:lineRule="auto"/>
              <w:ind w:right="-76"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Decreasing the volume of overdue receivables (in current prices)</w:t>
            </w:r>
          </w:p>
        </w:tc>
        <w:tc>
          <w:tcPr>
            <w:tcW w:w="420" w:type="pct"/>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76.000</w:t>
            </w:r>
          </w:p>
        </w:tc>
        <w:tc>
          <w:tcPr>
            <w:tcW w:w="504" w:type="pct"/>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79.424</w:t>
            </w:r>
          </w:p>
        </w:tc>
        <w:tc>
          <w:tcPr>
            <w:tcW w:w="425"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72.200</w:t>
            </w:r>
          </w:p>
        </w:tc>
        <w:tc>
          <w:tcPr>
            <w:tcW w:w="50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99.724</w:t>
            </w:r>
          </w:p>
        </w:tc>
        <w:tc>
          <w:tcPr>
            <w:tcW w:w="560"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68.590</w:t>
            </w:r>
          </w:p>
        </w:tc>
        <w:tc>
          <w:tcPr>
            <w:tcW w:w="434" w:type="pct"/>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Calibri" w:hAnsiTheme="majorHAnsi" w:cs="Arial"/>
                <w:sz w:val="16"/>
                <w:szCs w:val="16"/>
                <w:lang w:eastAsia="en-US"/>
              </w:rPr>
              <w:t>186.479</w:t>
            </w:r>
          </w:p>
        </w:tc>
        <w:tc>
          <w:tcPr>
            <w:tcW w:w="459" w:type="pct"/>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65.075</w:t>
            </w:r>
          </w:p>
        </w:tc>
        <w:tc>
          <w:tcPr>
            <w:tcW w:w="459" w:type="pct"/>
            <w:vAlign w:val="center"/>
          </w:tcPr>
          <w:p w:rsidR="0081317F" w:rsidRPr="00734162" w:rsidRDefault="004727D1"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268.</w:t>
            </w:r>
            <w:r>
              <w:rPr>
                <w:rFonts w:ascii="Cambria" w:eastAsia="Times New Roman" w:hAnsi="Cambria" w:cs="Times New Roman"/>
                <w:sz w:val="16"/>
                <w:szCs w:val="16"/>
                <w:lang w:eastAsia="en-US"/>
              </w:rPr>
              <w:t>410</w:t>
            </w:r>
          </w:p>
        </w:tc>
      </w:tr>
      <w:tr w:rsidR="0081317F" w:rsidRPr="00322BD0" w:rsidTr="0081317F">
        <w:trPr>
          <w:trHeight w:val="667"/>
          <w:tblCellSpacing w:w="20" w:type="dxa"/>
          <w:jc w:val="center"/>
        </w:trPr>
        <w:tc>
          <w:tcPr>
            <w:tcW w:w="559" w:type="pct"/>
            <w:shd w:val="clear" w:color="auto" w:fill="FFFFFF"/>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Theme="majorHAnsi" w:eastAsia="Times New Roman" w:hAnsiTheme="majorHAnsi" w:cs="Times New Roman"/>
                <w:bCs/>
                <w:sz w:val="16"/>
                <w:szCs w:val="16"/>
                <w:lang w:val="en-GB" w:eastAsia="en-US"/>
              </w:rPr>
              <w:t>Technological consumption- %</w:t>
            </w:r>
          </w:p>
        </w:tc>
        <w:tc>
          <w:tcPr>
            <w:tcW w:w="456" w:type="pct"/>
            <w:shd w:val="clear" w:color="auto" w:fill="FFFFFF"/>
            <w:vAlign w:val="center"/>
            <w:hideMark/>
          </w:tcPr>
          <w:p w:rsidR="0081317F" w:rsidRPr="00322BD0" w:rsidRDefault="0081317F" w:rsidP="0081317F">
            <w:pPr>
              <w:spacing w:after="0" w:line="240" w:lineRule="auto"/>
              <w:ind w:right="-76"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Meeting the quantities of natural gas representing technological consumption</w:t>
            </w:r>
          </w:p>
        </w:tc>
        <w:tc>
          <w:tcPr>
            <w:tcW w:w="420"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100,00%</w:t>
            </w:r>
          </w:p>
        </w:tc>
        <w:tc>
          <w:tcPr>
            <w:tcW w:w="504"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62%</w:t>
            </w:r>
          </w:p>
        </w:tc>
        <w:tc>
          <w:tcPr>
            <w:tcW w:w="425"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100,00%</w:t>
            </w:r>
          </w:p>
        </w:tc>
        <w:tc>
          <w:tcPr>
            <w:tcW w:w="50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41%</w:t>
            </w:r>
          </w:p>
        </w:tc>
        <w:tc>
          <w:tcPr>
            <w:tcW w:w="56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100,00%</w:t>
            </w:r>
          </w:p>
        </w:tc>
        <w:tc>
          <w:tcPr>
            <w:tcW w:w="434"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Calibri" w:hAnsiTheme="majorHAnsi" w:cs="Arial"/>
                <w:sz w:val="16"/>
                <w:szCs w:val="16"/>
                <w:lang w:eastAsia="en-US"/>
              </w:rPr>
              <w:t>38%</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100,00%</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37%</w:t>
            </w:r>
          </w:p>
        </w:tc>
      </w:tr>
      <w:tr w:rsidR="0081317F" w:rsidRPr="00322BD0" w:rsidTr="0081317F">
        <w:trPr>
          <w:trHeight w:val="658"/>
          <w:tblCellSpacing w:w="20" w:type="dxa"/>
          <w:jc w:val="center"/>
        </w:trPr>
        <w:tc>
          <w:tcPr>
            <w:tcW w:w="559" w:type="pct"/>
            <w:shd w:val="clear" w:color="auto" w:fill="FFFFFF"/>
            <w:vAlign w:val="center"/>
            <w:hideMark/>
          </w:tcPr>
          <w:p w:rsidR="0081317F" w:rsidRPr="00322BD0" w:rsidRDefault="0081317F" w:rsidP="0081317F">
            <w:pPr>
              <w:spacing w:after="0" w:line="240" w:lineRule="auto"/>
              <w:ind w:left="-42" w:right="-144"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Operating expenses la 1000 RON operating revenue RON</w:t>
            </w:r>
          </w:p>
        </w:tc>
        <w:tc>
          <w:tcPr>
            <w:tcW w:w="456" w:type="pct"/>
            <w:shd w:val="clear" w:color="auto" w:fill="FFFFFF"/>
            <w:vAlign w:val="center"/>
            <w:hideMark/>
          </w:tcPr>
          <w:p w:rsidR="0081317F" w:rsidRPr="00322BD0" w:rsidRDefault="0081317F" w:rsidP="0081317F">
            <w:pPr>
              <w:spacing w:after="0" w:line="240" w:lineRule="auto"/>
              <w:ind w:right="-76" w:firstLine="0"/>
              <w:rPr>
                <w:rFonts w:asciiTheme="majorHAnsi" w:eastAsia="Times New Roman" w:hAnsiTheme="majorHAnsi" w:cs="Times New Roman"/>
                <w:bCs/>
                <w:sz w:val="16"/>
                <w:szCs w:val="16"/>
                <w:lang w:val="en-GB" w:eastAsia="en-US"/>
              </w:rPr>
            </w:pPr>
            <w:r w:rsidRPr="00322BD0">
              <w:rPr>
                <w:rFonts w:ascii="Cambria" w:hAnsi="Cambria" w:cs="Cambria"/>
                <w:color w:val="000000"/>
                <w:sz w:val="16"/>
                <w:szCs w:val="16"/>
                <w:lang w:val="en-GB"/>
              </w:rPr>
              <w:t>Decreasing operating expenses for 1000 RON operating income</w:t>
            </w:r>
          </w:p>
        </w:tc>
        <w:tc>
          <w:tcPr>
            <w:tcW w:w="420"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737,27</w:t>
            </w:r>
          </w:p>
        </w:tc>
        <w:tc>
          <w:tcPr>
            <w:tcW w:w="504" w:type="pct"/>
            <w:shd w:val="clear" w:color="auto" w:fill="FFFFFF"/>
            <w:vAlign w:val="center"/>
          </w:tcPr>
          <w:p w:rsidR="0081317F" w:rsidRPr="00FF6874" w:rsidRDefault="0081317F" w:rsidP="0081317F">
            <w:pPr>
              <w:spacing w:after="0" w:line="240" w:lineRule="auto"/>
              <w:ind w:right="-83" w:firstLine="0"/>
              <w:jc w:val="right"/>
              <w:rPr>
                <w:rFonts w:asciiTheme="majorHAnsi" w:eastAsia="Times New Roman" w:hAnsiTheme="majorHAnsi" w:cs="Times New Roman"/>
                <w:sz w:val="16"/>
                <w:szCs w:val="16"/>
                <w:lang w:eastAsia="en-US"/>
              </w:rPr>
            </w:pPr>
            <w:r w:rsidRPr="00FF6874">
              <w:rPr>
                <w:rFonts w:asciiTheme="majorHAnsi" w:eastAsia="Calibri" w:hAnsiTheme="majorHAnsi" w:cs="Times New Roman"/>
                <w:sz w:val="16"/>
                <w:szCs w:val="16"/>
                <w:lang w:eastAsia="en-US"/>
              </w:rPr>
              <w:t>647,25</w:t>
            </w:r>
          </w:p>
        </w:tc>
        <w:tc>
          <w:tcPr>
            <w:tcW w:w="425"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759,24</w:t>
            </w:r>
          </w:p>
        </w:tc>
        <w:tc>
          <w:tcPr>
            <w:tcW w:w="50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642,63</w:t>
            </w:r>
          </w:p>
        </w:tc>
        <w:tc>
          <w:tcPr>
            <w:tcW w:w="560"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Times New Roman" w:hAnsiTheme="majorHAnsi" w:cs="Times New Roman"/>
                <w:sz w:val="16"/>
                <w:szCs w:val="16"/>
                <w:lang w:eastAsia="en-US"/>
              </w:rPr>
              <w:t>748,64</w:t>
            </w:r>
          </w:p>
        </w:tc>
        <w:tc>
          <w:tcPr>
            <w:tcW w:w="434" w:type="pct"/>
            <w:shd w:val="clear" w:color="auto" w:fill="FFFFFF"/>
            <w:vAlign w:val="center"/>
          </w:tcPr>
          <w:p w:rsidR="0081317F" w:rsidRPr="00FF6874" w:rsidRDefault="0081317F" w:rsidP="0081317F">
            <w:pPr>
              <w:spacing w:after="0" w:line="240" w:lineRule="auto"/>
              <w:ind w:right="-85" w:firstLine="0"/>
              <w:jc w:val="right"/>
              <w:rPr>
                <w:rFonts w:asciiTheme="majorHAnsi" w:eastAsia="Times New Roman" w:hAnsiTheme="majorHAnsi" w:cs="Times New Roman"/>
                <w:sz w:val="16"/>
                <w:szCs w:val="16"/>
                <w:lang w:eastAsia="en-US"/>
              </w:rPr>
            </w:pPr>
            <w:r w:rsidRPr="00FF6874">
              <w:rPr>
                <w:rFonts w:asciiTheme="majorHAnsi" w:eastAsia="Calibri" w:hAnsiTheme="majorHAnsi" w:cs="Arial"/>
                <w:sz w:val="16"/>
                <w:szCs w:val="16"/>
                <w:lang w:eastAsia="en-US"/>
              </w:rPr>
              <w:t>647,60</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735,09</w:t>
            </w:r>
          </w:p>
        </w:tc>
        <w:tc>
          <w:tcPr>
            <w:tcW w:w="459" w:type="pct"/>
            <w:shd w:val="clear" w:color="auto" w:fill="FFFFFF"/>
            <w:vAlign w:val="center"/>
          </w:tcPr>
          <w:p w:rsidR="0081317F" w:rsidRPr="00734162" w:rsidRDefault="0081317F" w:rsidP="0081317F">
            <w:pPr>
              <w:spacing w:after="0" w:line="240" w:lineRule="auto"/>
              <w:ind w:firstLine="0"/>
              <w:jc w:val="right"/>
              <w:rPr>
                <w:rFonts w:ascii="Cambria" w:eastAsia="Times New Roman" w:hAnsi="Cambria" w:cs="Times New Roman"/>
                <w:sz w:val="16"/>
                <w:szCs w:val="16"/>
                <w:lang w:eastAsia="en-US"/>
              </w:rPr>
            </w:pPr>
            <w:r w:rsidRPr="00734162">
              <w:rPr>
                <w:rFonts w:ascii="Cambria" w:eastAsia="Times New Roman" w:hAnsi="Cambria" w:cs="Times New Roman"/>
                <w:sz w:val="16"/>
                <w:szCs w:val="16"/>
                <w:lang w:eastAsia="en-US"/>
              </w:rPr>
              <w:t>630,80</w:t>
            </w:r>
          </w:p>
        </w:tc>
      </w:tr>
    </w:tbl>
    <w:p w:rsidR="00B23078" w:rsidRPr="00322BD0" w:rsidRDefault="00B23078" w:rsidP="00B23078">
      <w:pPr>
        <w:spacing w:after="0" w:line="240" w:lineRule="auto"/>
        <w:ind w:firstLine="0"/>
        <w:jc w:val="center"/>
        <w:rPr>
          <w:rFonts w:ascii="Cambria" w:eastAsia="Times New Roman" w:hAnsi="Cambria" w:cs="Times New Roman"/>
          <w:b/>
          <w:i/>
          <w:sz w:val="16"/>
          <w:szCs w:val="16"/>
          <w:lang w:val="en-GB" w:eastAsia="ro-RO"/>
        </w:rPr>
      </w:pPr>
    </w:p>
    <w:p w:rsidR="004D2090" w:rsidRPr="00F0257D" w:rsidRDefault="001A0392" w:rsidP="00F0257D">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Tabl</w:t>
      </w:r>
      <w:r w:rsidR="0099345B" w:rsidRPr="00322BD0">
        <w:rPr>
          <w:rFonts w:ascii="Cambria" w:eastAsia="Times New Roman" w:hAnsi="Cambria" w:cs="Times New Roman"/>
          <w:b/>
          <w:i/>
          <w:sz w:val="16"/>
          <w:szCs w:val="16"/>
          <w:lang w:val="en-GB" w:eastAsia="ro-RO"/>
        </w:rPr>
        <w:t>e</w:t>
      </w:r>
      <w:r w:rsidR="00A512C6">
        <w:rPr>
          <w:rFonts w:ascii="Cambria" w:eastAsia="Times New Roman" w:hAnsi="Cambria" w:cs="Times New Roman"/>
          <w:b/>
          <w:i/>
          <w:sz w:val="16"/>
          <w:szCs w:val="16"/>
          <w:lang w:val="en-GB" w:eastAsia="ro-RO"/>
        </w:rPr>
        <w:t xml:space="preserve"> 18</w:t>
      </w:r>
      <w:r w:rsidR="00B23078" w:rsidRPr="00322BD0">
        <w:rPr>
          <w:rFonts w:ascii="Cambria" w:eastAsia="Times New Roman" w:hAnsi="Cambria" w:cs="Times New Roman"/>
          <w:b/>
          <w:i/>
          <w:sz w:val="16"/>
          <w:szCs w:val="16"/>
          <w:lang w:val="en-GB" w:eastAsia="ro-RO"/>
        </w:rPr>
        <w:t xml:space="preserve"> – Evolu</w:t>
      </w:r>
      <w:r w:rsidRPr="00322BD0">
        <w:rPr>
          <w:rFonts w:ascii="Cambria" w:eastAsia="Times New Roman" w:hAnsi="Cambria" w:cs="Times New Roman"/>
          <w:b/>
          <w:i/>
          <w:sz w:val="16"/>
          <w:szCs w:val="16"/>
          <w:lang w:val="en-GB" w:eastAsia="ro-RO"/>
        </w:rPr>
        <w:t>tion o</w:t>
      </w:r>
      <w:r w:rsidR="00F0257D">
        <w:rPr>
          <w:rFonts w:ascii="Cambria" w:eastAsia="Times New Roman" w:hAnsi="Cambria" w:cs="Times New Roman"/>
          <w:b/>
          <w:i/>
          <w:sz w:val="16"/>
          <w:szCs w:val="16"/>
          <w:lang w:val="en-GB" w:eastAsia="ro-RO"/>
        </w:rPr>
        <w:t xml:space="preserve">f performance indicators in the period </w:t>
      </w:r>
      <w:r w:rsidR="00A56D34">
        <w:rPr>
          <w:rFonts w:ascii="Cambria" w:eastAsia="Times New Roman" w:hAnsi="Cambria" w:cs="Times New Roman"/>
          <w:b/>
          <w:i/>
          <w:sz w:val="16"/>
          <w:szCs w:val="16"/>
          <w:lang w:val="en-GB" w:eastAsia="ro-RO"/>
        </w:rPr>
        <w:t>2013 – 2016</w:t>
      </w:r>
    </w:p>
    <w:p w:rsidR="0058165E" w:rsidRPr="00322BD0" w:rsidRDefault="0058165E" w:rsidP="00C808CB">
      <w:pPr>
        <w:spacing w:after="0" w:line="240" w:lineRule="auto"/>
        <w:ind w:firstLine="0"/>
        <w:rPr>
          <w:rFonts w:ascii="Cambria" w:eastAsia="Times New Roman" w:hAnsi="Cambria" w:cs="Times New Roman"/>
          <w:sz w:val="24"/>
          <w:szCs w:val="24"/>
          <w:lang w:val="en-GB" w:eastAsia="ro-RO"/>
        </w:rPr>
      </w:pPr>
    </w:p>
    <w:p w:rsidR="00C96B96" w:rsidRPr="00322BD0" w:rsidRDefault="00C96B96" w:rsidP="005B0157">
      <w:pPr>
        <w:spacing w:after="0" w:line="240" w:lineRule="auto"/>
        <w:ind w:firstLine="0"/>
        <w:rPr>
          <w:rFonts w:ascii="Cambria" w:eastAsia="Times New Roman" w:hAnsi="Cambria" w:cs="Times New Roman"/>
          <w:b/>
          <w:i/>
          <w:sz w:val="16"/>
          <w:szCs w:val="16"/>
          <w:lang w:val="en-GB" w:eastAsia="ro-RO"/>
        </w:rPr>
      </w:pPr>
    </w:p>
    <w:tbl>
      <w:tblPr>
        <w:tblW w:w="4920" w:type="pct"/>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6"/>
        <w:gridCol w:w="2620"/>
        <w:gridCol w:w="1308"/>
        <w:gridCol w:w="1250"/>
        <w:gridCol w:w="1283"/>
      </w:tblGrid>
      <w:tr w:rsidR="005A4BA9" w:rsidRPr="00322BD0" w:rsidTr="006866DE">
        <w:trPr>
          <w:trHeight w:val="750"/>
          <w:tblCellSpacing w:w="20" w:type="dxa"/>
          <w:jc w:val="center"/>
        </w:trPr>
        <w:tc>
          <w:tcPr>
            <w:tcW w:w="1324" w:type="pct"/>
            <w:shd w:val="clear" w:color="auto" w:fill="DBE5F1" w:themeFill="accent1" w:themeFillTint="33"/>
            <w:vAlign w:val="center"/>
            <w:hideMark/>
          </w:tcPr>
          <w:p w:rsidR="005A4BA9" w:rsidRPr="00322BD0" w:rsidRDefault="00C3487A" w:rsidP="00C3487A">
            <w:pPr>
              <w:spacing w:after="0" w:line="240" w:lineRule="auto"/>
              <w:ind w:firstLine="0"/>
              <w:rPr>
                <w:rFonts w:ascii="Cambria" w:eastAsia="Times New Roman" w:hAnsi="Cambria" w:cs="Times New Roman"/>
                <w:b/>
                <w:bCs/>
                <w:color w:val="000000"/>
                <w:sz w:val="16"/>
                <w:szCs w:val="16"/>
                <w:lang w:val="en-GB" w:eastAsia="en-US"/>
              </w:rPr>
            </w:pPr>
            <w:r w:rsidRPr="00322BD0">
              <w:rPr>
                <w:rFonts w:ascii="Cambria" w:hAnsi="Cambria" w:cs="Cambria"/>
                <w:b/>
                <w:bCs/>
                <w:color w:val="000000"/>
                <w:sz w:val="16"/>
                <w:szCs w:val="16"/>
                <w:lang w:val="en-GB"/>
              </w:rPr>
              <w:t>Performance criteria</w:t>
            </w:r>
            <w:r w:rsidRPr="00322BD0">
              <w:rPr>
                <w:rFonts w:ascii="Cambria" w:eastAsia="Times New Roman" w:hAnsi="Cambria" w:cs="Times New Roman"/>
                <w:b/>
                <w:bCs/>
                <w:color w:val="000000"/>
                <w:sz w:val="16"/>
                <w:szCs w:val="16"/>
                <w:lang w:val="en-GB" w:eastAsia="en-US"/>
              </w:rPr>
              <w:t xml:space="preserve"> </w:t>
            </w:r>
          </w:p>
        </w:tc>
        <w:tc>
          <w:tcPr>
            <w:tcW w:w="1456" w:type="pct"/>
            <w:shd w:val="clear" w:color="auto" w:fill="DBE5F1" w:themeFill="accent1" w:themeFillTint="33"/>
            <w:vAlign w:val="center"/>
            <w:hideMark/>
          </w:tcPr>
          <w:p w:rsidR="005A4BA9" w:rsidRPr="00322BD0" w:rsidRDefault="00C3487A" w:rsidP="00C3487A">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Cambria" w:hAnsi="Cambria" w:cs="Cambria"/>
                <w:b/>
                <w:bCs/>
                <w:color w:val="000000"/>
                <w:sz w:val="16"/>
                <w:szCs w:val="16"/>
                <w:lang w:val="en-GB"/>
              </w:rPr>
              <w:t>Performance objective</w:t>
            </w:r>
            <w:r w:rsidRPr="00322BD0">
              <w:rPr>
                <w:rFonts w:ascii="Cambria" w:eastAsia="Times New Roman" w:hAnsi="Cambria" w:cs="Times New Roman"/>
                <w:b/>
                <w:bCs/>
                <w:color w:val="000000"/>
                <w:sz w:val="16"/>
                <w:szCs w:val="16"/>
                <w:lang w:val="en-GB" w:eastAsia="en-US"/>
              </w:rPr>
              <w:t xml:space="preserve"> </w:t>
            </w:r>
          </w:p>
        </w:tc>
        <w:tc>
          <w:tcPr>
            <w:tcW w:w="716" w:type="pct"/>
            <w:shd w:val="clear" w:color="auto" w:fill="DBE5F1" w:themeFill="accent1" w:themeFillTint="33"/>
            <w:vAlign w:val="center"/>
            <w:hideMark/>
          </w:tcPr>
          <w:p w:rsidR="00C3487A" w:rsidRPr="00322BD0" w:rsidRDefault="00C3487A" w:rsidP="00351653">
            <w:pPr>
              <w:autoSpaceDE w:val="0"/>
              <w:autoSpaceDN w:val="0"/>
              <w:adjustRightInd w:val="0"/>
              <w:spacing w:line="240" w:lineRule="auto"/>
              <w:ind w:firstLine="0"/>
              <w:jc w:val="center"/>
              <w:rPr>
                <w:rFonts w:ascii="Cambria" w:eastAsia="Times New Roman" w:hAnsi="Cambria" w:cs="Cambria"/>
                <w:b/>
                <w:bCs/>
                <w:color w:val="000000"/>
                <w:sz w:val="16"/>
                <w:szCs w:val="16"/>
                <w:lang w:val="en-GB"/>
              </w:rPr>
            </w:pPr>
            <w:r w:rsidRPr="00322BD0">
              <w:rPr>
                <w:rFonts w:ascii="Cambria" w:eastAsia="Times New Roman" w:hAnsi="Cambria" w:cs="Cambria"/>
                <w:b/>
                <w:bCs/>
                <w:color w:val="000000"/>
                <w:sz w:val="16"/>
                <w:szCs w:val="16"/>
                <w:lang w:val="en-GB"/>
              </w:rPr>
              <w:t>Weighting coefficient</w:t>
            </w:r>
          </w:p>
          <w:p w:rsidR="005A4BA9" w:rsidRPr="00322BD0" w:rsidRDefault="005A4BA9" w:rsidP="000718FB">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Cambria" w:eastAsia="Times New Roman" w:hAnsi="Cambria" w:cs="Times New Roman"/>
                <w:b/>
                <w:bCs/>
                <w:color w:val="000000"/>
                <w:sz w:val="16"/>
                <w:szCs w:val="16"/>
                <w:lang w:val="en-GB" w:eastAsia="en-US"/>
              </w:rPr>
              <w:t>%</w:t>
            </w:r>
          </w:p>
        </w:tc>
        <w:tc>
          <w:tcPr>
            <w:tcW w:w="683" w:type="pct"/>
            <w:shd w:val="clear" w:color="auto" w:fill="DBE5F1" w:themeFill="accent1" w:themeFillTint="33"/>
            <w:vAlign w:val="center"/>
            <w:hideMark/>
          </w:tcPr>
          <w:p w:rsidR="005A4BA9" w:rsidRPr="00322BD0" w:rsidRDefault="00C3487A" w:rsidP="000718FB">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Theme="majorHAnsi" w:eastAsia="Times New Roman" w:hAnsiTheme="majorHAnsi" w:cs="Times New Roman"/>
                <w:b/>
                <w:bCs/>
                <w:color w:val="000000"/>
                <w:sz w:val="16"/>
                <w:szCs w:val="16"/>
                <w:lang w:val="en-GB" w:eastAsia="en-US"/>
              </w:rPr>
              <w:t>Achievement degree</w:t>
            </w:r>
          </w:p>
          <w:p w:rsidR="005A4BA9" w:rsidRPr="00322BD0" w:rsidRDefault="005A4BA9" w:rsidP="000718FB">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Cambria" w:eastAsia="Times New Roman" w:hAnsi="Cambria" w:cs="Times New Roman"/>
                <w:b/>
                <w:bCs/>
                <w:color w:val="000000"/>
                <w:sz w:val="16"/>
                <w:szCs w:val="16"/>
                <w:lang w:val="en-GB" w:eastAsia="en-US"/>
              </w:rPr>
              <w:t>201</w:t>
            </w:r>
            <w:r w:rsidR="00A56D34">
              <w:rPr>
                <w:rFonts w:ascii="Cambria" w:eastAsia="Times New Roman" w:hAnsi="Cambria" w:cs="Times New Roman"/>
                <w:b/>
                <w:bCs/>
                <w:color w:val="000000"/>
                <w:sz w:val="16"/>
                <w:szCs w:val="16"/>
                <w:lang w:val="en-GB" w:eastAsia="en-US"/>
              </w:rPr>
              <w:t>6</w:t>
            </w:r>
          </w:p>
          <w:p w:rsidR="005A4BA9" w:rsidRPr="00322BD0" w:rsidRDefault="005A4BA9" w:rsidP="000718FB">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Cambria" w:eastAsia="Times New Roman" w:hAnsi="Cambria" w:cs="Times New Roman"/>
                <w:b/>
                <w:bCs/>
                <w:color w:val="000000"/>
                <w:sz w:val="16"/>
                <w:szCs w:val="16"/>
                <w:lang w:val="en-GB" w:eastAsia="en-US"/>
              </w:rPr>
              <w:t>%</w:t>
            </w:r>
          </w:p>
        </w:tc>
        <w:tc>
          <w:tcPr>
            <w:tcW w:w="691" w:type="pct"/>
            <w:shd w:val="clear" w:color="auto" w:fill="DBE5F1" w:themeFill="accent1" w:themeFillTint="33"/>
          </w:tcPr>
          <w:p w:rsidR="005A4BA9" w:rsidRPr="00322BD0" w:rsidRDefault="005A4BA9" w:rsidP="000718FB">
            <w:pPr>
              <w:spacing w:after="0" w:line="240" w:lineRule="auto"/>
              <w:ind w:firstLine="0"/>
              <w:jc w:val="center"/>
              <w:rPr>
                <w:rFonts w:ascii="Cambria" w:eastAsia="Times New Roman" w:hAnsi="Cambria" w:cs="Times New Roman"/>
                <w:b/>
                <w:bCs/>
                <w:color w:val="000000"/>
                <w:sz w:val="16"/>
                <w:szCs w:val="16"/>
                <w:lang w:val="en-GB" w:eastAsia="en-US"/>
              </w:rPr>
            </w:pPr>
          </w:p>
          <w:p w:rsidR="005A4BA9" w:rsidRPr="00322BD0" w:rsidRDefault="00351653" w:rsidP="00351653">
            <w:pPr>
              <w:spacing w:after="0" w:line="240" w:lineRule="auto"/>
              <w:ind w:firstLine="0"/>
              <w:jc w:val="center"/>
              <w:rPr>
                <w:rFonts w:ascii="Cambria" w:eastAsia="Times New Roman" w:hAnsi="Cambria" w:cs="Times New Roman"/>
                <w:b/>
                <w:bCs/>
                <w:color w:val="000000"/>
                <w:sz w:val="16"/>
                <w:szCs w:val="16"/>
                <w:lang w:val="en-GB" w:eastAsia="en-US"/>
              </w:rPr>
            </w:pPr>
            <w:r w:rsidRPr="00322BD0">
              <w:rPr>
                <w:rFonts w:ascii="Cambria" w:eastAsia="Times New Roman" w:hAnsi="Cambria" w:cs="Times New Roman"/>
                <w:b/>
                <w:bCs/>
                <w:sz w:val="16"/>
                <w:szCs w:val="16"/>
                <w:lang w:val="en-GB" w:eastAsia="en-US"/>
              </w:rPr>
              <w:t>Achievement</w:t>
            </w:r>
            <w:r w:rsidR="00C3487A" w:rsidRPr="00322BD0">
              <w:rPr>
                <w:rFonts w:ascii="Cambria" w:eastAsia="Times New Roman" w:hAnsi="Cambria" w:cs="Times New Roman"/>
                <w:b/>
                <w:bCs/>
                <w:sz w:val="16"/>
                <w:szCs w:val="16"/>
                <w:lang w:val="en-GB" w:eastAsia="en-US"/>
              </w:rPr>
              <w:t xml:space="preserve"> level </w:t>
            </w:r>
            <w:r w:rsidR="00B3761F" w:rsidRPr="00322BD0">
              <w:rPr>
                <w:rFonts w:ascii="Cambria" w:eastAsia="Times New Roman" w:hAnsi="Cambria" w:cs="Times New Roman"/>
                <w:b/>
                <w:bCs/>
                <w:sz w:val="16"/>
                <w:szCs w:val="16"/>
                <w:lang w:val="en-GB" w:eastAsia="en-US"/>
              </w:rPr>
              <w:t xml:space="preserve">in </w:t>
            </w:r>
            <w:r w:rsidR="00C3487A" w:rsidRPr="00322BD0">
              <w:rPr>
                <w:rFonts w:ascii="Cambria" w:eastAsia="Times New Roman" w:hAnsi="Cambria" w:cs="Times New Roman"/>
                <w:b/>
                <w:bCs/>
                <w:sz w:val="16"/>
                <w:szCs w:val="16"/>
                <w:lang w:val="en-GB" w:eastAsia="en-US"/>
              </w:rPr>
              <w:t>201</w:t>
            </w:r>
            <w:r w:rsidR="00A56D34">
              <w:rPr>
                <w:rFonts w:ascii="Cambria" w:eastAsia="Times New Roman" w:hAnsi="Cambria" w:cs="Times New Roman"/>
                <w:b/>
                <w:bCs/>
                <w:sz w:val="16"/>
                <w:szCs w:val="16"/>
                <w:lang w:val="en-GB" w:eastAsia="en-US"/>
              </w:rPr>
              <w:t>6</w:t>
            </w:r>
            <w:r w:rsidR="00C3487A" w:rsidRPr="00322BD0">
              <w:rPr>
                <w:rFonts w:ascii="Cambria" w:eastAsia="Times New Roman" w:hAnsi="Cambria" w:cs="Times New Roman"/>
                <w:b/>
                <w:bCs/>
                <w:sz w:val="16"/>
                <w:szCs w:val="16"/>
                <w:lang w:val="en-GB" w:eastAsia="en-US"/>
              </w:rPr>
              <w:t xml:space="preserve"> </w:t>
            </w:r>
            <w:r w:rsidR="00C3487A" w:rsidRPr="00322BD0">
              <w:rPr>
                <w:rFonts w:ascii="Cambria" w:eastAsia="Times New Roman" w:hAnsi="Cambria" w:cs="Cambria"/>
                <w:b/>
                <w:bCs/>
                <w:color w:val="000000"/>
                <w:sz w:val="16"/>
                <w:szCs w:val="16"/>
                <w:lang w:val="en-GB"/>
              </w:rPr>
              <w:t xml:space="preserve">according to the </w:t>
            </w:r>
            <w:r w:rsidR="00C3487A" w:rsidRPr="00322BD0">
              <w:rPr>
                <w:rFonts w:ascii="Cambria" w:eastAsia="Times New Roman" w:hAnsi="Cambria" w:cs="Cambria"/>
                <w:b/>
                <w:bCs/>
                <w:color w:val="000000"/>
                <w:sz w:val="16"/>
                <w:szCs w:val="16"/>
                <w:lang w:val="en-GB"/>
              </w:rPr>
              <w:lastRenderedPageBreak/>
              <w:t>weighting coefficient</w:t>
            </w:r>
          </w:p>
        </w:tc>
      </w:tr>
      <w:tr w:rsidR="0081317F" w:rsidRPr="00322BD0" w:rsidTr="006866DE">
        <w:trPr>
          <w:trHeight w:val="370"/>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lastRenderedPageBreak/>
              <w:t>Commissioned investments –thousand RON</w:t>
            </w:r>
            <w:r w:rsidRPr="00322BD0">
              <w:rPr>
                <w:rFonts w:ascii="Cambria" w:hAnsi="Cambria" w:cs="Cambria"/>
                <w:b/>
                <w:bCs/>
                <w:color w:val="000000"/>
                <w:sz w:val="16"/>
                <w:szCs w:val="16"/>
                <w:lang w:val="en-GB"/>
              </w:rPr>
              <w:t xml:space="preserve"> </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Achieving the programmed level</w:t>
            </w:r>
            <w:r w:rsidRPr="00322BD0">
              <w:rPr>
                <w:rFonts w:ascii="Cambria" w:hAnsi="Cambria" w:cs="Cambria"/>
                <w:b/>
                <w:bCs/>
                <w:color w:val="000000"/>
                <w:sz w:val="16"/>
                <w:szCs w:val="16"/>
                <w:lang w:val="en-GB"/>
              </w:rPr>
              <w:t xml:space="preserve"> </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101,62%</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15,24</w:t>
            </w:r>
          </w:p>
        </w:tc>
      </w:tr>
      <w:tr w:rsidR="0081317F" w:rsidRPr="00322BD0" w:rsidTr="006866DE">
        <w:trPr>
          <w:trHeight w:val="280"/>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EBITDA –thousand RON</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Increasing EBITDA</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133,24%</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19,99</w:t>
            </w:r>
          </w:p>
        </w:tc>
      </w:tr>
      <w:tr w:rsidR="0081317F" w:rsidRPr="00322BD0" w:rsidTr="006866DE">
        <w:trPr>
          <w:trHeight w:val="748"/>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Work productivity –RON/pers</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Increasing work productivity in value units (turnover / average personnel no.);</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100,80%</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15,12</w:t>
            </w:r>
          </w:p>
        </w:tc>
      </w:tr>
      <w:tr w:rsidR="0081317F" w:rsidRPr="00322BD0" w:rsidTr="006866DE">
        <w:trPr>
          <w:trHeight w:val="550"/>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Overdue payments -thousand RON</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mbria"/>
                <w:color w:val="000000"/>
                <w:sz w:val="16"/>
                <w:szCs w:val="16"/>
                <w:lang w:val="en-GB"/>
              </w:rPr>
            </w:pPr>
            <w:r w:rsidRPr="00322BD0">
              <w:rPr>
                <w:rFonts w:ascii="Cambria" w:hAnsi="Cambria" w:cs="Cambria"/>
                <w:color w:val="000000"/>
                <w:sz w:val="16"/>
                <w:szCs w:val="16"/>
                <w:lang w:val="en-GB"/>
              </w:rPr>
              <w:t>Making payments according to contract terms (in current prices)</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100,00%</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15,00</w:t>
            </w:r>
          </w:p>
        </w:tc>
      </w:tr>
      <w:tr w:rsidR="0081317F" w:rsidRPr="00322BD0" w:rsidTr="006866DE">
        <w:trPr>
          <w:trHeight w:val="645"/>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Overdue receivables –thousand RON</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Decreasing the volume of overdue receivables (in current prices)</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10</w:t>
            </w:r>
          </w:p>
        </w:tc>
        <w:tc>
          <w:tcPr>
            <w:tcW w:w="683" w:type="pct"/>
            <w:shd w:val="clear" w:color="auto" w:fill="auto"/>
            <w:vAlign w:val="center"/>
          </w:tcPr>
          <w:p w:rsidR="0081317F" w:rsidRPr="00734162" w:rsidRDefault="004727D1" w:rsidP="0081317F">
            <w:pPr>
              <w:spacing w:after="0" w:line="240" w:lineRule="auto"/>
              <w:ind w:firstLine="0"/>
              <w:jc w:val="right"/>
              <w:rPr>
                <w:rFonts w:ascii="Cambria" w:eastAsia="Calibri" w:hAnsi="Cambria" w:cs="Arial"/>
                <w:sz w:val="18"/>
                <w:szCs w:val="18"/>
                <w:lang w:eastAsia="en-US"/>
              </w:rPr>
            </w:pPr>
            <w:r>
              <w:rPr>
                <w:rFonts w:ascii="Cambria" w:eastAsia="Calibri" w:hAnsi="Cambria" w:cs="Arial"/>
                <w:sz w:val="18"/>
                <w:szCs w:val="18"/>
                <w:lang w:eastAsia="en-US"/>
              </w:rPr>
              <w:t>24,24</w:t>
            </w:r>
            <w:r w:rsidR="0081317F" w:rsidRPr="00734162">
              <w:rPr>
                <w:rFonts w:ascii="Cambria" w:eastAsia="Calibri" w:hAnsi="Cambria" w:cs="Arial"/>
                <w:sz w:val="18"/>
                <w:szCs w:val="18"/>
                <w:lang w:eastAsia="en-US"/>
              </w:rPr>
              <w:t>%</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2,42</w:t>
            </w:r>
          </w:p>
        </w:tc>
      </w:tr>
      <w:tr w:rsidR="0081317F" w:rsidRPr="00322BD0" w:rsidTr="006866DE">
        <w:trPr>
          <w:trHeight w:val="640"/>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Technological consumption %</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Meeting the quantities of natural gas representing technological consumption</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267,71%</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40,16</w:t>
            </w:r>
          </w:p>
        </w:tc>
      </w:tr>
      <w:tr w:rsidR="0081317F" w:rsidRPr="00322BD0" w:rsidTr="006866DE">
        <w:trPr>
          <w:trHeight w:val="730"/>
          <w:tblCellSpacing w:w="20" w:type="dxa"/>
          <w:jc w:val="center"/>
        </w:trPr>
        <w:tc>
          <w:tcPr>
            <w:tcW w:w="1324"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mbria"/>
                <w:color w:val="000000"/>
                <w:sz w:val="16"/>
                <w:szCs w:val="16"/>
                <w:lang w:val="en-GB"/>
              </w:rPr>
            </w:pPr>
            <w:r w:rsidRPr="00322BD0">
              <w:rPr>
                <w:rFonts w:ascii="Cambria" w:hAnsi="Cambria" w:cs="Cambria"/>
                <w:color w:val="000000"/>
                <w:sz w:val="16"/>
                <w:szCs w:val="16"/>
                <w:lang w:val="en-GB"/>
              </w:rPr>
              <w:t>Operating expenses at 1000 RON operating revenue RON</w:t>
            </w:r>
          </w:p>
        </w:tc>
        <w:tc>
          <w:tcPr>
            <w:tcW w:w="1456" w:type="pct"/>
            <w:shd w:val="clear" w:color="auto" w:fill="auto"/>
            <w:vAlign w:val="center"/>
            <w:hideMark/>
          </w:tcPr>
          <w:p w:rsidR="0081317F" w:rsidRPr="00322BD0" w:rsidRDefault="0081317F" w:rsidP="0081317F">
            <w:pPr>
              <w:autoSpaceDE w:val="0"/>
              <w:autoSpaceDN w:val="0"/>
              <w:adjustRightInd w:val="0"/>
              <w:spacing w:line="240" w:lineRule="auto"/>
              <w:ind w:firstLine="0"/>
              <w:rPr>
                <w:rFonts w:ascii="Cambria" w:hAnsi="Cambria" w:cs="Calibri"/>
                <w:sz w:val="16"/>
                <w:szCs w:val="16"/>
                <w:lang w:val="en-GB"/>
              </w:rPr>
            </w:pPr>
            <w:r w:rsidRPr="00322BD0">
              <w:rPr>
                <w:rFonts w:ascii="Cambria" w:hAnsi="Cambria" w:cs="Cambria"/>
                <w:color w:val="000000"/>
                <w:sz w:val="16"/>
                <w:szCs w:val="16"/>
                <w:lang w:val="en-GB"/>
              </w:rPr>
              <w:t>Decreasing operating expenses for 1000 RON operating income</w:t>
            </w:r>
          </w:p>
        </w:tc>
        <w:tc>
          <w:tcPr>
            <w:tcW w:w="716" w:type="pct"/>
            <w:shd w:val="clear" w:color="auto" w:fill="auto"/>
            <w:vAlign w:val="center"/>
            <w:hideMark/>
          </w:tcPr>
          <w:p w:rsidR="0081317F" w:rsidRPr="00322BD0" w:rsidRDefault="0081317F" w:rsidP="0081317F">
            <w:pPr>
              <w:spacing w:after="0" w:line="240" w:lineRule="auto"/>
              <w:ind w:firstLine="0"/>
              <w:jc w:val="right"/>
              <w:rPr>
                <w:rFonts w:ascii="Cambria" w:eastAsia="Times New Roman" w:hAnsi="Cambria" w:cs="Times New Roman"/>
                <w:color w:val="000000"/>
                <w:sz w:val="16"/>
                <w:szCs w:val="16"/>
                <w:lang w:val="en-GB" w:eastAsia="en-US"/>
              </w:rPr>
            </w:pPr>
            <w:r w:rsidRPr="00322BD0">
              <w:rPr>
                <w:rFonts w:ascii="Cambria" w:eastAsia="Times New Roman" w:hAnsi="Cambria" w:cs="Times New Roman"/>
                <w:color w:val="000000"/>
                <w:sz w:val="16"/>
                <w:szCs w:val="16"/>
                <w:lang w:val="en-GB" w:eastAsia="en-US"/>
              </w:rPr>
              <w:t>15</w:t>
            </w:r>
          </w:p>
        </w:tc>
        <w:tc>
          <w:tcPr>
            <w:tcW w:w="683" w:type="pct"/>
            <w:shd w:val="clear" w:color="auto" w:fill="auto"/>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117%</w:t>
            </w:r>
          </w:p>
        </w:tc>
        <w:tc>
          <w:tcPr>
            <w:tcW w:w="691" w:type="pct"/>
            <w:vAlign w:val="center"/>
          </w:tcPr>
          <w:p w:rsidR="0081317F" w:rsidRPr="00734162" w:rsidRDefault="0081317F" w:rsidP="0081317F">
            <w:pPr>
              <w:spacing w:after="0" w:line="240" w:lineRule="auto"/>
              <w:ind w:firstLine="0"/>
              <w:jc w:val="right"/>
              <w:rPr>
                <w:rFonts w:ascii="Cambria" w:eastAsia="Calibri" w:hAnsi="Cambria" w:cs="Arial"/>
                <w:sz w:val="18"/>
                <w:szCs w:val="18"/>
                <w:lang w:eastAsia="en-US"/>
              </w:rPr>
            </w:pPr>
            <w:r w:rsidRPr="00734162">
              <w:rPr>
                <w:rFonts w:ascii="Cambria" w:eastAsia="Calibri" w:hAnsi="Cambria" w:cs="Arial"/>
                <w:sz w:val="18"/>
                <w:szCs w:val="18"/>
                <w:lang w:eastAsia="en-US"/>
              </w:rPr>
              <w:t>17,48</w:t>
            </w:r>
          </w:p>
        </w:tc>
      </w:tr>
      <w:tr w:rsidR="00C615A5" w:rsidRPr="00322BD0" w:rsidTr="006866DE">
        <w:trPr>
          <w:trHeight w:val="343"/>
          <w:tblCellSpacing w:w="20" w:type="dxa"/>
          <w:jc w:val="center"/>
        </w:trPr>
        <w:tc>
          <w:tcPr>
            <w:tcW w:w="1324" w:type="pct"/>
            <w:shd w:val="clear" w:color="auto" w:fill="DBE5F1" w:themeFill="accent1" w:themeFillTint="33"/>
            <w:vAlign w:val="center"/>
          </w:tcPr>
          <w:p w:rsidR="00C615A5" w:rsidRPr="00322BD0" w:rsidRDefault="00C615A5" w:rsidP="00C615A5">
            <w:pPr>
              <w:autoSpaceDE w:val="0"/>
              <w:autoSpaceDN w:val="0"/>
              <w:adjustRightInd w:val="0"/>
              <w:spacing w:line="240" w:lineRule="auto"/>
              <w:rPr>
                <w:rFonts w:ascii="Cambria" w:hAnsi="Cambria" w:cs="Cambria"/>
                <w:b/>
                <w:color w:val="000000"/>
                <w:sz w:val="16"/>
                <w:szCs w:val="16"/>
                <w:lang w:val="en-GB"/>
              </w:rPr>
            </w:pPr>
            <w:r w:rsidRPr="00322BD0">
              <w:rPr>
                <w:rFonts w:ascii="Cambria" w:hAnsi="Cambria" w:cs="Cambria"/>
                <w:b/>
                <w:color w:val="000000"/>
                <w:sz w:val="16"/>
                <w:szCs w:val="16"/>
                <w:lang w:val="en-GB"/>
              </w:rPr>
              <w:t>TOTAL</w:t>
            </w:r>
          </w:p>
        </w:tc>
        <w:tc>
          <w:tcPr>
            <w:tcW w:w="1456" w:type="pct"/>
            <w:shd w:val="clear" w:color="auto" w:fill="DBE5F1" w:themeFill="accent1" w:themeFillTint="33"/>
            <w:vAlign w:val="center"/>
          </w:tcPr>
          <w:p w:rsidR="00C615A5" w:rsidRPr="00322BD0" w:rsidRDefault="00C615A5" w:rsidP="00C615A5">
            <w:pPr>
              <w:autoSpaceDE w:val="0"/>
              <w:autoSpaceDN w:val="0"/>
              <w:adjustRightInd w:val="0"/>
              <w:spacing w:line="240" w:lineRule="auto"/>
              <w:rPr>
                <w:rFonts w:ascii="Cambria" w:hAnsi="Cambria" w:cs="Calibri"/>
                <w:sz w:val="16"/>
                <w:szCs w:val="16"/>
                <w:lang w:val="en-GB"/>
              </w:rPr>
            </w:pPr>
          </w:p>
        </w:tc>
        <w:tc>
          <w:tcPr>
            <w:tcW w:w="716" w:type="pct"/>
            <w:shd w:val="clear" w:color="auto" w:fill="DBE5F1" w:themeFill="accent1" w:themeFillTint="33"/>
            <w:vAlign w:val="center"/>
          </w:tcPr>
          <w:p w:rsidR="00C615A5" w:rsidRPr="00322BD0" w:rsidRDefault="00C615A5" w:rsidP="00C615A5">
            <w:pPr>
              <w:spacing w:after="0" w:line="240" w:lineRule="auto"/>
              <w:ind w:firstLine="0"/>
              <w:jc w:val="right"/>
              <w:rPr>
                <w:rFonts w:ascii="Cambria" w:eastAsia="Times New Roman" w:hAnsi="Cambria" w:cs="Times New Roman"/>
                <w:b/>
                <w:color w:val="000000"/>
                <w:sz w:val="16"/>
                <w:szCs w:val="16"/>
                <w:lang w:val="en-GB" w:eastAsia="en-US"/>
              </w:rPr>
            </w:pPr>
            <w:r w:rsidRPr="00322BD0">
              <w:rPr>
                <w:rFonts w:ascii="Cambria" w:eastAsia="Times New Roman" w:hAnsi="Cambria" w:cs="Times New Roman"/>
                <w:b/>
                <w:color w:val="000000"/>
                <w:sz w:val="16"/>
                <w:szCs w:val="16"/>
                <w:lang w:val="en-GB" w:eastAsia="en-US"/>
              </w:rPr>
              <w:t>100%</w:t>
            </w:r>
          </w:p>
        </w:tc>
        <w:tc>
          <w:tcPr>
            <w:tcW w:w="683" w:type="pct"/>
            <w:shd w:val="clear" w:color="auto" w:fill="DBE5F1" w:themeFill="accent1" w:themeFillTint="33"/>
            <w:vAlign w:val="center"/>
          </w:tcPr>
          <w:p w:rsidR="00C615A5" w:rsidRPr="00322BD0" w:rsidRDefault="00C615A5" w:rsidP="00C615A5">
            <w:pPr>
              <w:spacing w:after="0" w:line="240" w:lineRule="auto"/>
              <w:ind w:firstLine="0"/>
              <w:jc w:val="right"/>
              <w:rPr>
                <w:rFonts w:asciiTheme="majorHAnsi" w:eastAsia="Times New Roman" w:hAnsiTheme="majorHAnsi" w:cs="Times New Roman"/>
                <w:b/>
                <w:sz w:val="18"/>
                <w:szCs w:val="18"/>
                <w:lang w:val="en-GB" w:eastAsia="en-US"/>
              </w:rPr>
            </w:pPr>
          </w:p>
        </w:tc>
        <w:tc>
          <w:tcPr>
            <w:tcW w:w="691" w:type="pct"/>
            <w:shd w:val="clear" w:color="auto" w:fill="DBE5F1" w:themeFill="accent1" w:themeFillTint="33"/>
            <w:vAlign w:val="center"/>
          </w:tcPr>
          <w:p w:rsidR="00C615A5" w:rsidRPr="00322BD0" w:rsidRDefault="0081317F" w:rsidP="00C615A5">
            <w:pPr>
              <w:spacing w:after="0" w:line="240" w:lineRule="auto"/>
              <w:ind w:firstLine="0"/>
              <w:jc w:val="right"/>
              <w:rPr>
                <w:rFonts w:asciiTheme="majorHAnsi" w:eastAsia="Calibri" w:hAnsiTheme="majorHAnsi" w:cs="Arial"/>
                <w:b/>
                <w:sz w:val="18"/>
                <w:szCs w:val="18"/>
                <w:lang w:val="en-GB" w:eastAsia="en-US"/>
              </w:rPr>
            </w:pPr>
            <w:r w:rsidRPr="00734162">
              <w:rPr>
                <w:rFonts w:ascii="Cambria" w:eastAsia="Calibri" w:hAnsi="Cambria" w:cs="Arial"/>
                <w:b/>
                <w:sz w:val="18"/>
                <w:szCs w:val="18"/>
                <w:lang w:eastAsia="en-US"/>
              </w:rPr>
              <w:t>125,41</w:t>
            </w:r>
          </w:p>
        </w:tc>
      </w:tr>
    </w:tbl>
    <w:p w:rsidR="005B0157" w:rsidRPr="00322BD0" w:rsidRDefault="005B0157" w:rsidP="00743544">
      <w:pPr>
        <w:spacing w:after="0" w:line="240" w:lineRule="auto"/>
        <w:ind w:firstLine="0"/>
        <w:jc w:val="center"/>
        <w:rPr>
          <w:rFonts w:ascii="Cambria" w:eastAsia="Times New Roman" w:hAnsi="Cambria" w:cs="Times New Roman"/>
          <w:b/>
          <w:i/>
          <w:sz w:val="16"/>
          <w:szCs w:val="16"/>
          <w:lang w:val="en-GB" w:eastAsia="ro-RO"/>
        </w:rPr>
      </w:pPr>
    </w:p>
    <w:p w:rsidR="004052F4" w:rsidRPr="00322BD0" w:rsidRDefault="006866DE" w:rsidP="004052F4">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19</w:t>
      </w:r>
      <w:r w:rsidR="00C3487A" w:rsidRPr="00322BD0">
        <w:rPr>
          <w:rFonts w:ascii="Cambria" w:eastAsia="Times New Roman" w:hAnsi="Cambria" w:cs="Times New Roman"/>
          <w:b/>
          <w:i/>
          <w:sz w:val="16"/>
          <w:szCs w:val="16"/>
          <w:lang w:val="en-GB" w:eastAsia="ro-RO"/>
        </w:rPr>
        <w:t xml:space="preserve">– </w:t>
      </w:r>
      <w:r w:rsidR="00C3487A" w:rsidRPr="00322BD0">
        <w:rPr>
          <w:rFonts w:ascii="Cambria" w:eastAsia="Times New Roman" w:hAnsi="Cambria" w:cs="Cambria"/>
          <w:b/>
          <w:bCs/>
          <w:i/>
          <w:iCs/>
          <w:sz w:val="16"/>
          <w:szCs w:val="16"/>
          <w:lang w:val="en-GB"/>
        </w:rPr>
        <w:t>Level of fulfilment of standard performance indicators in</w:t>
      </w:r>
      <w:r w:rsidR="00C3487A" w:rsidRPr="00322BD0">
        <w:rPr>
          <w:rFonts w:ascii="Cambria" w:eastAsia="Times New Roman" w:hAnsi="Cambria" w:cs="Times New Roman"/>
          <w:b/>
          <w:i/>
          <w:sz w:val="16"/>
          <w:szCs w:val="16"/>
          <w:lang w:val="en-GB" w:eastAsia="ro-RO"/>
        </w:rPr>
        <w:t xml:space="preserve"> </w:t>
      </w:r>
      <w:r w:rsidR="00C96B96" w:rsidRPr="00322BD0">
        <w:rPr>
          <w:rFonts w:ascii="Cambria" w:eastAsia="Times New Roman" w:hAnsi="Cambria" w:cs="Times New Roman"/>
          <w:b/>
          <w:i/>
          <w:sz w:val="16"/>
          <w:szCs w:val="16"/>
          <w:lang w:val="en-GB" w:eastAsia="ro-RO"/>
        </w:rPr>
        <w:t>201</w:t>
      </w:r>
      <w:r>
        <w:rPr>
          <w:rFonts w:ascii="Cambria" w:eastAsia="Times New Roman" w:hAnsi="Cambria" w:cs="Times New Roman"/>
          <w:b/>
          <w:i/>
          <w:sz w:val="16"/>
          <w:szCs w:val="16"/>
          <w:lang w:val="en-GB" w:eastAsia="ro-RO"/>
        </w:rPr>
        <w:t>6</w:t>
      </w:r>
    </w:p>
    <w:p w:rsidR="007D684D" w:rsidRPr="00322BD0" w:rsidRDefault="007D684D" w:rsidP="004052F4">
      <w:pPr>
        <w:spacing w:after="0" w:line="240" w:lineRule="auto"/>
        <w:ind w:firstLine="0"/>
        <w:jc w:val="center"/>
        <w:rPr>
          <w:rFonts w:ascii="Cambria" w:eastAsia="Times New Roman" w:hAnsi="Cambria" w:cs="Times New Roman"/>
          <w:b/>
          <w:i/>
          <w:sz w:val="16"/>
          <w:szCs w:val="16"/>
          <w:lang w:val="en-GB" w:eastAsia="ro-RO"/>
        </w:rPr>
      </w:pPr>
    </w:p>
    <w:p w:rsidR="007D684D" w:rsidRPr="00322BD0" w:rsidRDefault="00F972C2" w:rsidP="004052F4">
      <w:pPr>
        <w:spacing w:after="0" w:line="240" w:lineRule="auto"/>
        <w:ind w:firstLine="0"/>
        <w:jc w:val="center"/>
        <w:rPr>
          <w:rFonts w:ascii="Cambria" w:eastAsia="Times New Roman" w:hAnsi="Cambria" w:cs="Times New Roman"/>
          <w:b/>
          <w:i/>
          <w:sz w:val="16"/>
          <w:szCs w:val="16"/>
          <w:lang w:val="en-GB" w:eastAsia="ro-RO"/>
        </w:rPr>
      </w:pPr>
      <w:r>
        <w:rPr>
          <w:noProof/>
          <w:lang w:val="ro-RO" w:eastAsia="ro-RO"/>
        </w:rPr>
        <w:drawing>
          <wp:inline distT="0" distB="0" distL="0" distR="0" wp14:anchorId="1B8954DE" wp14:editId="7E8998E5">
            <wp:extent cx="5671820" cy="1876425"/>
            <wp:effectExtent l="0" t="0" r="508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40046" w:rsidRPr="00322BD0" w:rsidRDefault="00240046" w:rsidP="004052F4">
      <w:pPr>
        <w:spacing w:after="0" w:line="240" w:lineRule="auto"/>
        <w:ind w:firstLine="0"/>
        <w:jc w:val="center"/>
        <w:rPr>
          <w:rFonts w:ascii="Cambria" w:eastAsia="Times New Roman" w:hAnsi="Cambria" w:cs="Times New Roman"/>
          <w:b/>
          <w:i/>
          <w:sz w:val="16"/>
          <w:szCs w:val="16"/>
          <w:lang w:val="en-GB" w:eastAsia="ro-RO"/>
        </w:rPr>
      </w:pPr>
    </w:p>
    <w:p w:rsidR="00240046" w:rsidRPr="00322BD0" w:rsidRDefault="006866DE" w:rsidP="00240046">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Chart 26</w:t>
      </w:r>
      <w:r w:rsidR="00240046" w:rsidRPr="00322BD0">
        <w:rPr>
          <w:rFonts w:ascii="Cambria" w:eastAsia="Times New Roman" w:hAnsi="Cambria" w:cs="Times New Roman"/>
          <w:b/>
          <w:i/>
          <w:sz w:val="16"/>
          <w:szCs w:val="16"/>
          <w:lang w:val="en-GB" w:eastAsia="ro-RO"/>
        </w:rPr>
        <w:t xml:space="preserve">– </w:t>
      </w:r>
      <w:r w:rsidR="00240046" w:rsidRPr="00322BD0">
        <w:rPr>
          <w:rFonts w:ascii="Cambria" w:eastAsia="Times New Roman" w:hAnsi="Cambria" w:cs="Cambria"/>
          <w:b/>
          <w:bCs/>
          <w:i/>
          <w:iCs/>
          <w:sz w:val="16"/>
          <w:szCs w:val="16"/>
          <w:lang w:val="en-GB"/>
        </w:rPr>
        <w:t>Aggregate level of fulfilment of standard performance indicators in</w:t>
      </w:r>
      <w:r>
        <w:rPr>
          <w:rFonts w:ascii="Cambria" w:eastAsia="Times New Roman" w:hAnsi="Cambria" w:cs="Times New Roman"/>
          <w:b/>
          <w:i/>
          <w:sz w:val="16"/>
          <w:szCs w:val="16"/>
          <w:lang w:val="en-GB" w:eastAsia="ro-RO"/>
        </w:rPr>
        <w:t xml:space="preserve"> 2016</w:t>
      </w:r>
    </w:p>
    <w:p w:rsidR="00240046" w:rsidRPr="00322BD0" w:rsidRDefault="00240046" w:rsidP="004052F4">
      <w:pPr>
        <w:spacing w:after="0" w:line="240" w:lineRule="auto"/>
        <w:ind w:firstLine="0"/>
        <w:jc w:val="center"/>
        <w:rPr>
          <w:rFonts w:ascii="Cambria" w:eastAsia="Times New Roman" w:hAnsi="Cambria" w:cs="Times New Roman"/>
          <w:b/>
          <w:i/>
          <w:sz w:val="16"/>
          <w:szCs w:val="16"/>
          <w:lang w:val="en-GB" w:eastAsia="ro-RO"/>
        </w:rPr>
      </w:pPr>
    </w:p>
    <w:p w:rsidR="00421B6E" w:rsidRPr="00322BD0" w:rsidRDefault="00421B6E" w:rsidP="00743544">
      <w:pPr>
        <w:spacing w:after="0" w:line="240" w:lineRule="auto"/>
        <w:ind w:firstLine="0"/>
        <w:jc w:val="center"/>
        <w:rPr>
          <w:rFonts w:ascii="Cambria" w:eastAsia="Times New Roman" w:hAnsi="Cambria" w:cs="Times New Roman"/>
          <w:b/>
          <w:i/>
          <w:sz w:val="16"/>
          <w:szCs w:val="16"/>
          <w:lang w:val="en-GB" w:eastAsia="ro-RO"/>
        </w:rPr>
      </w:pPr>
    </w:p>
    <w:p w:rsidR="0058165E" w:rsidRPr="00322BD0" w:rsidRDefault="0058165E" w:rsidP="00F972C2">
      <w:pPr>
        <w:spacing w:after="0" w:line="240" w:lineRule="auto"/>
        <w:ind w:firstLine="0"/>
        <w:rPr>
          <w:rFonts w:ascii="Cambria" w:eastAsia="Times New Roman" w:hAnsi="Cambria" w:cs="Times New Roman"/>
          <w:b/>
          <w:i/>
          <w:sz w:val="16"/>
          <w:szCs w:val="16"/>
          <w:lang w:val="en-GB" w:eastAsia="ro-RO"/>
        </w:rPr>
      </w:pPr>
    </w:p>
    <w:p w:rsidR="00743544" w:rsidRPr="00322BD0" w:rsidRDefault="00743544" w:rsidP="00C96B96">
      <w:pPr>
        <w:spacing w:after="0" w:line="240" w:lineRule="auto"/>
        <w:ind w:firstLine="0"/>
        <w:rPr>
          <w:rFonts w:ascii="Cambria" w:eastAsia="Times New Roman" w:hAnsi="Cambria" w:cs="Times New Roman"/>
          <w:b/>
          <w:i/>
          <w:sz w:val="16"/>
          <w:szCs w:val="16"/>
          <w:lang w:val="en-GB" w:eastAsia="ro-RO"/>
        </w:rPr>
      </w:pPr>
    </w:p>
    <w:p w:rsidR="00B3761F" w:rsidRPr="00322BD0" w:rsidRDefault="00B3761F" w:rsidP="00B3761F">
      <w:pPr>
        <w:spacing w:after="0" w:line="240" w:lineRule="auto"/>
        <w:ind w:firstLine="0"/>
        <w:jc w:val="both"/>
        <w:rPr>
          <w:rFonts w:ascii="Cambria" w:eastAsia="Times New Roman" w:hAnsi="Cambria" w:cs="Cambria"/>
          <w:b/>
          <w:bCs/>
          <w:lang w:val="en-GB"/>
        </w:rPr>
      </w:pPr>
      <w:r w:rsidRPr="00322BD0">
        <w:rPr>
          <w:rFonts w:ascii="Cambria" w:eastAsia="Times New Roman" w:hAnsi="Cambria" w:cs="Cambria"/>
          <w:b/>
          <w:bCs/>
          <w:lang w:val="en-GB"/>
        </w:rPr>
        <w:t>Performance criteria and objectives for determining the variable component of the remuneration</w:t>
      </w:r>
    </w:p>
    <w:tbl>
      <w:tblPr>
        <w:tblW w:w="879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406"/>
        <w:gridCol w:w="2888"/>
        <w:gridCol w:w="1500"/>
        <w:gridCol w:w="1530"/>
        <w:gridCol w:w="1471"/>
      </w:tblGrid>
      <w:tr w:rsidR="006866DE" w:rsidRPr="00322BD0" w:rsidTr="00F972C2">
        <w:trPr>
          <w:trHeight w:val="427"/>
          <w:tblCellSpacing w:w="20" w:type="dxa"/>
          <w:jc w:val="center"/>
        </w:trPr>
        <w:tc>
          <w:tcPr>
            <w:tcW w:w="1347" w:type="dxa"/>
            <w:shd w:val="clear" w:color="auto" w:fill="D6E0F4"/>
            <w:vAlign w:val="center"/>
            <w:hideMark/>
          </w:tcPr>
          <w:p w:rsidR="006866DE" w:rsidRPr="00322BD0" w:rsidRDefault="006866DE" w:rsidP="006866DE">
            <w:pPr>
              <w:spacing w:after="0" w:line="240" w:lineRule="auto"/>
              <w:ind w:firstLine="0"/>
              <w:jc w:val="center"/>
              <w:rPr>
                <w:rFonts w:ascii="Cambria" w:eastAsia="Calibri" w:hAnsi="Cambria" w:cs="Times New Roman"/>
                <w:b/>
                <w:bCs/>
                <w:sz w:val="18"/>
                <w:szCs w:val="18"/>
                <w:lang w:val="en-GB" w:eastAsia="en-US"/>
              </w:rPr>
            </w:pPr>
            <w:r w:rsidRPr="00322BD0">
              <w:rPr>
                <w:rFonts w:ascii="Cambria" w:eastAsia="Calibri" w:hAnsi="Cambria" w:cs="Times New Roman"/>
                <w:b/>
                <w:bCs/>
                <w:sz w:val="18"/>
                <w:szCs w:val="18"/>
                <w:lang w:val="en-GB" w:eastAsia="en-US"/>
              </w:rPr>
              <w:t>Performance criterion</w:t>
            </w:r>
          </w:p>
          <w:p w:rsidR="006866DE" w:rsidRPr="00322BD0" w:rsidRDefault="006866DE" w:rsidP="00087A36">
            <w:pPr>
              <w:spacing w:after="0" w:line="240" w:lineRule="auto"/>
              <w:ind w:firstLine="0"/>
              <w:rPr>
                <w:rFonts w:ascii="Cambria" w:eastAsia="Calibri" w:hAnsi="Cambria" w:cs="Times New Roman"/>
                <w:b/>
                <w:bCs/>
                <w:sz w:val="18"/>
                <w:szCs w:val="18"/>
                <w:lang w:val="en-GB" w:eastAsia="en-US"/>
              </w:rPr>
            </w:pPr>
          </w:p>
        </w:tc>
        <w:tc>
          <w:tcPr>
            <w:tcW w:w="2937" w:type="dxa"/>
            <w:shd w:val="clear" w:color="auto" w:fill="D6E0F4"/>
            <w:vAlign w:val="center"/>
            <w:hideMark/>
          </w:tcPr>
          <w:p w:rsidR="006866DE" w:rsidRPr="00322BD0" w:rsidRDefault="006866DE" w:rsidP="006866DE">
            <w:pPr>
              <w:spacing w:after="0" w:line="240" w:lineRule="auto"/>
              <w:ind w:firstLine="0"/>
              <w:jc w:val="center"/>
              <w:rPr>
                <w:rFonts w:ascii="Cambria" w:eastAsia="Calibri" w:hAnsi="Cambria" w:cs="Times New Roman"/>
                <w:b/>
                <w:bCs/>
                <w:sz w:val="18"/>
                <w:szCs w:val="18"/>
                <w:lang w:val="en-GB" w:eastAsia="en-US"/>
              </w:rPr>
            </w:pPr>
            <w:r w:rsidRPr="00322BD0">
              <w:rPr>
                <w:rFonts w:ascii="Cambria" w:hAnsi="Cambria" w:cs="Cambria"/>
                <w:b/>
                <w:bCs/>
                <w:sz w:val="18"/>
                <w:szCs w:val="18"/>
                <w:lang w:val="en-GB"/>
              </w:rPr>
              <w:t>Performance objective</w:t>
            </w:r>
            <w:r w:rsidRPr="00322BD0">
              <w:rPr>
                <w:rFonts w:ascii="Cambria" w:eastAsia="Calibri" w:hAnsi="Cambria" w:cs="Times New Roman"/>
                <w:b/>
                <w:bCs/>
                <w:sz w:val="18"/>
                <w:szCs w:val="18"/>
                <w:lang w:val="en-GB" w:eastAsia="en-US"/>
              </w:rPr>
              <w:t xml:space="preserve"> </w:t>
            </w:r>
          </w:p>
          <w:p w:rsidR="006866DE" w:rsidRPr="00322BD0" w:rsidRDefault="006866DE" w:rsidP="00087A36">
            <w:pPr>
              <w:spacing w:after="0" w:line="240" w:lineRule="auto"/>
              <w:ind w:firstLine="0"/>
              <w:rPr>
                <w:rFonts w:ascii="Cambria" w:eastAsia="Calibri" w:hAnsi="Cambria" w:cs="Times New Roman"/>
                <w:b/>
                <w:bCs/>
                <w:sz w:val="18"/>
                <w:szCs w:val="18"/>
                <w:lang w:val="en-GB" w:eastAsia="en-US"/>
              </w:rPr>
            </w:pPr>
          </w:p>
        </w:tc>
        <w:tc>
          <w:tcPr>
            <w:tcW w:w="1430" w:type="dxa"/>
            <w:shd w:val="clear" w:color="auto" w:fill="D6E0F4"/>
            <w:vAlign w:val="center"/>
            <w:hideMark/>
          </w:tcPr>
          <w:p w:rsidR="006866DE" w:rsidRPr="00322BD0" w:rsidRDefault="006866DE" w:rsidP="00240046">
            <w:pPr>
              <w:spacing w:after="0" w:line="240" w:lineRule="auto"/>
              <w:ind w:firstLine="0"/>
              <w:jc w:val="center"/>
              <w:rPr>
                <w:rFonts w:ascii="Cambria" w:eastAsia="Calibri" w:hAnsi="Cambria" w:cs="Times New Roman"/>
                <w:b/>
                <w:bCs/>
                <w:sz w:val="18"/>
                <w:szCs w:val="18"/>
                <w:lang w:val="en-GB" w:eastAsia="en-US"/>
              </w:rPr>
            </w:pPr>
            <w:r w:rsidRPr="00322BD0">
              <w:rPr>
                <w:rFonts w:ascii="Cambria" w:eastAsia="Calibri" w:hAnsi="Cambria" w:cs="Times New Roman"/>
                <w:b/>
                <w:bCs/>
                <w:sz w:val="18"/>
                <w:szCs w:val="18"/>
                <w:lang w:val="en-GB" w:eastAsia="en-US"/>
              </w:rPr>
              <w:t>Management Plan</w:t>
            </w:r>
            <w:r>
              <w:rPr>
                <w:rFonts w:ascii="Cambria" w:eastAsia="Calibri" w:hAnsi="Cambria" w:cs="Times New Roman"/>
                <w:b/>
                <w:bCs/>
                <w:sz w:val="18"/>
                <w:szCs w:val="18"/>
                <w:lang w:val="en-GB" w:eastAsia="en-US"/>
              </w:rPr>
              <w:t xml:space="preserve"> 2016</w:t>
            </w:r>
          </w:p>
        </w:tc>
        <w:tc>
          <w:tcPr>
            <w:tcW w:w="1460" w:type="dxa"/>
            <w:shd w:val="clear" w:color="auto" w:fill="D6E0F4"/>
            <w:vAlign w:val="center"/>
            <w:hideMark/>
          </w:tcPr>
          <w:p w:rsidR="006866DE" w:rsidRPr="00322BD0" w:rsidRDefault="006866DE" w:rsidP="00087A36">
            <w:pPr>
              <w:spacing w:after="0" w:line="240" w:lineRule="auto"/>
              <w:ind w:firstLine="0"/>
              <w:jc w:val="center"/>
              <w:rPr>
                <w:rFonts w:ascii="Cambria" w:eastAsia="Calibri" w:hAnsi="Cambria" w:cs="Times New Roman"/>
                <w:b/>
                <w:bCs/>
                <w:sz w:val="18"/>
                <w:szCs w:val="18"/>
                <w:lang w:val="en-GB" w:eastAsia="en-US"/>
              </w:rPr>
            </w:pPr>
            <w:r w:rsidRPr="00322BD0">
              <w:rPr>
                <w:rFonts w:ascii="Cambria" w:eastAsia="Calibri" w:hAnsi="Cambria" w:cs="Times New Roman"/>
                <w:b/>
                <w:bCs/>
                <w:sz w:val="18"/>
                <w:szCs w:val="18"/>
                <w:lang w:val="en-GB" w:eastAsia="en-US"/>
              </w:rPr>
              <w:t>Achieved</w:t>
            </w:r>
            <w:r>
              <w:rPr>
                <w:rFonts w:ascii="Cambria" w:eastAsia="Calibri" w:hAnsi="Cambria" w:cs="Times New Roman"/>
                <w:b/>
                <w:bCs/>
                <w:sz w:val="18"/>
                <w:szCs w:val="18"/>
                <w:lang w:val="en-GB" w:eastAsia="en-US"/>
              </w:rPr>
              <w:t xml:space="preserve"> 2016</w:t>
            </w:r>
          </w:p>
        </w:tc>
        <w:tc>
          <w:tcPr>
            <w:tcW w:w="1381" w:type="dxa"/>
            <w:shd w:val="clear" w:color="auto" w:fill="D6E0F4"/>
            <w:vAlign w:val="center"/>
            <w:hideMark/>
          </w:tcPr>
          <w:p w:rsidR="006866DE" w:rsidRPr="00322BD0" w:rsidRDefault="006866DE" w:rsidP="00087A36">
            <w:pPr>
              <w:spacing w:after="0" w:line="240" w:lineRule="auto"/>
              <w:ind w:firstLine="0"/>
              <w:jc w:val="center"/>
              <w:rPr>
                <w:rFonts w:ascii="Cambria" w:eastAsia="Calibri" w:hAnsi="Cambria" w:cs="Times New Roman"/>
                <w:b/>
                <w:bCs/>
                <w:sz w:val="18"/>
                <w:szCs w:val="18"/>
                <w:lang w:val="en-GB" w:eastAsia="en-US"/>
              </w:rPr>
            </w:pPr>
            <w:r w:rsidRPr="00322BD0">
              <w:rPr>
                <w:rFonts w:ascii="Cambria" w:eastAsia="Calibri" w:hAnsi="Cambria" w:cs="Times New Roman"/>
                <w:b/>
                <w:bCs/>
                <w:sz w:val="18"/>
                <w:szCs w:val="18"/>
                <w:lang w:val="en-GB" w:eastAsia="en-US"/>
              </w:rPr>
              <w:t>Percent</w:t>
            </w:r>
          </w:p>
        </w:tc>
      </w:tr>
      <w:tr w:rsidR="00F972C2" w:rsidRPr="00322BD0" w:rsidTr="00F972C2">
        <w:trPr>
          <w:trHeight w:val="578"/>
          <w:tblCellSpacing w:w="20" w:type="dxa"/>
          <w:jc w:val="center"/>
        </w:trPr>
        <w:tc>
          <w:tcPr>
            <w:tcW w:w="1347" w:type="dxa"/>
            <w:shd w:val="clear" w:color="auto" w:fill="auto"/>
            <w:vAlign w:val="center"/>
            <w:hideMark/>
          </w:tcPr>
          <w:p w:rsidR="00F972C2" w:rsidRPr="00322BD0" w:rsidRDefault="00F972C2" w:rsidP="00087A36">
            <w:pPr>
              <w:spacing w:after="0" w:line="240" w:lineRule="auto"/>
              <w:ind w:firstLine="0"/>
              <w:rPr>
                <w:rFonts w:ascii="Cambria" w:eastAsia="Calibri" w:hAnsi="Cambria" w:cs="Times New Roman"/>
                <w:sz w:val="18"/>
                <w:szCs w:val="18"/>
                <w:lang w:val="en-GB" w:eastAsia="en-US"/>
              </w:rPr>
            </w:pPr>
            <w:r w:rsidRPr="00322BD0">
              <w:rPr>
                <w:rFonts w:ascii="Cambria" w:eastAsia="Calibri" w:hAnsi="Cambria" w:cs="Times New Roman"/>
                <w:sz w:val="18"/>
                <w:szCs w:val="18"/>
                <w:lang w:val="en-GB" w:eastAsia="en-US"/>
              </w:rPr>
              <w:t>EBITDA</w:t>
            </w:r>
          </w:p>
        </w:tc>
        <w:tc>
          <w:tcPr>
            <w:tcW w:w="2937" w:type="dxa"/>
            <w:shd w:val="clear" w:color="auto" w:fill="auto"/>
            <w:vAlign w:val="center"/>
            <w:hideMark/>
          </w:tcPr>
          <w:p w:rsidR="00F972C2" w:rsidRPr="00322BD0" w:rsidRDefault="00F972C2" w:rsidP="00240046">
            <w:pPr>
              <w:spacing w:after="0" w:line="240" w:lineRule="auto"/>
              <w:ind w:firstLine="0"/>
              <w:rPr>
                <w:rFonts w:ascii="Cambria" w:eastAsia="Calibri" w:hAnsi="Cambria" w:cs="Times New Roman"/>
                <w:sz w:val="18"/>
                <w:szCs w:val="18"/>
                <w:lang w:val="en-GB" w:eastAsia="en-US"/>
              </w:rPr>
            </w:pPr>
            <w:r w:rsidRPr="00322BD0">
              <w:rPr>
                <w:rFonts w:ascii="Cambria" w:hAnsi="Cambria" w:cs="Cambria"/>
                <w:sz w:val="18"/>
                <w:szCs w:val="18"/>
                <w:lang w:val="en-GB"/>
              </w:rPr>
              <w:t>Fulfilment of the EBITDA target undertaken in the Management Plan</w:t>
            </w:r>
            <w:r w:rsidRPr="00322BD0">
              <w:rPr>
                <w:rFonts w:ascii="Cambria" w:eastAsia="Calibri" w:hAnsi="Cambria" w:cs="Times New Roman"/>
                <w:sz w:val="18"/>
                <w:szCs w:val="18"/>
                <w:lang w:val="en-GB" w:eastAsia="en-US"/>
              </w:rPr>
              <w:t xml:space="preserve"> </w:t>
            </w:r>
          </w:p>
        </w:tc>
        <w:tc>
          <w:tcPr>
            <w:tcW w:w="1430" w:type="dxa"/>
            <w:shd w:val="clear" w:color="auto" w:fill="auto"/>
            <w:noWrap/>
            <w:vAlign w:val="center"/>
            <w:hideMark/>
          </w:tcPr>
          <w:p w:rsidR="00F972C2" w:rsidRPr="003A5659" w:rsidRDefault="00F972C2" w:rsidP="0097615F">
            <w:pPr>
              <w:spacing w:after="0" w:line="240" w:lineRule="auto"/>
              <w:ind w:firstLine="0"/>
              <w:jc w:val="right"/>
              <w:rPr>
                <w:rFonts w:ascii="Cambria" w:eastAsia="Calibri" w:hAnsi="Cambria" w:cs="Times New Roman"/>
                <w:bCs/>
                <w:iCs/>
                <w:sz w:val="20"/>
                <w:szCs w:val="20"/>
                <w:lang w:val="ro-RO" w:eastAsia="en-US"/>
              </w:rPr>
            </w:pPr>
            <w:r w:rsidRPr="003A5659">
              <w:rPr>
                <w:rFonts w:ascii="Cambria" w:eastAsia="Calibri" w:hAnsi="Cambria" w:cs="Times New Roman"/>
                <w:bCs/>
                <w:iCs/>
                <w:sz w:val="20"/>
                <w:szCs w:val="20"/>
                <w:lang w:val="ro-RO" w:eastAsia="en-US"/>
              </w:rPr>
              <w:t>675.539</w:t>
            </w:r>
          </w:p>
        </w:tc>
        <w:tc>
          <w:tcPr>
            <w:tcW w:w="1460"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B77EFB">
              <w:rPr>
                <w:rFonts w:ascii="Cambria" w:eastAsia="Calibri" w:hAnsi="Cambria" w:cs="Arial"/>
                <w:sz w:val="20"/>
                <w:szCs w:val="20"/>
                <w:lang w:val="ro-RO" w:eastAsia="en-US"/>
              </w:rPr>
              <w:t>900.091</w:t>
            </w:r>
          </w:p>
        </w:tc>
        <w:tc>
          <w:tcPr>
            <w:tcW w:w="1381"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B77EFB">
              <w:rPr>
                <w:rFonts w:ascii="Cambria" w:eastAsia="Calibri" w:hAnsi="Cambria" w:cs="Arial"/>
                <w:sz w:val="20"/>
                <w:szCs w:val="20"/>
                <w:lang w:val="ro-RO" w:eastAsia="en-US"/>
              </w:rPr>
              <w:t>133%</w:t>
            </w:r>
          </w:p>
        </w:tc>
      </w:tr>
      <w:tr w:rsidR="00F972C2" w:rsidRPr="00322BD0" w:rsidTr="00F972C2">
        <w:trPr>
          <w:trHeight w:val="1384"/>
          <w:tblCellSpacing w:w="20" w:type="dxa"/>
          <w:jc w:val="center"/>
        </w:trPr>
        <w:tc>
          <w:tcPr>
            <w:tcW w:w="1347" w:type="dxa"/>
            <w:shd w:val="clear" w:color="auto" w:fill="auto"/>
            <w:vAlign w:val="center"/>
            <w:hideMark/>
          </w:tcPr>
          <w:p w:rsidR="00F972C2" w:rsidRPr="00322BD0" w:rsidRDefault="00F972C2" w:rsidP="00240046">
            <w:pPr>
              <w:spacing w:after="0" w:line="240" w:lineRule="auto"/>
              <w:ind w:firstLine="0"/>
              <w:rPr>
                <w:rFonts w:ascii="Cambria" w:eastAsia="Calibri" w:hAnsi="Cambria" w:cs="Times New Roman"/>
                <w:sz w:val="18"/>
                <w:szCs w:val="18"/>
                <w:lang w:val="en-GB" w:eastAsia="en-US"/>
              </w:rPr>
            </w:pPr>
            <w:r w:rsidRPr="00322BD0">
              <w:rPr>
                <w:rFonts w:ascii="Cambria" w:eastAsia="Calibri" w:hAnsi="Cambria" w:cs="Times New Roman"/>
                <w:sz w:val="18"/>
                <w:szCs w:val="18"/>
                <w:lang w:val="en-GB" w:eastAsia="en-US"/>
              </w:rPr>
              <w:lastRenderedPageBreak/>
              <w:t>Operating expense (</w:t>
            </w:r>
            <w:r w:rsidRPr="00322BD0">
              <w:rPr>
                <w:rFonts w:ascii="Cambria" w:hAnsi="Cambria" w:cs="Cambria"/>
                <w:sz w:val="18"/>
                <w:szCs w:val="18"/>
                <w:lang w:val="en-GB"/>
              </w:rPr>
              <w:t>without amortisation</w:t>
            </w:r>
            <w:r>
              <w:rPr>
                <w:rFonts w:ascii="Cambria" w:hAnsi="Cambria" w:cs="Cambria"/>
                <w:sz w:val="18"/>
                <w:szCs w:val="18"/>
                <w:lang w:val="en-GB"/>
              </w:rPr>
              <w:t xml:space="preserve"> </w:t>
            </w:r>
            <w:r w:rsidRPr="00322BD0">
              <w:rPr>
                <w:rFonts w:ascii="Cambria" w:hAnsi="Cambria" w:cs="Cambria"/>
                <w:sz w:val="18"/>
                <w:szCs w:val="18"/>
                <w:lang w:val="en-GB"/>
              </w:rPr>
              <w:t xml:space="preserve"> </w:t>
            </w:r>
            <w:r>
              <w:rPr>
                <w:rFonts w:ascii="Cambria" w:hAnsi="Cambria" w:cs="Cambria"/>
                <w:sz w:val="18"/>
                <w:szCs w:val="18"/>
                <w:lang w:val="en-GB"/>
              </w:rPr>
              <w:t xml:space="preserve">RON </w:t>
            </w:r>
            <w:r>
              <w:rPr>
                <w:rFonts w:ascii="Cambria" w:eastAsia="Calibri" w:hAnsi="Cambria" w:cs="Times New Roman"/>
                <w:sz w:val="18"/>
                <w:szCs w:val="18"/>
                <w:lang w:val="en-GB" w:eastAsia="en-US"/>
              </w:rPr>
              <w:t xml:space="preserve">thousand </w:t>
            </w:r>
          </w:p>
        </w:tc>
        <w:tc>
          <w:tcPr>
            <w:tcW w:w="2937" w:type="dxa"/>
            <w:shd w:val="clear" w:color="auto" w:fill="auto"/>
            <w:vAlign w:val="center"/>
            <w:hideMark/>
          </w:tcPr>
          <w:p w:rsidR="00F972C2" w:rsidRPr="00322BD0" w:rsidRDefault="00F972C2" w:rsidP="00087A36">
            <w:pPr>
              <w:spacing w:after="0" w:line="240" w:lineRule="auto"/>
              <w:ind w:firstLine="0"/>
              <w:rPr>
                <w:rFonts w:ascii="Cambria" w:eastAsia="Calibri" w:hAnsi="Cambria" w:cs="Times New Roman"/>
                <w:sz w:val="18"/>
                <w:szCs w:val="18"/>
                <w:lang w:val="en-GB" w:eastAsia="en-US"/>
              </w:rPr>
            </w:pPr>
            <w:r w:rsidRPr="00322BD0">
              <w:rPr>
                <w:rFonts w:ascii="Cambria" w:hAnsi="Cambria" w:cs="Cambria"/>
                <w:sz w:val="18"/>
                <w:szCs w:val="18"/>
                <w:lang w:val="en-GB"/>
              </w:rPr>
              <w:t>Reducing the level of operating expenses (without amortisation expenses) actually incurred in relation to the level undertaken in the Management Plan</w:t>
            </w:r>
          </w:p>
        </w:tc>
        <w:tc>
          <w:tcPr>
            <w:tcW w:w="1430" w:type="dxa"/>
            <w:shd w:val="clear" w:color="auto" w:fill="auto"/>
            <w:noWrap/>
            <w:vAlign w:val="center"/>
            <w:hideMark/>
          </w:tcPr>
          <w:p w:rsidR="00F972C2" w:rsidRPr="003A5659" w:rsidRDefault="00F972C2" w:rsidP="0097615F">
            <w:pPr>
              <w:spacing w:after="0" w:line="240" w:lineRule="auto"/>
              <w:ind w:firstLine="0"/>
              <w:jc w:val="right"/>
              <w:rPr>
                <w:rFonts w:ascii="Cambria" w:eastAsia="Calibri" w:hAnsi="Cambria" w:cs="Times New Roman"/>
                <w:bCs/>
                <w:iCs/>
                <w:sz w:val="20"/>
                <w:szCs w:val="20"/>
                <w:lang w:val="ro-RO" w:eastAsia="en-US"/>
              </w:rPr>
            </w:pPr>
            <w:r w:rsidRPr="003A5659">
              <w:rPr>
                <w:rFonts w:ascii="Cambria" w:eastAsia="Calibri" w:hAnsi="Cambria" w:cs="Times New Roman"/>
                <w:bCs/>
                <w:iCs/>
                <w:sz w:val="20"/>
                <w:szCs w:val="20"/>
                <w:lang w:val="ro-RO" w:eastAsia="en-US"/>
              </w:rPr>
              <w:t>1.126.733</w:t>
            </w:r>
          </w:p>
        </w:tc>
        <w:tc>
          <w:tcPr>
            <w:tcW w:w="1460"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B77EFB">
              <w:rPr>
                <w:rFonts w:ascii="Cambria" w:eastAsia="Calibri" w:hAnsi="Cambria" w:cs="Arial"/>
                <w:sz w:val="20"/>
                <w:szCs w:val="20"/>
                <w:lang w:val="ro-RO" w:eastAsia="en-US"/>
              </w:rPr>
              <w:t>972.697</w:t>
            </w:r>
          </w:p>
        </w:tc>
        <w:tc>
          <w:tcPr>
            <w:tcW w:w="1381"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3234C5">
              <w:rPr>
                <w:rFonts w:ascii="Cambria" w:eastAsia="Calibri" w:hAnsi="Cambria" w:cs="Arial"/>
                <w:sz w:val="20"/>
                <w:szCs w:val="20"/>
                <w:lang w:val="ro-RO" w:eastAsia="en-US"/>
              </w:rPr>
              <w:t>116%</w:t>
            </w:r>
          </w:p>
        </w:tc>
      </w:tr>
      <w:tr w:rsidR="00F972C2" w:rsidRPr="00322BD0" w:rsidTr="00F972C2">
        <w:trPr>
          <w:trHeight w:val="675"/>
          <w:tblCellSpacing w:w="20" w:type="dxa"/>
          <w:jc w:val="center"/>
        </w:trPr>
        <w:tc>
          <w:tcPr>
            <w:tcW w:w="1347" w:type="dxa"/>
            <w:shd w:val="clear" w:color="auto" w:fill="auto"/>
            <w:vAlign w:val="center"/>
            <w:hideMark/>
          </w:tcPr>
          <w:p w:rsidR="00F972C2" w:rsidRPr="00322BD0" w:rsidRDefault="00F972C2" w:rsidP="009274C9">
            <w:pPr>
              <w:spacing w:after="0" w:line="240" w:lineRule="auto"/>
              <w:ind w:firstLine="0"/>
              <w:rPr>
                <w:rFonts w:ascii="Cambria" w:eastAsia="Calibri" w:hAnsi="Cambria" w:cs="Times New Roman"/>
                <w:sz w:val="18"/>
                <w:szCs w:val="18"/>
                <w:lang w:val="en-GB" w:eastAsia="en-US"/>
              </w:rPr>
            </w:pPr>
            <w:r w:rsidRPr="00322BD0">
              <w:rPr>
                <w:rFonts w:ascii="Cambria" w:eastAsia="Calibri" w:hAnsi="Cambria" w:cs="Times New Roman"/>
                <w:sz w:val="18"/>
                <w:szCs w:val="18"/>
                <w:lang w:val="en-GB" w:eastAsia="en-US"/>
              </w:rPr>
              <w:t>Investments</w:t>
            </w:r>
            <w:r>
              <w:rPr>
                <w:rFonts w:ascii="Cambria" w:eastAsia="Calibri" w:hAnsi="Cambria" w:cs="Times New Roman"/>
                <w:sz w:val="18"/>
                <w:szCs w:val="18"/>
                <w:lang w:val="en-GB" w:eastAsia="en-US"/>
              </w:rPr>
              <w:t xml:space="preserve"> – RON thousand</w:t>
            </w:r>
          </w:p>
        </w:tc>
        <w:tc>
          <w:tcPr>
            <w:tcW w:w="2937" w:type="dxa"/>
            <w:shd w:val="clear" w:color="auto" w:fill="auto"/>
            <w:vAlign w:val="center"/>
            <w:hideMark/>
          </w:tcPr>
          <w:p w:rsidR="00F972C2" w:rsidRPr="00322BD0" w:rsidRDefault="00F972C2" w:rsidP="009274C9">
            <w:pPr>
              <w:spacing w:after="0" w:line="240" w:lineRule="auto"/>
              <w:ind w:firstLine="0"/>
              <w:rPr>
                <w:rFonts w:ascii="Cambria" w:eastAsia="Calibri" w:hAnsi="Cambria" w:cs="Times New Roman"/>
                <w:sz w:val="18"/>
                <w:szCs w:val="18"/>
                <w:lang w:val="en-GB" w:eastAsia="en-US"/>
              </w:rPr>
            </w:pPr>
            <w:r w:rsidRPr="00322BD0">
              <w:rPr>
                <w:rFonts w:ascii="Cambria" w:hAnsi="Cambria" w:cs="Cambria"/>
                <w:sz w:val="18"/>
                <w:szCs w:val="18"/>
                <w:lang w:val="en-GB"/>
              </w:rPr>
              <w:t>Increasing the level of investments actually made in relation to the level undertaken in the Management Plan</w:t>
            </w:r>
          </w:p>
        </w:tc>
        <w:tc>
          <w:tcPr>
            <w:tcW w:w="1430" w:type="dxa"/>
            <w:shd w:val="clear" w:color="auto" w:fill="auto"/>
            <w:noWrap/>
            <w:vAlign w:val="center"/>
            <w:hideMark/>
          </w:tcPr>
          <w:p w:rsidR="00F972C2" w:rsidRPr="003A5659" w:rsidRDefault="00F972C2" w:rsidP="0097615F">
            <w:pPr>
              <w:spacing w:after="0" w:line="240" w:lineRule="auto"/>
              <w:ind w:firstLine="0"/>
              <w:jc w:val="right"/>
              <w:rPr>
                <w:rFonts w:ascii="Cambria" w:eastAsia="Calibri" w:hAnsi="Cambria" w:cs="Times New Roman"/>
                <w:bCs/>
                <w:iCs/>
                <w:sz w:val="20"/>
                <w:szCs w:val="20"/>
                <w:lang w:val="ro-RO" w:eastAsia="en-US"/>
              </w:rPr>
            </w:pPr>
            <w:r w:rsidRPr="003A5659">
              <w:rPr>
                <w:rFonts w:ascii="Cambria" w:eastAsia="Calibri" w:hAnsi="Cambria" w:cs="Times New Roman"/>
                <w:bCs/>
                <w:iCs/>
                <w:sz w:val="20"/>
                <w:szCs w:val="20"/>
                <w:lang w:val="ro-RO" w:eastAsia="en-US"/>
              </w:rPr>
              <w:t>369.200</w:t>
            </w:r>
          </w:p>
        </w:tc>
        <w:tc>
          <w:tcPr>
            <w:tcW w:w="1460"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B77EFB">
              <w:rPr>
                <w:rFonts w:ascii="Cambria" w:eastAsia="Calibri" w:hAnsi="Cambria" w:cs="Arial"/>
                <w:sz w:val="20"/>
                <w:szCs w:val="20"/>
                <w:lang w:val="ro-RO" w:eastAsia="en-US"/>
              </w:rPr>
              <w:t>140.179</w:t>
            </w:r>
          </w:p>
        </w:tc>
        <w:tc>
          <w:tcPr>
            <w:tcW w:w="1381" w:type="dxa"/>
            <w:shd w:val="clear" w:color="auto" w:fill="auto"/>
            <w:noWrap/>
            <w:vAlign w:val="center"/>
            <w:hideMark/>
          </w:tcPr>
          <w:p w:rsidR="00F972C2" w:rsidRPr="00B77EFB" w:rsidRDefault="00F972C2" w:rsidP="008C7102">
            <w:pPr>
              <w:spacing w:after="0" w:line="259" w:lineRule="auto"/>
              <w:ind w:firstLine="0"/>
              <w:jc w:val="right"/>
              <w:rPr>
                <w:rFonts w:ascii="Cambria" w:eastAsia="Calibri" w:hAnsi="Cambria" w:cs="Arial"/>
                <w:sz w:val="20"/>
                <w:szCs w:val="20"/>
                <w:lang w:val="ro-RO" w:eastAsia="en-US"/>
              </w:rPr>
            </w:pPr>
            <w:r w:rsidRPr="00B77EFB">
              <w:rPr>
                <w:rFonts w:ascii="Cambria" w:eastAsia="Calibri" w:hAnsi="Cambria" w:cs="Arial"/>
                <w:sz w:val="20"/>
                <w:szCs w:val="20"/>
                <w:lang w:val="ro-RO" w:eastAsia="en-US"/>
              </w:rPr>
              <w:t>38%</w:t>
            </w:r>
          </w:p>
        </w:tc>
      </w:tr>
    </w:tbl>
    <w:p w:rsidR="007C3ABF" w:rsidRPr="00322BD0" w:rsidRDefault="007C3ABF" w:rsidP="00743544">
      <w:pPr>
        <w:spacing w:after="0" w:line="240" w:lineRule="auto"/>
        <w:ind w:firstLine="0"/>
        <w:jc w:val="center"/>
        <w:rPr>
          <w:rFonts w:ascii="Cambria" w:eastAsia="Times New Roman" w:hAnsi="Cambria" w:cs="Times New Roman"/>
          <w:b/>
          <w:i/>
          <w:sz w:val="16"/>
          <w:szCs w:val="16"/>
          <w:lang w:val="en-GB" w:eastAsia="ro-RO"/>
        </w:rPr>
      </w:pPr>
    </w:p>
    <w:p w:rsidR="00743544" w:rsidRPr="00322BD0" w:rsidRDefault="006866DE" w:rsidP="00743544">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20</w:t>
      </w:r>
      <w:r w:rsidR="00B3761F" w:rsidRPr="00322BD0">
        <w:rPr>
          <w:rFonts w:ascii="Cambria" w:eastAsia="Times New Roman" w:hAnsi="Cambria" w:cs="Times New Roman"/>
          <w:b/>
          <w:i/>
          <w:sz w:val="16"/>
          <w:szCs w:val="16"/>
          <w:lang w:val="en-GB" w:eastAsia="ro-RO"/>
        </w:rPr>
        <w:t xml:space="preserve">– </w:t>
      </w:r>
      <w:r w:rsidR="00B3761F" w:rsidRPr="00322BD0">
        <w:rPr>
          <w:rFonts w:ascii="Cambria" w:eastAsia="Times New Roman" w:hAnsi="Cambria" w:cs="Cambria"/>
          <w:b/>
          <w:bCs/>
          <w:i/>
          <w:iCs/>
          <w:sz w:val="16"/>
          <w:szCs w:val="16"/>
          <w:lang w:val="en-GB"/>
        </w:rPr>
        <w:t>Degree of fulfilment of performance indicators for determining the variable</w:t>
      </w:r>
      <w:r w:rsidR="00B3761F" w:rsidRPr="00322BD0">
        <w:rPr>
          <w:rFonts w:ascii="Cambria" w:eastAsia="Times New Roman" w:hAnsi="Cambria" w:cs="Cambria"/>
          <w:b/>
          <w:bCs/>
          <w:i/>
          <w:iCs/>
          <w:lang w:val="en-GB"/>
        </w:rPr>
        <w:t xml:space="preserve"> </w:t>
      </w:r>
      <w:r w:rsidR="00B3761F" w:rsidRPr="00322BD0">
        <w:rPr>
          <w:rFonts w:ascii="Cambria" w:eastAsia="Times New Roman" w:hAnsi="Cambria" w:cs="Cambria"/>
          <w:b/>
          <w:bCs/>
          <w:i/>
          <w:iCs/>
          <w:sz w:val="16"/>
          <w:szCs w:val="16"/>
          <w:lang w:val="en-GB"/>
        </w:rPr>
        <w:t>component of the</w:t>
      </w:r>
      <w:r w:rsidR="00B3761F" w:rsidRPr="00322BD0">
        <w:rPr>
          <w:rFonts w:ascii="Cambria" w:eastAsia="Times New Roman" w:hAnsi="Cambria" w:cs="Cambria"/>
          <w:b/>
          <w:bCs/>
          <w:i/>
          <w:iCs/>
          <w:lang w:val="en-GB"/>
        </w:rPr>
        <w:t xml:space="preserve"> </w:t>
      </w:r>
      <w:r w:rsidR="00B3761F" w:rsidRPr="00322BD0">
        <w:rPr>
          <w:rFonts w:ascii="Cambria" w:eastAsia="Times New Roman" w:hAnsi="Cambria" w:cs="Cambria"/>
          <w:b/>
          <w:bCs/>
          <w:i/>
          <w:iCs/>
          <w:sz w:val="16"/>
          <w:szCs w:val="16"/>
          <w:lang w:val="en-GB"/>
        </w:rPr>
        <w:t>remuneration in</w:t>
      </w:r>
      <w:r w:rsidR="00B3761F" w:rsidRPr="00322BD0">
        <w:rPr>
          <w:rFonts w:ascii="Cambria" w:eastAsia="Times New Roman" w:hAnsi="Cambria" w:cs="Times New Roman"/>
          <w:b/>
          <w:i/>
          <w:sz w:val="16"/>
          <w:szCs w:val="16"/>
          <w:lang w:val="en-GB" w:eastAsia="ro-RO"/>
        </w:rPr>
        <w:t xml:space="preserve"> </w:t>
      </w:r>
      <w:r w:rsidR="00C96B96" w:rsidRPr="00322BD0">
        <w:rPr>
          <w:rFonts w:ascii="Cambria" w:eastAsia="Times New Roman" w:hAnsi="Cambria" w:cs="Times New Roman"/>
          <w:b/>
          <w:i/>
          <w:sz w:val="16"/>
          <w:szCs w:val="16"/>
          <w:lang w:val="en-GB" w:eastAsia="ro-RO"/>
        </w:rPr>
        <w:t>201</w:t>
      </w:r>
      <w:r>
        <w:rPr>
          <w:rFonts w:ascii="Cambria" w:eastAsia="Times New Roman" w:hAnsi="Cambria" w:cs="Times New Roman"/>
          <w:b/>
          <w:i/>
          <w:sz w:val="16"/>
          <w:szCs w:val="16"/>
          <w:lang w:val="en-GB" w:eastAsia="ro-RO"/>
        </w:rPr>
        <w:t>6</w:t>
      </w:r>
    </w:p>
    <w:p w:rsidR="00025F6D" w:rsidRPr="00322BD0" w:rsidRDefault="00025F6D" w:rsidP="00743544">
      <w:pPr>
        <w:spacing w:after="0" w:line="240" w:lineRule="auto"/>
        <w:ind w:firstLine="0"/>
        <w:jc w:val="center"/>
        <w:rPr>
          <w:rFonts w:ascii="Cambria" w:eastAsia="Times New Roman" w:hAnsi="Cambria" w:cs="Times New Roman"/>
          <w:b/>
          <w:i/>
          <w:sz w:val="16"/>
          <w:szCs w:val="16"/>
          <w:lang w:val="en-GB" w:eastAsia="ro-RO"/>
        </w:rPr>
      </w:pPr>
    </w:p>
    <w:p w:rsidR="00025F6D" w:rsidRPr="00322BD0" w:rsidRDefault="00F972C2" w:rsidP="00743544">
      <w:pPr>
        <w:spacing w:after="0" w:line="240" w:lineRule="auto"/>
        <w:ind w:firstLine="0"/>
        <w:jc w:val="center"/>
        <w:rPr>
          <w:rFonts w:ascii="Cambria" w:eastAsia="Times New Roman" w:hAnsi="Cambria" w:cs="Times New Roman"/>
          <w:b/>
          <w:i/>
          <w:sz w:val="16"/>
          <w:szCs w:val="16"/>
          <w:lang w:val="en-GB" w:eastAsia="ro-RO"/>
        </w:rPr>
      </w:pPr>
      <w:r w:rsidRPr="00DA6C2A">
        <w:rPr>
          <w:rFonts w:ascii="Cambria" w:eastAsia="Times New Roman" w:hAnsi="Cambria" w:cs="Times New Roman"/>
          <w:b/>
          <w:i/>
          <w:noProof/>
          <w:sz w:val="16"/>
          <w:szCs w:val="16"/>
          <w:lang w:val="ro-RO" w:eastAsia="ro-RO"/>
        </w:rPr>
        <w:drawing>
          <wp:inline distT="0" distB="0" distL="0" distR="0" wp14:anchorId="7FBB77A2" wp14:editId="55E9782A">
            <wp:extent cx="5732145" cy="1975485"/>
            <wp:effectExtent l="0" t="0" r="0"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F4FF9" w:rsidRPr="00322BD0" w:rsidRDefault="001F4FF9" w:rsidP="001F4FF9">
      <w:pPr>
        <w:pStyle w:val="ListParagraph"/>
        <w:spacing w:after="0" w:line="240" w:lineRule="auto"/>
        <w:ind w:left="360" w:firstLine="0"/>
        <w:jc w:val="both"/>
        <w:rPr>
          <w:rFonts w:ascii="Cambria" w:eastAsia="Times New Roman" w:hAnsi="Cambria" w:cs="Times New Roman"/>
          <w:b/>
          <w:sz w:val="24"/>
          <w:szCs w:val="24"/>
          <w:lang w:val="en-GB" w:eastAsia="ro-RO"/>
        </w:rPr>
      </w:pPr>
    </w:p>
    <w:p w:rsidR="00145B0A" w:rsidRPr="00322BD0" w:rsidRDefault="000665AD" w:rsidP="00FD66D3">
      <w:pPr>
        <w:pStyle w:val="ListParagraph"/>
        <w:spacing w:after="0" w:line="240" w:lineRule="auto"/>
        <w:ind w:left="360"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Chart 27</w:t>
      </w:r>
      <w:r w:rsidR="00B3761F" w:rsidRPr="00322BD0">
        <w:rPr>
          <w:rFonts w:ascii="Cambria" w:eastAsia="Times New Roman" w:hAnsi="Cambria" w:cs="Times New Roman"/>
          <w:b/>
          <w:i/>
          <w:sz w:val="16"/>
          <w:szCs w:val="16"/>
          <w:lang w:val="en-GB" w:eastAsia="ro-RO"/>
        </w:rPr>
        <w:t xml:space="preserve"> – </w:t>
      </w:r>
      <w:r w:rsidR="00B3761F" w:rsidRPr="00322BD0">
        <w:rPr>
          <w:rFonts w:ascii="Cambria" w:eastAsia="Times New Roman" w:hAnsi="Cambria" w:cs="Cambria"/>
          <w:b/>
          <w:bCs/>
          <w:i/>
          <w:iCs/>
          <w:sz w:val="16"/>
          <w:szCs w:val="16"/>
          <w:lang w:val="en-GB"/>
        </w:rPr>
        <w:t>Level of fulfilment of performance indicators for determining the variable</w:t>
      </w:r>
      <w:r w:rsidR="00E664AC" w:rsidRPr="00322BD0">
        <w:rPr>
          <w:rFonts w:ascii="Cambria" w:eastAsia="Times New Roman" w:hAnsi="Cambria" w:cs="Cambria"/>
          <w:b/>
          <w:bCs/>
          <w:i/>
          <w:iCs/>
          <w:sz w:val="16"/>
          <w:szCs w:val="16"/>
          <w:lang w:val="en-GB"/>
        </w:rPr>
        <w:t xml:space="preserve"> component of the </w:t>
      </w:r>
      <w:r>
        <w:rPr>
          <w:rFonts w:ascii="Cambria" w:eastAsia="Times New Roman" w:hAnsi="Cambria" w:cs="Cambria"/>
          <w:b/>
          <w:bCs/>
          <w:i/>
          <w:iCs/>
          <w:sz w:val="16"/>
          <w:szCs w:val="16"/>
          <w:lang w:val="en-GB"/>
        </w:rPr>
        <w:t>remuneration at 31 December 2016</w:t>
      </w:r>
    </w:p>
    <w:p w:rsidR="001D496B" w:rsidRPr="00322BD0" w:rsidRDefault="00C82754" w:rsidP="005A5AE4">
      <w:pPr>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Times New Roman"/>
          <w:b/>
          <w:sz w:val="24"/>
          <w:szCs w:val="24"/>
          <w:lang w:val="en-GB" w:eastAsia="ro-RO"/>
        </w:rPr>
        <w:t xml:space="preserve"> </w:t>
      </w:r>
    </w:p>
    <w:p w:rsidR="00C96B96" w:rsidRPr="00322BD0" w:rsidRDefault="00C96B96" w:rsidP="005A5AE4">
      <w:pPr>
        <w:spacing w:after="0" w:line="240" w:lineRule="auto"/>
        <w:ind w:firstLine="0"/>
        <w:jc w:val="both"/>
        <w:rPr>
          <w:rFonts w:ascii="Cambria" w:eastAsia="Times New Roman" w:hAnsi="Cambria" w:cs="Times New Roman"/>
          <w:b/>
          <w:sz w:val="24"/>
          <w:szCs w:val="24"/>
          <w:lang w:val="en-GB" w:eastAsia="ro-RO"/>
        </w:rPr>
      </w:pPr>
    </w:p>
    <w:p w:rsidR="00596C82" w:rsidRPr="00322BD0" w:rsidRDefault="00596C82" w:rsidP="00B3276C">
      <w:pPr>
        <w:spacing w:after="0" w:line="240" w:lineRule="auto"/>
        <w:ind w:firstLine="0"/>
        <w:jc w:val="both"/>
        <w:rPr>
          <w:rFonts w:ascii="Cambria" w:eastAsia="Times New Roman" w:hAnsi="Cambria" w:cs="Times New Roman"/>
          <w:b/>
          <w:sz w:val="24"/>
          <w:szCs w:val="24"/>
          <w:lang w:val="en-GB" w:eastAsia="ro-RO"/>
        </w:rPr>
      </w:pPr>
    </w:p>
    <w:p w:rsidR="0027360D" w:rsidRPr="00322BD0" w:rsidRDefault="00EA2E45" w:rsidP="00B3276C">
      <w:pPr>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Times New Roman"/>
          <w:b/>
          <w:sz w:val="24"/>
          <w:szCs w:val="24"/>
          <w:lang w:val="en-GB" w:eastAsia="ro-RO"/>
        </w:rPr>
        <w:t xml:space="preserve">Gas transmission service performance indicators </w:t>
      </w:r>
    </w:p>
    <w:p w:rsidR="009A2F5D" w:rsidRPr="00322BD0" w:rsidRDefault="009A2F5D" w:rsidP="009A2F5D">
      <w:pPr>
        <w:spacing w:after="0" w:line="240" w:lineRule="auto"/>
        <w:ind w:firstLine="0"/>
        <w:jc w:val="both"/>
        <w:rPr>
          <w:rFonts w:ascii="Cambria" w:hAnsi="Cambria"/>
          <w:b/>
          <w:sz w:val="24"/>
          <w:szCs w:val="24"/>
          <w:lang w:val="en-GB"/>
        </w:rPr>
      </w:pPr>
    </w:p>
    <w:p w:rsidR="0027360D" w:rsidRPr="00322BD0" w:rsidRDefault="00CF37E8" w:rsidP="009A2F5D">
      <w:pPr>
        <w:spacing w:after="0" w:line="240" w:lineRule="auto"/>
        <w:ind w:firstLine="0"/>
        <w:jc w:val="both"/>
        <w:rPr>
          <w:rFonts w:ascii="Cambria" w:eastAsia="Calibri" w:hAnsi="Cambria" w:cs="Times New Roman"/>
          <w:sz w:val="24"/>
          <w:szCs w:val="24"/>
          <w:lang w:val="en-GB" w:eastAsia="en-US"/>
        </w:rPr>
      </w:pPr>
      <w:r w:rsidRPr="00322BD0">
        <w:rPr>
          <w:rFonts w:ascii="Cambria" w:hAnsi="Cambria"/>
          <w:b/>
          <w:sz w:val="24"/>
          <w:szCs w:val="24"/>
          <w:lang w:val="en-GB"/>
        </w:rPr>
        <w:t xml:space="preserve">The performance standard for the </w:t>
      </w:r>
      <w:r w:rsidRPr="00322BD0">
        <w:rPr>
          <w:rFonts w:ascii="Cambria" w:eastAsia="Times New Roman" w:hAnsi="Cambria" w:cs="Times New Roman"/>
          <w:b/>
          <w:sz w:val="24"/>
          <w:szCs w:val="24"/>
          <w:lang w:val="en-GB" w:eastAsia="ro-RO"/>
        </w:rPr>
        <w:t xml:space="preserve">gas transmission service, </w:t>
      </w:r>
      <w:r w:rsidRPr="00322BD0">
        <w:rPr>
          <w:rFonts w:ascii="Cambria" w:eastAsia="Times New Roman" w:hAnsi="Cambria" w:cs="Times New Roman"/>
          <w:sz w:val="24"/>
          <w:szCs w:val="24"/>
          <w:lang w:val="en-GB" w:eastAsia="ro-RO"/>
        </w:rPr>
        <w:t xml:space="preserve">approved by the Decision of the president of the National Energy Regulatory Authority in the field of natural gas </w:t>
      </w:r>
      <w:r w:rsidRPr="00322BD0">
        <w:rPr>
          <w:rFonts w:ascii="Cambria" w:hAnsi="Cambria"/>
          <w:sz w:val="24"/>
          <w:szCs w:val="24"/>
          <w:lang w:val="en-GB"/>
        </w:rPr>
        <w:t xml:space="preserve">no. 1.361/13.12.2006 and published in the </w:t>
      </w:r>
      <w:r w:rsidR="00CE05FA" w:rsidRPr="00322BD0">
        <w:rPr>
          <w:rFonts w:ascii="Cambria" w:hAnsi="Cambria"/>
          <w:sz w:val="24"/>
          <w:szCs w:val="24"/>
          <w:lang w:val="en-GB"/>
        </w:rPr>
        <w:t>Official Journal</w:t>
      </w:r>
      <w:r w:rsidRPr="00322BD0">
        <w:rPr>
          <w:rFonts w:ascii="Cambria" w:hAnsi="Cambria"/>
          <w:sz w:val="24"/>
          <w:szCs w:val="24"/>
          <w:lang w:val="en-GB"/>
        </w:rPr>
        <w:t xml:space="preserve">27 bis in 16 </w:t>
      </w:r>
      <w:r w:rsidR="005C3506" w:rsidRPr="00322BD0">
        <w:rPr>
          <w:rFonts w:ascii="Cambria" w:hAnsi="Cambria"/>
          <w:sz w:val="24"/>
          <w:szCs w:val="24"/>
          <w:lang w:val="en-GB"/>
        </w:rPr>
        <w:t xml:space="preserve">January </w:t>
      </w:r>
      <w:r w:rsidRPr="00322BD0">
        <w:rPr>
          <w:rFonts w:ascii="Cambria" w:hAnsi="Cambria"/>
          <w:sz w:val="24"/>
          <w:szCs w:val="24"/>
          <w:lang w:val="en-GB"/>
        </w:rPr>
        <w:t>2007</w:t>
      </w:r>
      <w:r w:rsidR="005C3506" w:rsidRPr="00322BD0">
        <w:rPr>
          <w:rFonts w:ascii="Cambria" w:hAnsi="Cambria"/>
          <w:sz w:val="24"/>
          <w:szCs w:val="24"/>
          <w:lang w:val="en-GB"/>
        </w:rPr>
        <w:t xml:space="preserve">, as amended and completed by the Order of the </w:t>
      </w:r>
      <w:r w:rsidR="00D33F06" w:rsidRPr="00322BD0">
        <w:rPr>
          <w:rFonts w:ascii="Cambria" w:hAnsi="Cambria"/>
          <w:sz w:val="24"/>
          <w:szCs w:val="24"/>
          <w:lang w:val="en-GB"/>
        </w:rPr>
        <w:t>ANRE</w:t>
      </w:r>
      <w:r w:rsidR="005C3506" w:rsidRPr="00322BD0">
        <w:rPr>
          <w:rFonts w:ascii="Cambria" w:hAnsi="Cambria"/>
          <w:sz w:val="24"/>
          <w:szCs w:val="24"/>
          <w:lang w:val="en-GB"/>
        </w:rPr>
        <w:t xml:space="preserve"> President no. 45/24.04.2008, regulates the commercial quality criteria, defined by the performance indicators in order to ensure the natural gas </w:t>
      </w:r>
      <w:r w:rsidR="009E518F" w:rsidRPr="00322BD0">
        <w:rPr>
          <w:rFonts w:ascii="Cambria" w:hAnsi="Cambria"/>
          <w:sz w:val="24"/>
          <w:szCs w:val="24"/>
          <w:lang w:val="en-GB"/>
        </w:rPr>
        <w:t>transmission</w:t>
      </w:r>
      <w:r w:rsidR="005C3506" w:rsidRPr="00322BD0">
        <w:rPr>
          <w:rFonts w:ascii="Cambria" w:hAnsi="Cambria"/>
          <w:sz w:val="24"/>
          <w:szCs w:val="24"/>
          <w:lang w:val="en-GB"/>
        </w:rPr>
        <w:t xml:space="preserve"> services and the ancillary services performed by the transmission system operator  </w:t>
      </w:r>
      <w:r w:rsidR="005C3506" w:rsidRPr="00322BD0">
        <w:rPr>
          <w:rFonts w:ascii="Cambria" w:eastAsia="Calibri" w:hAnsi="Cambria" w:cs="Times New Roman"/>
          <w:sz w:val="24"/>
          <w:szCs w:val="24"/>
          <w:lang w:val="en-GB" w:eastAsia="en-US"/>
        </w:rPr>
        <w:t>(TSO).</w:t>
      </w:r>
    </w:p>
    <w:p w:rsidR="00F0257D" w:rsidRDefault="00F0257D" w:rsidP="000665AD">
      <w:pPr>
        <w:spacing w:after="0" w:line="240" w:lineRule="auto"/>
        <w:ind w:firstLine="0"/>
        <w:jc w:val="both"/>
        <w:rPr>
          <w:rFonts w:ascii="Cambria" w:eastAsia="Calibri" w:hAnsi="Cambria" w:cs="Times New Roman"/>
          <w:sz w:val="24"/>
          <w:szCs w:val="24"/>
          <w:lang w:val="en-GB" w:eastAsia="en-US"/>
        </w:rPr>
      </w:pPr>
    </w:p>
    <w:p w:rsidR="00F0257D" w:rsidRPr="003D40D9" w:rsidRDefault="00F0257D" w:rsidP="000665AD">
      <w:pPr>
        <w:spacing w:after="0" w:line="240" w:lineRule="auto"/>
        <w:ind w:firstLine="0"/>
        <w:jc w:val="both"/>
        <w:rPr>
          <w:rFonts w:asciiTheme="majorHAnsi" w:eastAsia="Times New Roman" w:hAnsiTheme="majorHAnsi" w:cs="Times New Roman"/>
          <w:sz w:val="24"/>
          <w:szCs w:val="24"/>
          <w:lang w:val="ro-RO" w:eastAsia="en-US"/>
        </w:rPr>
      </w:pPr>
      <w:r>
        <w:rPr>
          <w:rFonts w:asciiTheme="majorHAnsi" w:eastAsia="Times New Roman" w:hAnsiTheme="majorHAnsi" w:cs="Times New Roman"/>
          <w:sz w:val="24"/>
          <w:szCs w:val="24"/>
          <w:lang w:val="ro-RO" w:eastAsia="en-US"/>
        </w:rPr>
        <w:t xml:space="preserve">By ANRE Order 161/26.11.2015 The </w:t>
      </w:r>
      <w:r>
        <w:rPr>
          <w:rFonts w:asciiTheme="majorHAnsi" w:eastAsia="Times New Roman" w:hAnsiTheme="majorHAnsi" w:cs="Times New Roman"/>
          <w:b/>
          <w:sz w:val="24"/>
          <w:szCs w:val="24"/>
          <w:lang w:val="ro-RO" w:eastAsia="en-US"/>
        </w:rPr>
        <w:t xml:space="preserve">Performance standard for the gas transmission service </w:t>
      </w:r>
      <w:r w:rsidR="003D40D9">
        <w:rPr>
          <w:rFonts w:asciiTheme="majorHAnsi" w:eastAsia="Times New Roman" w:hAnsiTheme="majorHAnsi" w:cs="Times New Roman"/>
          <w:sz w:val="24"/>
          <w:szCs w:val="24"/>
          <w:lang w:val="ro-RO" w:eastAsia="en-US"/>
        </w:rPr>
        <w:t>was amended. The new standard setting the obligations of the gas transmission system operator in his relationship with the users of the NTS, with the entities requesting access to the NTS and with ANRE</w:t>
      </w:r>
      <w:r w:rsidR="00D55296">
        <w:rPr>
          <w:rFonts w:asciiTheme="majorHAnsi" w:eastAsia="Times New Roman" w:hAnsiTheme="majorHAnsi" w:cs="Times New Roman"/>
          <w:sz w:val="24"/>
          <w:szCs w:val="24"/>
          <w:lang w:val="ro-RO" w:eastAsia="en-US"/>
        </w:rPr>
        <w:t xml:space="preserve">, entered into force on </w:t>
      </w:r>
      <w:r w:rsidR="00D55296" w:rsidRPr="00D55296">
        <w:rPr>
          <w:rFonts w:asciiTheme="majorHAnsi" w:eastAsia="Times New Roman" w:hAnsiTheme="majorHAnsi" w:cs="Times New Roman"/>
          <w:b/>
          <w:sz w:val="24"/>
          <w:szCs w:val="24"/>
          <w:lang w:val="ro-RO" w:eastAsia="en-US"/>
        </w:rPr>
        <w:t>1 October 2016</w:t>
      </w:r>
      <w:r w:rsidR="00D55296">
        <w:rPr>
          <w:rFonts w:asciiTheme="majorHAnsi" w:eastAsia="Times New Roman" w:hAnsiTheme="majorHAnsi" w:cs="Times New Roman"/>
          <w:sz w:val="24"/>
          <w:szCs w:val="24"/>
          <w:lang w:val="ro-RO" w:eastAsia="en-US"/>
        </w:rPr>
        <w:t xml:space="preserve">. </w:t>
      </w:r>
    </w:p>
    <w:p w:rsidR="000665AD" w:rsidRPr="00945A8E" w:rsidRDefault="00D55296" w:rsidP="000665AD">
      <w:pPr>
        <w:spacing w:after="0" w:line="240" w:lineRule="auto"/>
        <w:ind w:firstLine="0"/>
        <w:jc w:val="both"/>
        <w:rPr>
          <w:rFonts w:asciiTheme="majorHAnsi" w:eastAsia="Times New Roman" w:hAnsiTheme="majorHAnsi" w:cs="Times New Roman"/>
          <w:sz w:val="24"/>
          <w:szCs w:val="24"/>
          <w:lang w:val="ro-RO" w:eastAsia="en-US"/>
        </w:rPr>
      </w:pPr>
      <w:r>
        <w:rPr>
          <w:rFonts w:asciiTheme="majorHAnsi" w:eastAsia="Times New Roman" w:hAnsiTheme="majorHAnsi" w:cs="Times New Roman"/>
          <w:sz w:val="24"/>
          <w:szCs w:val="24"/>
          <w:lang w:val="ro-RO" w:eastAsia="en-US"/>
        </w:rPr>
        <w:t xml:space="preserve">According to this standard a report on the 9 months period was requested and until 1 November 2017 the report related to the period 1 October 2016 – 30 September 2017 should be submitted. </w:t>
      </w:r>
    </w:p>
    <w:p w:rsidR="00A46001" w:rsidRPr="00322BD0" w:rsidRDefault="00A46001" w:rsidP="009A2F5D">
      <w:pPr>
        <w:spacing w:after="0" w:line="240" w:lineRule="auto"/>
        <w:ind w:firstLine="0"/>
        <w:jc w:val="both"/>
        <w:rPr>
          <w:rFonts w:ascii="Cambria" w:eastAsia="Times New Roman" w:hAnsi="Cambria" w:cs="Times New Roman"/>
          <w:sz w:val="24"/>
          <w:szCs w:val="24"/>
          <w:lang w:val="en-GB" w:eastAsia="ro-RO"/>
        </w:rPr>
      </w:pPr>
    </w:p>
    <w:p w:rsidR="009A2F5D" w:rsidRPr="00322BD0" w:rsidRDefault="009A2F5D" w:rsidP="009A2F5D">
      <w:pPr>
        <w:spacing w:after="0" w:line="240" w:lineRule="auto"/>
        <w:ind w:firstLine="0"/>
        <w:jc w:val="both"/>
        <w:rPr>
          <w:rFonts w:ascii="Cambria" w:eastAsia="Times New Roman" w:hAnsi="Cambria" w:cs="Times New Roman"/>
          <w:b/>
          <w:sz w:val="24"/>
          <w:szCs w:val="24"/>
          <w:lang w:val="en-GB" w:eastAsia="ro-RO"/>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859"/>
        <w:gridCol w:w="1581"/>
        <w:gridCol w:w="1581"/>
      </w:tblGrid>
      <w:tr w:rsidR="009A2F5D" w:rsidRPr="00322BD0" w:rsidTr="0061016D">
        <w:trPr>
          <w:tblCellSpacing w:w="20" w:type="dxa"/>
          <w:jc w:val="center"/>
        </w:trPr>
        <w:tc>
          <w:tcPr>
            <w:tcW w:w="6152" w:type="dxa"/>
            <w:shd w:val="clear" w:color="auto" w:fill="DBE5F1" w:themeFill="accent1" w:themeFillTint="33"/>
            <w:vAlign w:val="center"/>
          </w:tcPr>
          <w:p w:rsidR="009A2F5D" w:rsidRPr="00322BD0" w:rsidRDefault="005C3506" w:rsidP="009A2F5D">
            <w:pPr>
              <w:spacing w:after="0" w:line="240" w:lineRule="auto"/>
              <w:ind w:firstLine="0"/>
              <w:jc w:val="center"/>
              <w:rPr>
                <w:rFonts w:ascii="Cambria" w:eastAsia="Times New Roman" w:hAnsi="Cambria" w:cs="Times New Roman"/>
                <w:b/>
                <w:sz w:val="20"/>
                <w:szCs w:val="20"/>
                <w:lang w:val="en-GB" w:eastAsia="en-US"/>
              </w:rPr>
            </w:pPr>
            <w:r w:rsidRPr="00322BD0">
              <w:rPr>
                <w:rFonts w:ascii="Cambria" w:eastAsia="Times New Roman" w:hAnsi="Cambria" w:cs="Times New Roman"/>
                <w:b/>
                <w:sz w:val="20"/>
                <w:szCs w:val="20"/>
                <w:lang w:val="en-GB" w:eastAsia="en-US"/>
              </w:rPr>
              <w:t xml:space="preserve">Performance indicator </w:t>
            </w:r>
            <w:r w:rsidR="009A2F5D" w:rsidRPr="00322BD0">
              <w:rPr>
                <w:rFonts w:ascii="Cambria" w:eastAsia="Times New Roman" w:hAnsi="Cambria" w:cs="Times New Roman"/>
                <w:b/>
                <w:sz w:val="20"/>
                <w:szCs w:val="20"/>
                <w:lang w:val="en-GB" w:eastAsia="en-US"/>
              </w:rPr>
              <w:t xml:space="preserve"> (</w:t>
            </w:r>
            <w:r w:rsidR="0063197C" w:rsidRPr="00322BD0">
              <w:rPr>
                <w:rFonts w:ascii="Cambria" w:eastAsia="Times New Roman" w:hAnsi="Cambria" w:cs="Times New Roman"/>
                <w:b/>
                <w:sz w:val="20"/>
                <w:szCs w:val="20"/>
                <w:lang w:val="en-GB" w:eastAsia="en-US"/>
              </w:rPr>
              <w:t>no.</w:t>
            </w:r>
            <w:r w:rsidRPr="00322BD0">
              <w:rPr>
                <w:rFonts w:ascii="Cambria" w:eastAsia="Times New Roman" w:hAnsi="Cambria" w:cs="Times New Roman"/>
                <w:b/>
                <w:sz w:val="20"/>
                <w:szCs w:val="20"/>
                <w:lang w:val="en-GB" w:eastAsia="en-US"/>
              </w:rPr>
              <w:t xml:space="preserve"> article</w:t>
            </w:r>
            <w:r w:rsidR="009A2F5D" w:rsidRPr="00322BD0">
              <w:rPr>
                <w:rFonts w:ascii="Cambria" w:eastAsia="Times New Roman" w:hAnsi="Cambria" w:cs="Times New Roman"/>
                <w:b/>
                <w:sz w:val="20"/>
                <w:szCs w:val="20"/>
                <w:lang w:val="en-GB" w:eastAsia="en-US"/>
              </w:rPr>
              <w:t>)</w:t>
            </w:r>
          </w:p>
        </w:tc>
        <w:tc>
          <w:tcPr>
            <w:tcW w:w="1580" w:type="dxa"/>
            <w:shd w:val="clear" w:color="auto" w:fill="DBE5F1" w:themeFill="accent1" w:themeFillTint="33"/>
            <w:vAlign w:val="center"/>
          </w:tcPr>
          <w:p w:rsidR="009A2F5D" w:rsidRPr="00322BD0" w:rsidRDefault="005C3506" w:rsidP="009A2F5D">
            <w:pPr>
              <w:spacing w:after="0" w:line="240" w:lineRule="auto"/>
              <w:ind w:firstLine="0"/>
              <w:jc w:val="center"/>
              <w:rPr>
                <w:rFonts w:ascii="Cambria" w:eastAsia="Times New Roman" w:hAnsi="Cambria" w:cs="Times New Roman"/>
                <w:b/>
                <w:sz w:val="20"/>
                <w:szCs w:val="20"/>
                <w:lang w:val="en-GB" w:eastAsia="en-US"/>
              </w:rPr>
            </w:pPr>
            <w:r w:rsidRPr="00322BD0">
              <w:rPr>
                <w:rFonts w:ascii="Cambria" w:eastAsia="Times New Roman" w:hAnsi="Cambria" w:cs="Times New Roman"/>
                <w:b/>
                <w:sz w:val="20"/>
                <w:szCs w:val="20"/>
                <w:lang w:val="en-GB" w:eastAsia="en-US"/>
              </w:rPr>
              <w:t>Obj</w:t>
            </w:r>
            <w:r w:rsidR="009A2F5D" w:rsidRPr="00322BD0">
              <w:rPr>
                <w:rFonts w:ascii="Cambria" w:eastAsia="Times New Roman" w:hAnsi="Cambria" w:cs="Times New Roman"/>
                <w:b/>
                <w:sz w:val="20"/>
                <w:szCs w:val="20"/>
                <w:lang w:val="en-GB" w:eastAsia="en-US"/>
              </w:rPr>
              <w:t>ectiv</w:t>
            </w:r>
            <w:r w:rsidRPr="00322BD0">
              <w:rPr>
                <w:rFonts w:ascii="Cambria" w:eastAsia="Times New Roman" w:hAnsi="Cambria" w:cs="Times New Roman"/>
                <w:b/>
                <w:sz w:val="20"/>
                <w:szCs w:val="20"/>
                <w:lang w:val="en-GB" w:eastAsia="en-US"/>
              </w:rPr>
              <w:t>e</w:t>
            </w:r>
          </w:p>
        </w:tc>
        <w:tc>
          <w:tcPr>
            <w:tcW w:w="1472" w:type="dxa"/>
            <w:shd w:val="clear" w:color="auto" w:fill="DBE5F1" w:themeFill="accent1" w:themeFillTint="33"/>
            <w:vAlign w:val="center"/>
          </w:tcPr>
          <w:p w:rsidR="009A2F5D" w:rsidRPr="00322BD0" w:rsidRDefault="005C3506" w:rsidP="009A2F5D">
            <w:pPr>
              <w:spacing w:after="0" w:line="240" w:lineRule="auto"/>
              <w:ind w:firstLine="0"/>
              <w:jc w:val="center"/>
              <w:rPr>
                <w:rFonts w:ascii="Cambria" w:eastAsia="Times New Roman" w:hAnsi="Cambria" w:cs="Times New Roman"/>
                <w:b/>
                <w:sz w:val="20"/>
                <w:szCs w:val="20"/>
                <w:lang w:val="en-GB" w:eastAsia="en-US"/>
              </w:rPr>
            </w:pPr>
            <w:r w:rsidRPr="00322BD0">
              <w:rPr>
                <w:rFonts w:ascii="Cambria" w:eastAsia="Times New Roman" w:hAnsi="Cambria" w:cs="Times New Roman"/>
                <w:b/>
                <w:sz w:val="20"/>
                <w:szCs w:val="20"/>
                <w:lang w:val="en-GB" w:eastAsia="en-US"/>
              </w:rPr>
              <w:t>Achievements</w:t>
            </w:r>
            <w:r w:rsidR="000665AD">
              <w:rPr>
                <w:rFonts w:ascii="Cambria" w:eastAsia="Times New Roman" w:hAnsi="Cambria" w:cs="Times New Roman"/>
                <w:b/>
                <w:sz w:val="20"/>
                <w:szCs w:val="20"/>
                <w:lang w:val="en-GB" w:eastAsia="en-US"/>
              </w:rPr>
              <w:t xml:space="preserve"> 9 months </w:t>
            </w:r>
          </w:p>
          <w:p w:rsidR="009A2F5D" w:rsidRPr="00322BD0" w:rsidRDefault="0061016D" w:rsidP="00A46001">
            <w:pPr>
              <w:spacing w:after="0" w:line="240" w:lineRule="auto"/>
              <w:ind w:firstLine="0"/>
              <w:jc w:val="center"/>
              <w:rPr>
                <w:rFonts w:ascii="Cambria" w:eastAsia="Times New Roman" w:hAnsi="Cambria" w:cs="Times New Roman"/>
                <w:b/>
                <w:sz w:val="20"/>
                <w:szCs w:val="20"/>
                <w:lang w:val="en-GB" w:eastAsia="en-US"/>
              </w:rPr>
            </w:pPr>
            <w:r w:rsidRPr="00322BD0">
              <w:rPr>
                <w:rFonts w:ascii="Cambria" w:eastAsia="Times New Roman" w:hAnsi="Cambria" w:cs="Times New Roman"/>
                <w:b/>
                <w:sz w:val="20"/>
                <w:szCs w:val="20"/>
                <w:lang w:val="en-GB" w:eastAsia="en-US"/>
              </w:rPr>
              <w:t>201</w:t>
            </w:r>
            <w:r w:rsidR="000665AD">
              <w:rPr>
                <w:rFonts w:ascii="Cambria" w:eastAsia="Times New Roman" w:hAnsi="Cambria" w:cs="Times New Roman"/>
                <w:b/>
                <w:sz w:val="20"/>
                <w:szCs w:val="20"/>
                <w:lang w:val="en-GB" w:eastAsia="en-US"/>
              </w:rPr>
              <w:t>6</w:t>
            </w:r>
          </w:p>
        </w:tc>
      </w:tr>
      <w:tr w:rsidR="009A2F5D" w:rsidRPr="00322BD0" w:rsidTr="009A2F5D">
        <w:trPr>
          <w:tblCellSpacing w:w="20" w:type="dxa"/>
          <w:jc w:val="center"/>
        </w:trPr>
        <w:tc>
          <w:tcPr>
            <w:tcW w:w="6152" w:type="dxa"/>
            <w:vAlign w:val="center"/>
          </w:tcPr>
          <w:p w:rsidR="009A2F5D" w:rsidRPr="00322BD0" w:rsidRDefault="009A2F5D" w:rsidP="005C3506">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lastRenderedPageBreak/>
              <w:t>IP1</w:t>
            </w:r>
            <w:r w:rsidRPr="00322BD0">
              <w:rPr>
                <w:rFonts w:ascii="Cambria" w:eastAsia="Times New Roman" w:hAnsi="Cambria" w:cs="Times New Roman"/>
                <w:sz w:val="20"/>
                <w:szCs w:val="20"/>
                <w:lang w:val="en-GB" w:eastAsia="en-US"/>
              </w:rPr>
              <w:t>–</w:t>
            </w:r>
            <w:r w:rsidR="005C3506" w:rsidRPr="00322BD0">
              <w:rPr>
                <w:rFonts w:ascii="Cambria" w:eastAsia="Times New Roman" w:hAnsi="Cambria" w:cs="Times New Roman"/>
                <w:sz w:val="20"/>
                <w:szCs w:val="20"/>
                <w:lang w:val="en-GB" w:eastAsia="en-US"/>
              </w:rPr>
              <w:t>Solve the access requests for the connection to the NTS (art.5)</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98%</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9A2F5D" w:rsidRPr="00322BD0" w:rsidRDefault="009A2F5D" w:rsidP="009E518F">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IP2</w:t>
            </w:r>
            <w:r w:rsidRPr="00322BD0">
              <w:rPr>
                <w:rFonts w:ascii="Cambria" w:eastAsia="Times New Roman" w:hAnsi="Cambria" w:cs="Times New Roman"/>
                <w:sz w:val="20"/>
                <w:szCs w:val="20"/>
                <w:lang w:val="en-GB" w:eastAsia="en-US"/>
              </w:rPr>
              <w:t>–</w:t>
            </w:r>
            <w:r w:rsidR="005C3506" w:rsidRPr="00322BD0">
              <w:rPr>
                <w:rFonts w:ascii="Cambria" w:eastAsia="Times New Roman" w:hAnsi="Cambria" w:cs="Times New Roman"/>
                <w:sz w:val="20"/>
                <w:szCs w:val="20"/>
                <w:lang w:val="en-GB" w:eastAsia="en-US"/>
              </w:rPr>
              <w:t>Execute the NTS connection installation related to the  access requests</w:t>
            </w:r>
            <w:r w:rsidRPr="00322BD0">
              <w:rPr>
                <w:rFonts w:ascii="Cambria" w:eastAsia="Times New Roman" w:hAnsi="Cambria" w:cs="Times New Roman"/>
                <w:sz w:val="20"/>
                <w:szCs w:val="20"/>
                <w:lang w:val="en-GB" w:eastAsia="en-US"/>
              </w:rPr>
              <w:t xml:space="preserve"> (art.6 lit(a) </w:t>
            </w:r>
            <w:r w:rsidR="009E518F" w:rsidRPr="00322BD0">
              <w:rPr>
                <w:rFonts w:ascii="Cambria" w:eastAsia="Times New Roman" w:hAnsi="Cambria" w:cs="Times New Roman"/>
                <w:sz w:val="20"/>
                <w:szCs w:val="20"/>
                <w:lang w:val="en-GB" w:eastAsia="en-US"/>
              </w:rPr>
              <w:t>and</w:t>
            </w:r>
            <w:r w:rsidRPr="00322BD0">
              <w:rPr>
                <w:rFonts w:ascii="Cambria" w:eastAsia="Times New Roman" w:hAnsi="Cambria" w:cs="Times New Roman"/>
                <w:sz w:val="20"/>
                <w:szCs w:val="20"/>
                <w:lang w:val="en-GB" w:eastAsia="en-US"/>
              </w:rPr>
              <w:t xml:space="preserve"> (b))</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98%</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9A2F5D" w:rsidRPr="00322BD0" w:rsidRDefault="009A2F5D" w:rsidP="005C3506">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IP4</w:t>
            </w:r>
            <w:r w:rsidRPr="00322BD0">
              <w:rPr>
                <w:rFonts w:ascii="Cambria" w:eastAsia="Times New Roman" w:hAnsi="Cambria" w:cs="Times New Roman"/>
                <w:sz w:val="20"/>
                <w:szCs w:val="20"/>
                <w:lang w:val="en-GB" w:eastAsia="en-US"/>
              </w:rPr>
              <w:t xml:space="preserve"> – </w:t>
            </w:r>
            <w:r w:rsidR="005C3506" w:rsidRPr="00322BD0">
              <w:rPr>
                <w:rFonts w:ascii="Cambria" w:eastAsia="Times New Roman" w:hAnsi="Cambria" w:cs="Times New Roman"/>
                <w:sz w:val="20"/>
                <w:szCs w:val="20"/>
                <w:lang w:val="en-GB" w:eastAsia="en-US"/>
              </w:rPr>
              <w:t>Notification on the resumption of the service provision   (art.8 (1) letter (a) and</w:t>
            </w:r>
            <w:r w:rsidRPr="00322BD0">
              <w:rPr>
                <w:rFonts w:ascii="Cambria" w:eastAsia="Times New Roman" w:hAnsi="Cambria" w:cs="Times New Roman"/>
                <w:sz w:val="20"/>
                <w:szCs w:val="20"/>
                <w:lang w:val="en-GB" w:eastAsia="en-US"/>
              </w:rPr>
              <w:t xml:space="preserve"> (b))</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95%</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9A2F5D" w:rsidRPr="00322BD0" w:rsidRDefault="009A2F5D" w:rsidP="009A2F5D">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IP5</w:t>
            </w:r>
            <w:r w:rsidRPr="00322BD0">
              <w:rPr>
                <w:rFonts w:ascii="Cambria" w:eastAsia="Times New Roman" w:hAnsi="Cambria" w:cs="Times New Roman"/>
                <w:sz w:val="20"/>
                <w:szCs w:val="20"/>
                <w:lang w:val="en-GB" w:eastAsia="en-US"/>
              </w:rPr>
              <w:t>–</w:t>
            </w:r>
            <w:r w:rsidR="005C3506" w:rsidRPr="00322BD0">
              <w:rPr>
                <w:rFonts w:ascii="Cambria" w:eastAsia="Times New Roman" w:hAnsi="Cambria" w:cs="Times New Roman"/>
                <w:sz w:val="20"/>
                <w:szCs w:val="20"/>
                <w:lang w:val="en-GB" w:eastAsia="en-US"/>
              </w:rPr>
              <w:t xml:space="preserve"> Notification on the planned interruptions in the service provision and its resumption</w:t>
            </w:r>
            <w:r w:rsidRPr="00322BD0">
              <w:rPr>
                <w:rFonts w:ascii="Cambria" w:eastAsia="Times New Roman" w:hAnsi="Cambria" w:cs="Times New Roman"/>
                <w:sz w:val="20"/>
                <w:szCs w:val="20"/>
                <w:lang w:val="en-GB" w:eastAsia="en-US"/>
              </w:rPr>
              <w:t xml:space="preserve"> (art.9 (1))</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5C3506" w:rsidRPr="00322BD0" w:rsidRDefault="009A2F5D" w:rsidP="009A2F5D">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IP6</w:t>
            </w:r>
            <w:r w:rsidRPr="00322BD0">
              <w:rPr>
                <w:rFonts w:ascii="Cambria" w:eastAsia="Times New Roman" w:hAnsi="Cambria" w:cs="Times New Roman"/>
                <w:sz w:val="20"/>
                <w:szCs w:val="20"/>
                <w:lang w:val="en-GB" w:eastAsia="en-US"/>
              </w:rPr>
              <w:t>–</w:t>
            </w:r>
            <w:r w:rsidR="005C3506" w:rsidRPr="00322BD0">
              <w:rPr>
                <w:rFonts w:ascii="Cambria" w:eastAsia="Times New Roman" w:hAnsi="Cambria" w:cs="Times New Roman"/>
                <w:sz w:val="20"/>
                <w:szCs w:val="20"/>
                <w:lang w:val="en-GB" w:eastAsia="en-US"/>
              </w:rPr>
              <w:t>Solve the complaints of the NTS users on natural gas metering</w:t>
            </w:r>
          </w:p>
          <w:p w:rsidR="009A2F5D" w:rsidRPr="00322BD0" w:rsidRDefault="005C3506" w:rsidP="009A2F5D">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 xml:space="preserve"> (art.10 (1) letter (a) and</w:t>
            </w:r>
            <w:r w:rsidR="009A2F5D" w:rsidRPr="00322BD0">
              <w:rPr>
                <w:rFonts w:ascii="Cambria" w:eastAsia="Times New Roman" w:hAnsi="Cambria" w:cs="Times New Roman"/>
                <w:sz w:val="20"/>
                <w:szCs w:val="20"/>
                <w:lang w:val="en-GB" w:eastAsia="en-US"/>
              </w:rPr>
              <w:t xml:space="preserve"> (b))</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98%</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9A2F5D" w:rsidRPr="00322BD0" w:rsidRDefault="009A2F5D" w:rsidP="009A2F5D">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IP7</w:t>
            </w:r>
            <w:r w:rsidRPr="00322BD0">
              <w:rPr>
                <w:rFonts w:ascii="Cambria" w:eastAsia="Times New Roman" w:hAnsi="Cambria" w:cs="Times New Roman"/>
                <w:sz w:val="20"/>
                <w:szCs w:val="20"/>
                <w:lang w:val="en-GB" w:eastAsia="en-US"/>
              </w:rPr>
              <w:t>–</w:t>
            </w:r>
            <w:r w:rsidR="00702C55" w:rsidRPr="00322BD0">
              <w:rPr>
                <w:rFonts w:ascii="Cambria" w:eastAsia="Times New Roman" w:hAnsi="Cambria" w:cs="Times New Roman"/>
                <w:sz w:val="20"/>
                <w:szCs w:val="20"/>
                <w:lang w:val="en-GB" w:eastAsia="en-US"/>
              </w:rPr>
              <w:t xml:space="preserve">Solve the referrals </w:t>
            </w:r>
            <w:r w:rsidR="000A402B" w:rsidRPr="00322BD0">
              <w:rPr>
                <w:rFonts w:ascii="Cambria" w:eastAsia="Times New Roman" w:hAnsi="Cambria" w:cs="Times New Roman"/>
                <w:sz w:val="20"/>
                <w:szCs w:val="20"/>
                <w:lang w:val="en-GB" w:eastAsia="en-US"/>
              </w:rPr>
              <w:t>related to the integrity and NTS operation under safety conditions (art.11 par. (2))</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95%</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100%</w:t>
            </w:r>
          </w:p>
        </w:tc>
      </w:tr>
      <w:tr w:rsidR="009A2F5D" w:rsidRPr="00322BD0" w:rsidTr="009A2F5D">
        <w:trPr>
          <w:tblCellSpacing w:w="20" w:type="dxa"/>
          <w:jc w:val="center"/>
        </w:trPr>
        <w:tc>
          <w:tcPr>
            <w:tcW w:w="6152" w:type="dxa"/>
            <w:vAlign w:val="center"/>
          </w:tcPr>
          <w:p w:rsidR="009A2F5D" w:rsidRPr="00322BD0" w:rsidRDefault="009A2F5D" w:rsidP="009A2F5D">
            <w:pPr>
              <w:spacing w:after="0" w:line="240" w:lineRule="auto"/>
              <w:ind w:firstLine="0"/>
              <w:jc w:val="both"/>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IP8</w:t>
            </w:r>
            <w:r w:rsidRPr="00322BD0">
              <w:rPr>
                <w:rFonts w:ascii="Cambria" w:eastAsia="Times New Roman" w:hAnsi="Cambria" w:cs="Times New Roman"/>
                <w:sz w:val="20"/>
                <w:szCs w:val="20"/>
                <w:lang w:val="en-GB" w:eastAsia="en-US"/>
              </w:rPr>
              <w:t>–</w:t>
            </w:r>
            <w:r w:rsidR="000A402B" w:rsidRPr="00322BD0">
              <w:rPr>
                <w:rFonts w:ascii="Cambria" w:eastAsia="Times New Roman" w:hAnsi="Cambria" w:cs="Times New Roman"/>
                <w:sz w:val="20"/>
                <w:szCs w:val="20"/>
                <w:lang w:val="en-GB" w:eastAsia="en-US"/>
              </w:rPr>
              <w:t xml:space="preserve">The obligations of the TSO to inform the applicants/users, according to other regulations of the </w:t>
            </w:r>
            <w:r w:rsidR="009E518F" w:rsidRPr="00322BD0">
              <w:rPr>
                <w:rFonts w:ascii="Cambria" w:eastAsia="Times New Roman" w:hAnsi="Cambria" w:cs="Times New Roman"/>
                <w:sz w:val="20"/>
                <w:szCs w:val="20"/>
                <w:lang w:val="en-GB" w:eastAsia="en-US"/>
              </w:rPr>
              <w:t>National</w:t>
            </w:r>
            <w:r w:rsidR="000A402B" w:rsidRPr="00322BD0">
              <w:rPr>
                <w:rFonts w:ascii="Cambria" w:eastAsia="Times New Roman" w:hAnsi="Cambria" w:cs="Times New Roman"/>
                <w:sz w:val="20"/>
                <w:szCs w:val="20"/>
                <w:lang w:val="en-GB" w:eastAsia="en-US"/>
              </w:rPr>
              <w:t xml:space="preserve"> Regulatory Authority on natural gas (ANRGN) (art.12)</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95%</w:t>
            </w:r>
          </w:p>
        </w:tc>
        <w:tc>
          <w:tcPr>
            <w:tcW w:w="1472"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 xml:space="preserve">100% </w:t>
            </w:r>
          </w:p>
        </w:tc>
      </w:tr>
      <w:tr w:rsidR="009A2F5D" w:rsidRPr="00322BD0" w:rsidTr="009A2F5D">
        <w:trPr>
          <w:trHeight w:val="485"/>
          <w:tblCellSpacing w:w="20" w:type="dxa"/>
          <w:jc w:val="center"/>
        </w:trPr>
        <w:tc>
          <w:tcPr>
            <w:tcW w:w="6152" w:type="dxa"/>
            <w:vMerge w:val="restart"/>
          </w:tcPr>
          <w:p w:rsidR="009A2F5D" w:rsidRPr="00322BD0" w:rsidRDefault="009A2F5D" w:rsidP="009A2F5D">
            <w:pPr>
              <w:spacing w:after="0" w:line="240" w:lineRule="auto"/>
              <w:ind w:firstLine="0"/>
              <w:rPr>
                <w:rFonts w:ascii="Cambria" w:eastAsia="Times New Roman" w:hAnsi="Cambria" w:cs="Times New Roman"/>
                <w:sz w:val="20"/>
                <w:szCs w:val="20"/>
                <w:lang w:val="en-GB" w:eastAsia="en-US"/>
              </w:rPr>
            </w:pPr>
            <w:r w:rsidRPr="00322BD0">
              <w:rPr>
                <w:rFonts w:ascii="Cambria" w:eastAsia="Times New Roman" w:hAnsi="Cambria" w:cs="Times New Roman"/>
                <w:b/>
                <w:sz w:val="20"/>
                <w:szCs w:val="20"/>
                <w:lang w:val="en-GB" w:eastAsia="en-US"/>
              </w:rPr>
              <w:t xml:space="preserve">IP11 </w:t>
            </w:r>
            <w:r w:rsidRPr="00322BD0">
              <w:rPr>
                <w:rFonts w:ascii="Cambria" w:eastAsia="Times New Roman" w:hAnsi="Cambria" w:cs="Times New Roman"/>
                <w:sz w:val="20"/>
                <w:szCs w:val="20"/>
                <w:lang w:val="en-GB" w:eastAsia="en-US"/>
              </w:rPr>
              <w:t xml:space="preserve">– </w:t>
            </w:r>
            <w:r w:rsidR="000A402B" w:rsidRPr="00322BD0">
              <w:rPr>
                <w:rFonts w:ascii="Cambria" w:eastAsia="Times New Roman" w:hAnsi="Cambria" w:cs="Times New Roman"/>
                <w:sz w:val="20"/>
                <w:szCs w:val="20"/>
                <w:lang w:val="en-GB" w:eastAsia="en-US"/>
              </w:rPr>
              <w:t>Safety indicators</w:t>
            </w:r>
          </w:p>
          <w:p w:rsidR="009A2F5D" w:rsidRPr="00322BD0" w:rsidRDefault="000A402B" w:rsidP="009A2F5D">
            <w:pPr>
              <w:spacing w:after="0" w:line="240" w:lineRule="auto"/>
              <w:ind w:firstLine="0"/>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(art.15 (1) letter</w:t>
            </w:r>
            <w:r w:rsidR="009A2F5D" w:rsidRPr="00322BD0">
              <w:rPr>
                <w:rFonts w:ascii="Cambria" w:eastAsia="Times New Roman" w:hAnsi="Cambria" w:cs="Times New Roman"/>
                <w:sz w:val="20"/>
                <w:szCs w:val="20"/>
                <w:lang w:val="en-GB" w:eastAsia="en-US"/>
              </w:rPr>
              <w:t xml:space="preserve"> (a)) RCA</w:t>
            </w:r>
          </w:p>
          <w:p w:rsidR="009A2F5D" w:rsidRPr="00322BD0" w:rsidRDefault="009A2F5D" w:rsidP="009A2F5D">
            <w:pPr>
              <w:spacing w:after="0" w:line="240" w:lineRule="auto"/>
              <w:ind w:firstLine="0"/>
              <w:rPr>
                <w:rFonts w:ascii="Cambria" w:eastAsia="Times New Roman" w:hAnsi="Cambria" w:cs="Times New Roman"/>
                <w:sz w:val="20"/>
                <w:szCs w:val="20"/>
                <w:lang w:val="en-GB" w:eastAsia="en-US"/>
              </w:rPr>
            </w:pPr>
          </w:p>
          <w:p w:rsidR="009A2F5D" w:rsidRPr="00322BD0" w:rsidRDefault="000A402B" w:rsidP="009A2F5D">
            <w:pPr>
              <w:spacing w:after="0" w:line="240" w:lineRule="auto"/>
              <w:ind w:firstLine="0"/>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(art.15 (1) letter</w:t>
            </w:r>
            <w:r w:rsidR="009A2F5D" w:rsidRPr="00322BD0">
              <w:rPr>
                <w:rFonts w:ascii="Cambria" w:eastAsia="Times New Roman" w:hAnsi="Cambria" w:cs="Times New Roman"/>
                <w:sz w:val="20"/>
                <w:szCs w:val="20"/>
                <w:lang w:val="en-GB" w:eastAsia="en-US"/>
              </w:rPr>
              <w:t xml:space="preserve"> (b)) NAP</w:t>
            </w:r>
          </w:p>
          <w:p w:rsidR="009A2F5D" w:rsidRPr="00322BD0" w:rsidRDefault="009A2F5D" w:rsidP="009A2F5D">
            <w:pPr>
              <w:spacing w:after="0" w:line="240" w:lineRule="auto"/>
              <w:ind w:firstLine="0"/>
              <w:rPr>
                <w:rFonts w:ascii="Cambria" w:eastAsia="Times New Roman" w:hAnsi="Cambria" w:cs="Times New Roman"/>
                <w:sz w:val="20"/>
                <w:szCs w:val="20"/>
                <w:lang w:val="en-GB" w:eastAsia="en-US"/>
              </w:rPr>
            </w:pPr>
          </w:p>
          <w:p w:rsidR="009A2F5D" w:rsidRPr="00322BD0" w:rsidRDefault="000A402B" w:rsidP="009A2F5D">
            <w:pPr>
              <w:spacing w:after="0" w:line="240" w:lineRule="auto"/>
              <w:ind w:firstLine="0"/>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(art.15 (1) letter</w:t>
            </w:r>
            <w:r w:rsidR="009A2F5D" w:rsidRPr="00322BD0">
              <w:rPr>
                <w:rFonts w:ascii="Cambria" w:eastAsia="Times New Roman" w:hAnsi="Cambria" w:cs="Times New Roman"/>
                <w:sz w:val="20"/>
                <w:szCs w:val="20"/>
                <w:lang w:val="en-GB" w:eastAsia="en-US"/>
              </w:rPr>
              <w:t xml:space="preserve"> (c)) NAP</w:t>
            </w:r>
            <w:r w:rsidR="009A2F5D" w:rsidRPr="00322BD0">
              <w:rPr>
                <w:rFonts w:ascii="Cambria" w:eastAsia="Times New Roman" w:hAnsi="Cambria" w:cs="Times New Roman"/>
                <w:sz w:val="20"/>
                <w:szCs w:val="20"/>
                <w:vertAlign w:val="subscript"/>
                <w:lang w:val="en-GB" w:eastAsia="en-US"/>
              </w:rPr>
              <w:t>T</w:t>
            </w:r>
            <w:r w:rsidR="009A2F5D" w:rsidRPr="00322BD0">
              <w:rPr>
                <w:rFonts w:ascii="Cambria" w:eastAsia="Times New Roman" w:hAnsi="Cambria" w:cs="Times New Roman"/>
                <w:sz w:val="20"/>
                <w:szCs w:val="20"/>
                <w:lang w:val="en-GB" w:eastAsia="en-US"/>
              </w:rPr>
              <w:t xml:space="preserve"> </w:t>
            </w:r>
          </w:p>
        </w:tc>
        <w:tc>
          <w:tcPr>
            <w:tcW w:w="1580" w:type="dxa"/>
            <w:vAlign w:val="center"/>
          </w:tcPr>
          <w:p w:rsidR="009A2F5D" w:rsidRPr="00322BD0" w:rsidRDefault="009A2F5D" w:rsidP="009A2F5D">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 xml:space="preserve">maximum </w:t>
            </w:r>
          </w:p>
          <w:p w:rsidR="009A2F5D" w:rsidRPr="00322BD0" w:rsidRDefault="009A2F5D" w:rsidP="006954D0">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8</w:t>
            </w:r>
            <w:r w:rsidR="006954D0" w:rsidRPr="00322BD0">
              <w:rPr>
                <w:rFonts w:ascii="Cambria" w:eastAsia="Times New Roman" w:hAnsi="Cambria" w:cs="Times New Roman"/>
                <w:sz w:val="20"/>
                <w:szCs w:val="20"/>
                <w:lang w:val="en-GB" w:eastAsia="en-US"/>
              </w:rPr>
              <w:t>.</w:t>
            </w:r>
            <w:r w:rsidRPr="00322BD0">
              <w:rPr>
                <w:rFonts w:ascii="Cambria" w:eastAsia="Times New Roman" w:hAnsi="Cambria" w:cs="Times New Roman"/>
                <w:sz w:val="20"/>
                <w:szCs w:val="20"/>
                <w:lang w:val="en-GB" w:eastAsia="en-US"/>
              </w:rPr>
              <w:t>3%</w:t>
            </w:r>
          </w:p>
        </w:tc>
        <w:tc>
          <w:tcPr>
            <w:tcW w:w="1472" w:type="dxa"/>
            <w:vAlign w:val="center"/>
          </w:tcPr>
          <w:p w:rsidR="009A2F5D" w:rsidRPr="00322BD0" w:rsidRDefault="00A46001" w:rsidP="006954D0">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7</w:t>
            </w:r>
            <w:r w:rsidR="006954D0" w:rsidRPr="00322BD0">
              <w:rPr>
                <w:rFonts w:ascii="Cambria" w:eastAsia="Times New Roman" w:hAnsi="Cambria" w:cs="Times New Roman"/>
                <w:sz w:val="20"/>
                <w:szCs w:val="20"/>
                <w:lang w:val="en-GB" w:eastAsia="en-US"/>
              </w:rPr>
              <w:t>.</w:t>
            </w:r>
            <w:r w:rsidR="000665AD">
              <w:rPr>
                <w:rFonts w:ascii="Cambria" w:eastAsia="Times New Roman" w:hAnsi="Cambria" w:cs="Times New Roman"/>
                <w:sz w:val="20"/>
                <w:szCs w:val="20"/>
                <w:lang w:val="en-GB" w:eastAsia="en-US"/>
              </w:rPr>
              <w:t>6</w:t>
            </w:r>
            <w:r w:rsidR="009A2F5D" w:rsidRPr="00322BD0">
              <w:rPr>
                <w:rFonts w:ascii="Cambria" w:eastAsia="Times New Roman" w:hAnsi="Cambria" w:cs="Times New Roman"/>
                <w:sz w:val="20"/>
                <w:szCs w:val="20"/>
                <w:lang w:val="en-GB" w:eastAsia="en-US"/>
              </w:rPr>
              <w:t>%</w:t>
            </w:r>
          </w:p>
        </w:tc>
      </w:tr>
      <w:tr w:rsidR="009A2F5D" w:rsidRPr="00322BD0" w:rsidTr="009A2F5D">
        <w:trPr>
          <w:tblCellSpacing w:w="20" w:type="dxa"/>
          <w:jc w:val="center"/>
        </w:trPr>
        <w:tc>
          <w:tcPr>
            <w:tcW w:w="6152" w:type="dxa"/>
            <w:vMerge/>
            <w:vAlign w:val="center"/>
          </w:tcPr>
          <w:p w:rsidR="009A2F5D" w:rsidRPr="00322BD0" w:rsidRDefault="009A2F5D" w:rsidP="009A2F5D">
            <w:pPr>
              <w:spacing w:after="0" w:line="240" w:lineRule="auto"/>
              <w:ind w:firstLine="0"/>
              <w:jc w:val="both"/>
              <w:rPr>
                <w:rFonts w:ascii="Cambria" w:eastAsia="Times New Roman" w:hAnsi="Cambria" w:cs="Times New Roman"/>
                <w:sz w:val="20"/>
                <w:szCs w:val="20"/>
                <w:lang w:val="en-GB" w:eastAsia="en-US"/>
              </w:rPr>
            </w:pPr>
          </w:p>
        </w:tc>
        <w:tc>
          <w:tcPr>
            <w:tcW w:w="1580" w:type="dxa"/>
            <w:vAlign w:val="center"/>
          </w:tcPr>
          <w:p w:rsidR="009A2F5D" w:rsidRPr="00322BD0" w:rsidRDefault="009A2F5D" w:rsidP="008E2C65">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0</w:t>
            </w:r>
            <w:r w:rsidR="008E2C65" w:rsidRPr="00322BD0">
              <w:rPr>
                <w:rFonts w:ascii="Cambria" w:eastAsia="Times New Roman" w:hAnsi="Cambria" w:cs="Times New Roman"/>
                <w:sz w:val="20"/>
                <w:szCs w:val="20"/>
                <w:lang w:val="en-GB" w:eastAsia="en-US"/>
              </w:rPr>
              <w:t>.</w:t>
            </w:r>
            <w:r w:rsidRPr="00322BD0">
              <w:rPr>
                <w:rFonts w:ascii="Cambria" w:eastAsia="Times New Roman" w:hAnsi="Cambria" w:cs="Times New Roman"/>
                <w:sz w:val="20"/>
                <w:szCs w:val="20"/>
                <w:lang w:val="en-GB" w:eastAsia="en-US"/>
              </w:rPr>
              <w:t>8</w:t>
            </w:r>
          </w:p>
        </w:tc>
        <w:tc>
          <w:tcPr>
            <w:tcW w:w="1472" w:type="dxa"/>
            <w:vAlign w:val="center"/>
          </w:tcPr>
          <w:p w:rsidR="009A2F5D" w:rsidRPr="00322BD0" w:rsidRDefault="009A2F5D" w:rsidP="00A2203B">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0</w:t>
            </w:r>
            <w:r w:rsidR="008E2C65" w:rsidRPr="00322BD0">
              <w:rPr>
                <w:rFonts w:ascii="Cambria" w:eastAsia="Times New Roman" w:hAnsi="Cambria" w:cs="Times New Roman"/>
                <w:sz w:val="20"/>
                <w:szCs w:val="20"/>
                <w:lang w:val="en-GB" w:eastAsia="en-US"/>
              </w:rPr>
              <w:t>.</w:t>
            </w:r>
            <w:r w:rsidRPr="00322BD0">
              <w:rPr>
                <w:rFonts w:ascii="Cambria" w:eastAsia="Times New Roman" w:hAnsi="Cambria" w:cs="Times New Roman"/>
                <w:sz w:val="20"/>
                <w:szCs w:val="20"/>
                <w:lang w:val="en-GB" w:eastAsia="en-US"/>
              </w:rPr>
              <w:t>0</w:t>
            </w:r>
            <w:r w:rsidR="00A2203B" w:rsidRPr="00322BD0">
              <w:rPr>
                <w:rFonts w:ascii="Cambria" w:eastAsia="Times New Roman" w:hAnsi="Cambria" w:cs="Times New Roman"/>
                <w:sz w:val="20"/>
                <w:szCs w:val="20"/>
                <w:lang w:val="en-GB" w:eastAsia="en-US"/>
              </w:rPr>
              <w:t>1</w:t>
            </w:r>
          </w:p>
        </w:tc>
      </w:tr>
      <w:tr w:rsidR="009A2F5D" w:rsidRPr="00322BD0" w:rsidTr="009A2F5D">
        <w:trPr>
          <w:tblCellSpacing w:w="20" w:type="dxa"/>
          <w:jc w:val="center"/>
        </w:trPr>
        <w:tc>
          <w:tcPr>
            <w:tcW w:w="6152" w:type="dxa"/>
            <w:vMerge/>
            <w:vAlign w:val="center"/>
          </w:tcPr>
          <w:p w:rsidR="009A2F5D" w:rsidRPr="00322BD0" w:rsidRDefault="009A2F5D" w:rsidP="009A2F5D">
            <w:pPr>
              <w:spacing w:after="0" w:line="240" w:lineRule="auto"/>
              <w:ind w:firstLine="0"/>
              <w:jc w:val="both"/>
              <w:rPr>
                <w:rFonts w:ascii="Cambria" w:eastAsia="Times New Roman" w:hAnsi="Cambria" w:cs="Times New Roman"/>
                <w:sz w:val="20"/>
                <w:szCs w:val="20"/>
                <w:lang w:val="en-GB" w:eastAsia="en-US"/>
              </w:rPr>
            </w:pPr>
          </w:p>
        </w:tc>
        <w:tc>
          <w:tcPr>
            <w:tcW w:w="1580" w:type="dxa"/>
            <w:vAlign w:val="center"/>
          </w:tcPr>
          <w:p w:rsidR="009A2F5D" w:rsidRPr="00322BD0" w:rsidRDefault="009A2F5D" w:rsidP="008E2C65">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0</w:t>
            </w:r>
            <w:r w:rsidR="008E2C65" w:rsidRPr="00322BD0">
              <w:rPr>
                <w:rFonts w:ascii="Cambria" w:eastAsia="Times New Roman" w:hAnsi="Cambria" w:cs="Times New Roman"/>
                <w:sz w:val="20"/>
                <w:szCs w:val="20"/>
                <w:lang w:val="en-GB" w:eastAsia="en-US"/>
              </w:rPr>
              <w:t>.</w:t>
            </w:r>
            <w:r w:rsidRPr="00322BD0">
              <w:rPr>
                <w:rFonts w:ascii="Cambria" w:eastAsia="Times New Roman" w:hAnsi="Cambria" w:cs="Times New Roman"/>
                <w:sz w:val="20"/>
                <w:szCs w:val="20"/>
                <w:lang w:val="en-GB" w:eastAsia="en-US"/>
              </w:rPr>
              <w:t>1</w:t>
            </w:r>
          </w:p>
        </w:tc>
        <w:tc>
          <w:tcPr>
            <w:tcW w:w="1472" w:type="dxa"/>
            <w:vAlign w:val="center"/>
          </w:tcPr>
          <w:p w:rsidR="009A2F5D" w:rsidRPr="00322BD0" w:rsidRDefault="009A2F5D" w:rsidP="008E2C65">
            <w:pPr>
              <w:spacing w:after="0" w:line="240" w:lineRule="auto"/>
              <w:ind w:firstLine="0"/>
              <w:jc w:val="center"/>
              <w:rPr>
                <w:rFonts w:ascii="Cambria" w:eastAsia="Times New Roman" w:hAnsi="Cambria" w:cs="Times New Roman"/>
                <w:sz w:val="20"/>
                <w:szCs w:val="20"/>
                <w:lang w:val="en-GB" w:eastAsia="en-US"/>
              </w:rPr>
            </w:pPr>
            <w:r w:rsidRPr="00322BD0">
              <w:rPr>
                <w:rFonts w:ascii="Cambria" w:eastAsia="Times New Roman" w:hAnsi="Cambria" w:cs="Times New Roman"/>
                <w:sz w:val="20"/>
                <w:szCs w:val="20"/>
                <w:lang w:val="en-GB" w:eastAsia="en-US"/>
              </w:rPr>
              <w:t>0</w:t>
            </w:r>
            <w:r w:rsidR="008E2C65" w:rsidRPr="00322BD0">
              <w:rPr>
                <w:rFonts w:ascii="Cambria" w:eastAsia="Times New Roman" w:hAnsi="Cambria" w:cs="Times New Roman"/>
                <w:sz w:val="20"/>
                <w:szCs w:val="20"/>
                <w:lang w:val="en-GB" w:eastAsia="en-US"/>
              </w:rPr>
              <w:t>.</w:t>
            </w:r>
            <w:r w:rsidRPr="00322BD0">
              <w:rPr>
                <w:rFonts w:ascii="Cambria" w:eastAsia="Times New Roman" w:hAnsi="Cambria" w:cs="Times New Roman"/>
                <w:sz w:val="20"/>
                <w:szCs w:val="20"/>
                <w:lang w:val="en-GB" w:eastAsia="en-US"/>
              </w:rPr>
              <w:t>00</w:t>
            </w:r>
          </w:p>
        </w:tc>
      </w:tr>
    </w:tbl>
    <w:p w:rsidR="00686C20" w:rsidRPr="00322BD0" w:rsidRDefault="00686C20" w:rsidP="00686C20">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 xml:space="preserve"> </w:t>
      </w:r>
    </w:p>
    <w:p w:rsidR="0027360D" w:rsidRPr="00322BD0" w:rsidRDefault="000A402B" w:rsidP="00686C20">
      <w:pPr>
        <w:spacing w:after="0" w:line="240" w:lineRule="auto"/>
        <w:ind w:firstLine="0"/>
        <w:jc w:val="center"/>
        <w:rPr>
          <w:rFonts w:ascii="Cambria" w:eastAsia="Times New Roman" w:hAnsi="Cambria" w:cs="Times New Roman"/>
          <w:b/>
          <w:i/>
          <w:sz w:val="16"/>
          <w:szCs w:val="16"/>
          <w:lang w:val="en-GB" w:eastAsia="ro-RO"/>
        </w:rPr>
      </w:pPr>
      <w:r w:rsidRPr="00322BD0">
        <w:rPr>
          <w:rFonts w:ascii="Cambria" w:eastAsia="Times New Roman" w:hAnsi="Cambria" w:cs="Times New Roman"/>
          <w:b/>
          <w:i/>
          <w:sz w:val="16"/>
          <w:szCs w:val="16"/>
          <w:lang w:val="en-GB" w:eastAsia="ro-RO"/>
        </w:rPr>
        <w:t>Table</w:t>
      </w:r>
      <w:r w:rsidR="002A6C02" w:rsidRPr="00322BD0">
        <w:rPr>
          <w:rFonts w:ascii="Cambria" w:eastAsia="Times New Roman" w:hAnsi="Cambria" w:cs="Times New Roman"/>
          <w:b/>
          <w:i/>
          <w:sz w:val="16"/>
          <w:szCs w:val="16"/>
          <w:lang w:val="en-GB" w:eastAsia="ro-RO"/>
        </w:rPr>
        <w:t xml:space="preserve"> </w:t>
      </w:r>
      <w:r w:rsidR="000665AD">
        <w:rPr>
          <w:rFonts w:ascii="Cambria" w:eastAsia="Times New Roman" w:hAnsi="Cambria" w:cs="Times New Roman"/>
          <w:b/>
          <w:i/>
          <w:sz w:val="16"/>
          <w:szCs w:val="16"/>
          <w:lang w:val="en-GB" w:eastAsia="ro-RO"/>
        </w:rPr>
        <w:t>2</w:t>
      </w:r>
      <w:r w:rsidR="002A6C02" w:rsidRPr="00322BD0">
        <w:rPr>
          <w:rFonts w:ascii="Cambria" w:eastAsia="Times New Roman" w:hAnsi="Cambria" w:cs="Times New Roman"/>
          <w:b/>
          <w:i/>
          <w:sz w:val="16"/>
          <w:szCs w:val="16"/>
          <w:lang w:val="en-GB" w:eastAsia="ro-RO"/>
        </w:rPr>
        <w:t>1 –</w:t>
      </w:r>
      <w:r w:rsidRPr="00322BD0">
        <w:rPr>
          <w:rFonts w:ascii="Cambria" w:eastAsia="Times New Roman" w:hAnsi="Cambria" w:cs="Times New Roman"/>
          <w:b/>
          <w:i/>
          <w:sz w:val="16"/>
          <w:szCs w:val="16"/>
          <w:lang w:val="en-GB" w:eastAsia="ro-RO"/>
        </w:rPr>
        <w:t xml:space="preserve">Achievement of the performance indicators related to the gas transmission service for </w:t>
      </w:r>
      <w:r w:rsidR="002A6C02" w:rsidRPr="00322BD0">
        <w:rPr>
          <w:rFonts w:ascii="Cambria" w:eastAsia="Times New Roman" w:hAnsi="Cambria" w:cs="Times New Roman"/>
          <w:b/>
          <w:i/>
          <w:sz w:val="16"/>
          <w:szCs w:val="16"/>
          <w:lang w:val="en-GB" w:eastAsia="ro-RO"/>
        </w:rPr>
        <w:t>201</w:t>
      </w:r>
      <w:r w:rsidR="000665AD">
        <w:rPr>
          <w:rFonts w:ascii="Cambria" w:eastAsia="Times New Roman" w:hAnsi="Cambria" w:cs="Times New Roman"/>
          <w:b/>
          <w:i/>
          <w:sz w:val="16"/>
          <w:szCs w:val="16"/>
          <w:lang w:val="en-GB" w:eastAsia="ro-RO"/>
        </w:rPr>
        <w:t>6</w:t>
      </w:r>
    </w:p>
    <w:p w:rsidR="00686C20" w:rsidRPr="00322BD0" w:rsidRDefault="00686C20" w:rsidP="00686C20">
      <w:pPr>
        <w:spacing w:after="0" w:line="240" w:lineRule="auto"/>
        <w:ind w:firstLine="0"/>
        <w:rPr>
          <w:rFonts w:ascii="Cambria" w:hAnsi="Cambria"/>
          <w:b/>
          <w:sz w:val="24"/>
          <w:szCs w:val="24"/>
          <w:lang w:val="en-GB"/>
        </w:rPr>
      </w:pPr>
    </w:p>
    <w:p w:rsidR="002A6C02" w:rsidRPr="00322BD0" w:rsidRDefault="009A2F5D" w:rsidP="00686C20">
      <w:pPr>
        <w:spacing w:after="0" w:line="240" w:lineRule="auto"/>
        <w:ind w:firstLine="0"/>
        <w:jc w:val="both"/>
        <w:rPr>
          <w:rStyle w:val="Hyperlink"/>
          <w:rFonts w:ascii="Cambria" w:hAnsi="Cambria"/>
          <w:color w:val="auto"/>
          <w:sz w:val="24"/>
          <w:szCs w:val="24"/>
          <w:lang w:val="en-GB"/>
        </w:rPr>
      </w:pPr>
      <w:r w:rsidRPr="00322BD0">
        <w:rPr>
          <w:rFonts w:ascii="Cambria" w:hAnsi="Cambria"/>
          <w:b/>
          <w:sz w:val="24"/>
          <w:szCs w:val="24"/>
          <w:lang w:val="en-GB"/>
        </w:rPr>
        <w:t>IP10</w:t>
      </w:r>
      <w:r w:rsidR="005A5AE4" w:rsidRPr="00322BD0">
        <w:rPr>
          <w:rFonts w:ascii="Cambria" w:hAnsi="Cambria"/>
          <w:sz w:val="24"/>
          <w:szCs w:val="24"/>
          <w:lang w:val="en-GB"/>
        </w:rPr>
        <w:t>-</w:t>
      </w:r>
      <w:r w:rsidRPr="00322BD0">
        <w:rPr>
          <w:rFonts w:ascii="Cambria" w:hAnsi="Cambria"/>
          <w:sz w:val="24"/>
          <w:szCs w:val="24"/>
          <w:lang w:val="en-GB"/>
        </w:rPr>
        <w:t>Tel Verde:</w:t>
      </w:r>
      <w:r w:rsidR="005A5AE4" w:rsidRPr="00322BD0">
        <w:rPr>
          <w:rFonts w:ascii="Cambria" w:hAnsi="Cambria"/>
          <w:sz w:val="24"/>
          <w:szCs w:val="24"/>
          <w:lang w:val="en-GB"/>
        </w:rPr>
        <w:t xml:space="preserve"> </w:t>
      </w:r>
      <w:r w:rsidRPr="00322BD0">
        <w:rPr>
          <w:rFonts w:ascii="Cambria" w:hAnsi="Cambria"/>
          <w:sz w:val="24"/>
          <w:szCs w:val="24"/>
          <w:lang w:val="en-GB"/>
        </w:rPr>
        <w:t xml:space="preserve">0800872674 </w:t>
      </w:r>
      <w:r w:rsidR="000A402B" w:rsidRPr="00322BD0">
        <w:rPr>
          <w:rFonts w:ascii="Cambria" w:hAnsi="Cambria"/>
          <w:sz w:val="24"/>
          <w:szCs w:val="24"/>
          <w:lang w:val="en-GB"/>
        </w:rPr>
        <w:t xml:space="preserve">is mentioned on the web page of the company </w:t>
      </w:r>
      <w:hyperlink r:id="rId53" w:history="1">
        <w:r w:rsidRPr="00322BD0">
          <w:rPr>
            <w:rStyle w:val="Hyperlink"/>
            <w:rFonts w:ascii="Cambria" w:hAnsi="Cambria"/>
            <w:color w:val="auto"/>
            <w:sz w:val="24"/>
            <w:szCs w:val="24"/>
            <w:lang w:val="en-GB"/>
          </w:rPr>
          <w:t>www.transgaz.ro</w:t>
        </w:r>
      </w:hyperlink>
    </w:p>
    <w:p w:rsidR="00620146" w:rsidRPr="00322BD0" w:rsidRDefault="00620146" w:rsidP="00686C20">
      <w:pPr>
        <w:spacing w:after="0" w:line="240" w:lineRule="auto"/>
        <w:ind w:firstLine="0"/>
        <w:jc w:val="both"/>
        <w:rPr>
          <w:rFonts w:ascii="Cambria" w:hAnsi="Cambria"/>
          <w:sz w:val="24"/>
          <w:szCs w:val="24"/>
          <w:lang w:val="en-GB"/>
        </w:rPr>
      </w:pPr>
    </w:p>
    <w:p w:rsidR="002A6C02" w:rsidRPr="00322BD0" w:rsidRDefault="00D017E2" w:rsidP="002A6C02">
      <w:pPr>
        <w:spacing w:after="0" w:line="240" w:lineRule="auto"/>
        <w:ind w:firstLine="0"/>
        <w:rPr>
          <w:rFonts w:ascii="Cambria" w:hAnsi="Cambria"/>
          <w:sz w:val="24"/>
          <w:szCs w:val="24"/>
          <w:lang w:val="en-GB"/>
        </w:rPr>
      </w:pPr>
      <w:r w:rsidRPr="00322BD0">
        <w:rPr>
          <w:rFonts w:ascii="Cambria" w:eastAsia="Times New Roman" w:hAnsi="Cambria" w:cs="Times New Roman"/>
          <w:sz w:val="24"/>
          <w:szCs w:val="24"/>
          <w:lang w:val="en-GB" w:eastAsia="en-US"/>
        </w:rPr>
        <w:t xml:space="preserve">Total number of calls received in </w:t>
      </w:r>
      <w:r w:rsidR="000665AD">
        <w:rPr>
          <w:rFonts w:ascii="Cambria" w:eastAsia="Times New Roman" w:hAnsi="Cambria" w:cs="Times New Roman"/>
          <w:sz w:val="24"/>
          <w:szCs w:val="24"/>
          <w:lang w:val="en-GB" w:eastAsia="en-US"/>
        </w:rPr>
        <w:t xml:space="preserve">9 months </w:t>
      </w:r>
      <w:r w:rsidR="002A6C02" w:rsidRPr="00322BD0">
        <w:rPr>
          <w:rFonts w:ascii="Cambria" w:eastAsia="Times New Roman" w:hAnsi="Cambria" w:cs="Times New Roman"/>
          <w:b/>
          <w:sz w:val="24"/>
          <w:szCs w:val="24"/>
          <w:lang w:val="en-GB" w:eastAsia="en-US"/>
        </w:rPr>
        <w:t>201</w:t>
      </w:r>
      <w:r w:rsidR="000665AD">
        <w:rPr>
          <w:rFonts w:ascii="Cambria" w:eastAsia="Times New Roman" w:hAnsi="Cambria" w:cs="Times New Roman"/>
          <w:b/>
          <w:sz w:val="24"/>
          <w:szCs w:val="24"/>
          <w:lang w:val="en-GB" w:eastAsia="en-US"/>
        </w:rPr>
        <w:t>6</w:t>
      </w:r>
      <w:r w:rsidR="002A6C02" w:rsidRPr="00322BD0">
        <w:rPr>
          <w:rFonts w:ascii="Cambria" w:eastAsia="Times New Roman" w:hAnsi="Cambria" w:cs="Times New Roman"/>
          <w:sz w:val="24"/>
          <w:szCs w:val="24"/>
          <w:lang w:val="en-GB" w:eastAsia="en-US"/>
        </w:rPr>
        <w:t xml:space="preserve"> -</w:t>
      </w:r>
      <w:r w:rsidR="000665AD">
        <w:rPr>
          <w:rFonts w:ascii="Cambria" w:eastAsia="Times New Roman" w:hAnsi="Cambria" w:cs="Times New Roman"/>
          <w:sz w:val="24"/>
          <w:szCs w:val="24"/>
          <w:lang w:val="en-GB" w:eastAsia="en-US"/>
        </w:rPr>
        <w:t>105</w:t>
      </w:r>
      <w:r w:rsidRPr="00322BD0">
        <w:rPr>
          <w:rFonts w:ascii="Cambria" w:eastAsia="Times New Roman" w:hAnsi="Cambria" w:cs="Times New Roman"/>
          <w:sz w:val="24"/>
          <w:szCs w:val="24"/>
          <w:lang w:val="en-GB" w:eastAsia="en-US"/>
        </w:rPr>
        <w:t xml:space="preserve"> calls</w:t>
      </w:r>
    </w:p>
    <w:p w:rsidR="002209A7" w:rsidRPr="00322BD0" w:rsidRDefault="002209A7" w:rsidP="002A6C02">
      <w:pPr>
        <w:spacing w:after="0" w:line="240" w:lineRule="auto"/>
        <w:ind w:firstLine="0"/>
        <w:rPr>
          <w:rFonts w:ascii="Cambria" w:eastAsia="Times New Roman" w:hAnsi="Cambria" w:cs="Times New Roman"/>
          <w:sz w:val="24"/>
          <w:szCs w:val="24"/>
          <w:lang w:val="en-GB" w:eastAsia="en-US"/>
        </w:rPr>
      </w:pPr>
    </w:p>
    <w:p w:rsidR="002A6C02" w:rsidRPr="00322BD0" w:rsidRDefault="00D017E2" w:rsidP="002A6C02">
      <w:pPr>
        <w:spacing w:after="0" w:line="240" w:lineRule="auto"/>
        <w:ind w:firstLine="0"/>
        <w:rPr>
          <w:rFonts w:ascii="Cambria" w:hAnsi="Cambria"/>
          <w:sz w:val="24"/>
          <w:szCs w:val="24"/>
          <w:lang w:val="en-GB"/>
        </w:rPr>
      </w:pPr>
      <w:r w:rsidRPr="00322BD0">
        <w:rPr>
          <w:rFonts w:ascii="Cambria" w:eastAsia="Times New Roman" w:hAnsi="Cambria" w:cs="Times New Roman"/>
          <w:sz w:val="24"/>
          <w:szCs w:val="24"/>
          <w:lang w:val="en-GB" w:eastAsia="en-US"/>
        </w:rPr>
        <w:t>Content of the calls</w:t>
      </w:r>
      <w:r w:rsidR="002A6C02" w:rsidRPr="00322BD0">
        <w:rPr>
          <w:rFonts w:ascii="Cambria" w:eastAsia="Times New Roman" w:hAnsi="Cambria" w:cs="Times New Roman"/>
          <w:sz w:val="24"/>
          <w:szCs w:val="24"/>
          <w:lang w:val="en-GB" w:eastAsia="en-US"/>
        </w:rPr>
        <w:t>:</w:t>
      </w:r>
    </w:p>
    <w:p w:rsidR="000665AD" w:rsidRPr="00D55296" w:rsidRDefault="00D55296" w:rsidP="00D55296">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 xml:space="preserve">Request for information on the method to obtain the opinions for the construction permits - </w:t>
      </w:r>
      <w:r w:rsidR="00B44CE1" w:rsidRPr="00D55296">
        <w:rPr>
          <w:rFonts w:asciiTheme="majorHAnsi" w:eastAsia="Times New Roman" w:hAnsiTheme="majorHAnsi" w:cs="Times New Roman"/>
          <w:sz w:val="24"/>
          <w:szCs w:val="24"/>
          <w:lang w:val="it-IT" w:eastAsia="en-US"/>
        </w:rPr>
        <w:t>35 calls;</w:t>
      </w:r>
    </w:p>
    <w:p w:rsidR="00B44CE1" w:rsidRPr="00B44CE1" w:rsidRDefault="00D55296" w:rsidP="00B44CE1">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 xml:space="preserve">Request for the phone number of </w:t>
      </w:r>
      <w:r w:rsidR="00B44CE1" w:rsidRPr="00945A8E">
        <w:rPr>
          <w:rFonts w:asciiTheme="majorHAnsi" w:eastAsia="Times New Roman" w:hAnsiTheme="majorHAnsi" w:cs="Times New Roman"/>
          <w:sz w:val="24"/>
          <w:szCs w:val="24"/>
          <w:lang w:val="it-IT" w:eastAsia="en-US"/>
        </w:rPr>
        <w:t xml:space="preserve">E-ON Gaz Mediaș/GDF SUEZ  - </w:t>
      </w:r>
      <w:r w:rsidR="00B44CE1">
        <w:rPr>
          <w:rFonts w:asciiTheme="majorHAnsi" w:eastAsia="Times New Roman" w:hAnsiTheme="majorHAnsi" w:cs="Times New Roman"/>
          <w:sz w:val="24"/>
          <w:szCs w:val="24"/>
          <w:lang w:val="it-IT" w:eastAsia="en-US"/>
        </w:rPr>
        <w:t>7 calls;</w:t>
      </w:r>
      <w:r w:rsidR="00B44CE1" w:rsidRPr="00945A8E">
        <w:rPr>
          <w:rFonts w:asciiTheme="majorHAnsi" w:eastAsia="Times New Roman" w:hAnsiTheme="majorHAnsi" w:cs="Times New Roman"/>
          <w:sz w:val="24"/>
          <w:szCs w:val="24"/>
          <w:lang w:val="it-IT" w:eastAsia="en-US"/>
        </w:rPr>
        <w:t xml:space="preserve"> </w:t>
      </w:r>
    </w:p>
    <w:p w:rsidR="00B44CE1" w:rsidRPr="00A311D2" w:rsidRDefault="00D55296" w:rsidP="00A311D2">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 xml:space="preserve">Request for information </w:t>
      </w:r>
      <w:r w:rsidR="00A311D2">
        <w:rPr>
          <w:rFonts w:asciiTheme="majorHAnsi" w:eastAsia="Times New Roman" w:hAnsiTheme="majorHAnsi" w:cs="Times New Roman"/>
          <w:sz w:val="24"/>
          <w:szCs w:val="24"/>
          <w:lang w:val="it-IT" w:eastAsia="en-US"/>
        </w:rPr>
        <w:t xml:space="preserve">connection to the gas transmission system </w:t>
      </w:r>
      <w:r w:rsidR="00B44CE1" w:rsidRPr="00A311D2">
        <w:rPr>
          <w:rFonts w:asciiTheme="majorHAnsi" w:eastAsia="Times New Roman" w:hAnsiTheme="majorHAnsi" w:cs="Times New Roman"/>
          <w:sz w:val="24"/>
          <w:szCs w:val="24"/>
          <w:lang w:val="it-IT" w:eastAsia="en-US"/>
        </w:rPr>
        <w:t xml:space="preserve">– 11 calls; </w:t>
      </w:r>
    </w:p>
    <w:p w:rsidR="00B44CE1" w:rsidRPr="00945A8E" w:rsidRDefault="00A311D2" w:rsidP="00B44CE1">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 xml:space="preserve">Request for information related to the route of a gas transmission pipeline on a private property </w:t>
      </w:r>
      <w:r w:rsidR="00B44CE1" w:rsidRPr="00945A8E">
        <w:rPr>
          <w:rFonts w:asciiTheme="majorHAnsi" w:eastAsia="Times New Roman" w:hAnsiTheme="majorHAnsi" w:cs="Times New Roman"/>
          <w:sz w:val="24"/>
          <w:szCs w:val="24"/>
          <w:lang w:val="it-IT" w:eastAsia="en-US"/>
        </w:rPr>
        <w:t xml:space="preserve">– </w:t>
      </w:r>
      <w:r w:rsidR="00B44CE1">
        <w:rPr>
          <w:rFonts w:asciiTheme="majorHAnsi" w:eastAsia="Times New Roman" w:hAnsiTheme="majorHAnsi" w:cs="Times New Roman"/>
          <w:sz w:val="24"/>
          <w:szCs w:val="24"/>
          <w:lang w:val="it-IT" w:eastAsia="en-US"/>
        </w:rPr>
        <w:t>11 calls;</w:t>
      </w:r>
      <w:r w:rsidR="00B44CE1" w:rsidRPr="00945A8E">
        <w:rPr>
          <w:rFonts w:asciiTheme="majorHAnsi" w:eastAsia="Times New Roman" w:hAnsiTheme="majorHAnsi" w:cs="Times New Roman"/>
          <w:sz w:val="24"/>
          <w:szCs w:val="24"/>
          <w:lang w:val="it-IT" w:eastAsia="en-US"/>
        </w:rPr>
        <w:t xml:space="preserve"> </w:t>
      </w:r>
    </w:p>
    <w:p w:rsidR="00B44CE1" w:rsidRPr="00945A8E" w:rsidRDefault="00A311D2" w:rsidP="00B44CE1">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By mistake</w:t>
      </w:r>
      <w:r w:rsidRPr="00945A8E">
        <w:rPr>
          <w:rFonts w:asciiTheme="majorHAnsi" w:eastAsia="Times New Roman" w:hAnsiTheme="majorHAnsi" w:cs="Times New Roman"/>
          <w:sz w:val="24"/>
          <w:szCs w:val="24"/>
          <w:lang w:val="it-IT" w:eastAsia="en-US"/>
        </w:rPr>
        <w:t xml:space="preserve"> </w:t>
      </w:r>
      <w:r w:rsidR="00B44CE1" w:rsidRPr="00945A8E">
        <w:rPr>
          <w:rFonts w:asciiTheme="majorHAnsi" w:eastAsia="Times New Roman" w:hAnsiTheme="majorHAnsi" w:cs="Times New Roman"/>
          <w:sz w:val="24"/>
          <w:szCs w:val="24"/>
          <w:lang w:val="it-IT" w:eastAsia="en-US"/>
        </w:rPr>
        <w:t xml:space="preserve">– </w:t>
      </w:r>
      <w:r w:rsidR="00B44CE1">
        <w:rPr>
          <w:rFonts w:asciiTheme="majorHAnsi" w:eastAsia="Times New Roman" w:hAnsiTheme="majorHAnsi" w:cs="Times New Roman"/>
          <w:sz w:val="24"/>
          <w:szCs w:val="24"/>
          <w:lang w:val="it-IT" w:eastAsia="en-US"/>
        </w:rPr>
        <w:t>1</w:t>
      </w:r>
      <w:r w:rsidR="00B44CE1" w:rsidRPr="00945A8E">
        <w:rPr>
          <w:rFonts w:asciiTheme="majorHAnsi" w:eastAsia="Times New Roman" w:hAnsiTheme="majorHAnsi" w:cs="Times New Roman"/>
          <w:sz w:val="24"/>
          <w:szCs w:val="24"/>
          <w:lang w:val="it-IT" w:eastAsia="en-US"/>
        </w:rPr>
        <w:t xml:space="preserve"> </w:t>
      </w:r>
      <w:r w:rsidR="00B44CE1">
        <w:rPr>
          <w:rFonts w:asciiTheme="majorHAnsi" w:eastAsia="Times New Roman" w:hAnsiTheme="majorHAnsi" w:cs="Times New Roman"/>
          <w:sz w:val="24"/>
          <w:szCs w:val="24"/>
          <w:lang w:val="it-IT" w:eastAsia="en-US"/>
        </w:rPr>
        <w:t>call;</w:t>
      </w:r>
    </w:p>
    <w:p w:rsidR="00B44CE1" w:rsidRPr="00945A8E" w:rsidRDefault="00A311D2" w:rsidP="00B44CE1">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Notification of an event - 1 call</w:t>
      </w:r>
      <w:r w:rsidR="00B44CE1">
        <w:rPr>
          <w:rFonts w:asciiTheme="majorHAnsi" w:eastAsia="Times New Roman" w:hAnsiTheme="majorHAnsi" w:cs="Times New Roman"/>
          <w:sz w:val="24"/>
          <w:szCs w:val="24"/>
          <w:lang w:val="it-IT" w:eastAsia="en-US"/>
        </w:rPr>
        <w:t>;</w:t>
      </w:r>
    </w:p>
    <w:p w:rsidR="00A311D2" w:rsidRDefault="00A311D2" w:rsidP="00A311D2">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Theme="majorHAnsi" w:eastAsia="Times New Roman" w:hAnsiTheme="majorHAnsi" w:cs="Times New Roman"/>
          <w:sz w:val="24"/>
          <w:szCs w:val="24"/>
          <w:lang w:val="it-IT" w:eastAsia="en-US"/>
        </w:rPr>
        <w:t xml:space="preserve">Resuming the supply </w:t>
      </w:r>
      <w:r w:rsidR="00B44CE1" w:rsidRPr="00945A8E">
        <w:rPr>
          <w:rFonts w:asciiTheme="majorHAnsi" w:eastAsia="Times New Roman" w:hAnsiTheme="majorHAnsi" w:cs="Times New Roman"/>
          <w:sz w:val="24"/>
          <w:szCs w:val="24"/>
          <w:lang w:val="it-IT" w:eastAsia="en-US"/>
        </w:rPr>
        <w:t xml:space="preserve">– </w:t>
      </w:r>
      <w:r w:rsidR="00B44CE1">
        <w:rPr>
          <w:rFonts w:asciiTheme="majorHAnsi" w:eastAsia="Times New Roman" w:hAnsiTheme="majorHAnsi" w:cs="Times New Roman"/>
          <w:sz w:val="24"/>
          <w:szCs w:val="24"/>
          <w:lang w:val="it-IT" w:eastAsia="en-US"/>
        </w:rPr>
        <w:t>9</w:t>
      </w:r>
      <w:r w:rsidR="00B44CE1" w:rsidRPr="00945A8E">
        <w:rPr>
          <w:rFonts w:asciiTheme="majorHAnsi" w:eastAsia="Times New Roman" w:hAnsiTheme="majorHAnsi" w:cs="Times New Roman"/>
          <w:sz w:val="24"/>
          <w:szCs w:val="24"/>
          <w:lang w:val="it-IT" w:eastAsia="en-US"/>
        </w:rPr>
        <w:t xml:space="preserve"> </w:t>
      </w:r>
      <w:r>
        <w:rPr>
          <w:rFonts w:asciiTheme="majorHAnsi" w:eastAsia="Times New Roman" w:hAnsiTheme="majorHAnsi" w:cs="Times New Roman"/>
          <w:sz w:val="24"/>
          <w:szCs w:val="24"/>
          <w:lang w:val="it-IT" w:eastAsia="en-US"/>
        </w:rPr>
        <w:t>call</w:t>
      </w:r>
      <w:r w:rsidR="00B44CE1">
        <w:rPr>
          <w:rFonts w:asciiTheme="majorHAnsi" w:eastAsia="Times New Roman" w:hAnsiTheme="majorHAnsi" w:cs="Times New Roman"/>
          <w:sz w:val="24"/>
          <w:szCs w:val="24"/>
          <w:lang w:val="it-IT" w:eastAsia="en-US"/>
        </w:rPr>
        <w:t>s;</w:t>
      </w:r>
    </w:p>
    <w:p w:rsidR="002A6C02" w:rsidRPr="00A311D2" w:rsidRDefault="00A311D2" w:rsidP="00A311D2">
      <w:pPr>
        <w:numPr>
          <w:ilvl w:val="0"/>
          <w:numId w:val="3"/>
        </w:numPr>
        <w:tabs>
          <w:tab w:val="clear" w:pos="450"/>
          <w:tab w:val="num" w:pos="720"/>
          <w:tab w:val="num" w:pos="1800"/>
        </w:tabs>
        <w:spacing w:after="0" w:line="240" w:lineRule="auto"/>
        <w:ind w:left="714" w:hanging="357"/>
        <w:jc w:val="both"/>
        <w:rPr>
          <w:rFonts w:asciiTheme="majorHAnsi" w:eastAsia="Times New Roman" w:hAnsiTheme="majorHAnsi" w:cs="Times New Roman"/>
          <w:sz w:val="24"/>
          <w:szCs w:val="24"/>
          <w:lang w:val="it-IT" w:eastAsia="en-US"/>
        </w:rPr>
      </w:pPr>
      <w:r>
        <w:rPr>
          <w:rFonts w:ascii="Cambria" w:eastAsia="Times New Roman" w:hAnsi="Cambria" w:cs="Times New Roman"/>
          <w:sz w:val="24"/>
          <w:szCs w:val="24"/>
          <w:lang w:val="en-GB" w:eastAsia="en-US"/>
        </w:rPr>
        <w:t>O</w:t>
      </w:r>
      <w:r w:rsidR="00B44CE1" w:rsidRPr="00A311D2">
        <w:rPr>
          <w:rFonts w:ascii="Cambria" w:eastAsia="Times New Roman" w:hAnsi="Cambria" w:cs="Times New Roman"/>
          <w:sz w:val="24"/>
          <w:szCs w:val="24"/>
          <w:lang w:val="en-GB" w:eastAsia="en-US"/>
        </w:rPr>
        <w:t>ther issues – 26</w:t>
      </w:r>
      <w:r w:rsidR="002209A7" w:rsidRPr="00A311D2">
        <w:rPr>
          <w:rFonts w:ascii="Cambria" w:eastAsia="Times New Roman" w:hAnsi="Cambria" w:cs="Times New Roman"/>
          <w:sz w:val="24"/>
          <w:szCs w:val="24"/>
          <w:lang w:val="en-GB" w:eastAsia="en-US"/>
        </w:rPr>
        <w:t xml:space="preserve"> calls.</w:t>
      </w:r>
      <w:r w:rsidR="002A6C02" w:rsidRPr="00A311D2">
        <w:rPr>
          <w:rFonts w:ascii="Cambria" w:eastAsia="Times New Roman" w:hAnsi="Cambria" w:cs="Times New Roman"/>
          <w:sz w:val="24"/>
          <w:szCs w:val="24"/>
          <w:lang w:val="en-GB" w:eastAsia="en-US"/>
        </w:rPr>
        <w:t xml:space="preserve"> </w:t>
      </w:r>
    </w:p>
    <w:p w:rsidR="006E4013" w:rsidRPr="00322BD0" w:rsidRDefault="006E4013" w:rsidP="002A6C02">
      <w:pPr>
        <w:spacing w:after="0" w:line="240" w:lineRule="auto"/>
        <w:ind w:firstLine="0"/>
        <w:jc w:val="both"/>
        <w:rPr>
          <w:rFonts w:ascii="Cambria" w:eastAsia="Times New Roman" w:hAnsi="Cambria" w:cs="Times New Roman"/>
          <w:sz w:val="24"/>
          <w:szCs w:val="24"/>
          <w:lang w:val="en-GB" w:eastAsia="en-US"/>
        </w:rPr>
      </w:pPr>
    </w:p>
    <w:p w:rsidR="00D017E2" w:rsidRPr="00322BD0" w:rsidRDefault="00D017E2" w:rsidP="002A6C02">
      <w:pPr>
        <w:spacing w:after="0" w:line="240" w:lineRule="auto"/>
        <w:ind w:firstLine="0"/>
        <w:jc w:val="both"/>
        <w:rPr>
          <w:rFonts w:ascii="Cambria" w:eastAsia="Times New Roman" w:hAnsi="Cambria" w:cs="Times New Roman"/>
          <w:sz w:val="24"/>
          <w:szCs w:val="24"/>
          <w:lang w:val="en-GB" w:eastAsia="en-US"/>
        </w:rPr>
      </w:pPr>
      <w:r w:rsidRPr="00322BD0">
        <w:rPr>
          <w:rFonts w:ascii="Cambria" w:eastAsia="Times New Roman" w:hAnsi="Cambria" w:cs="Times New Roman"/>
          <w:sz w:val="24"/>
          <w:szCs w:val="24"/>
          <w:lang w:val="en-GB" w:eastAsia="en-US"/>
        </w:rPr>
        <w:t xml:space="preserve">The reported issues solving – </w:t>
      </w:r>
      <w:r w:rsidR="00A311D2">
        <w:rPr>
          <w:rFonts w:ascii="Cambria" w:eastAsia="Times New Roman" w:hAnsi="Cambria" w:cs="Times New Roman"/>
          <w:sz w:val="24"/>
          <w:szCs w:val="24"/>
          <w:lang w:val="en-GB" w:eastAsia="en-US"/>
        </w:rPr>
        <w:t xml:space="preserve">all the calls were effectively </w:t>
      </w:r>
      <w:r w:rsidRPr="00322BD0">
        <w:rPr>
          <w:rFonts w:ascii="Cambria" w:eastAsia="Times New Roman" w:hAnsi="Cambria" w:cs="Times New Roman"/>
          <w:sz w:val="24"/>
          <w:szCs w:val="24"/>
          <w:lang w:val="en-GB" w:eastAsia="en-US"/>
        </w:rPr>
        <w:t xml:space="preserve">addressed. </w:t>
      </w:r>
    </w:p>
    <w:p w:rsidR="00596C82" w:rsidRPr="00322BD0" w:rsidRDefault="00596C82" w:rsidP="00B3276C">
      <w:pPr>
        <w:spacing w:after="0" w:line="240" w:lineRule="auto"/>
        <w:ind w:firstLine="0"/>
        <w:jc w:val="both"/>
        <w:rPr>
          <w:rFonts w:ascii="Cambria" w:eastAsia="Times New Roman" w:hAnsi="Cambria" w:cs="Times New Roman"/>
          <w:b/>
          <w:sz w:val="24"/>
          <w:szCs w:val="24"/>
          <w:lang w:val="en-GB" w:eastAsia="ro-RO"/>
        </w:rPr>
      </w:pPr>
    </w:p>
    <w:p w:rsidR="00704379" w:rsidRPr="00322BD0" w:rsidRDefault="00D017E2" w:rsidP="00B3276C">
      <w:pPr>
        <w:spacing w:after="0" w:line="240" w:lineRule="auto"/>
        <w:ind w:firstLine="0"/>
        <w:jc w:val="both"/>
        <w:rPr>
          <w:rFonts w:ascii="Cambria" w:eastAsia="Times New Roman" w:hAnsi="Cambria" w:cs="Times New Roman"/>
          <w:b/>
          <w:sz w:val="24"/>
          <w:szCs w:val="24"/>
          <w:lang w:val="en-GB" w:eastAsia="ro-RO"/>
        </w:rPr>
      </w:pPr>
      <w:r w:rsidRPr="00322BD0">
        <w:rPr>
          <w:rFonts w:ascii="Cambria" w:eastAsia="Times New Roman" w:hAnsi="Cambria" w:cs="Times New Roman"/>
          <w:b/>
          <w:sz w:val="24"/>
          <w:szCs w:val="24"/>
          <w:lang w:val="en-GB" w:eastAsia="ro-RO"/>
        </w:rPr>
        <w:t xml:space="preserve">Other performance indicators </w:t>
      </w:r>
    </w:p>
    <w:p w:rsidR="00704379" w:rsidRPr="00322BD0" w:rsidRDefault="00704379" w:rsidP="00704379">
      <w:pPr>
        <w:pStyle w:val="ListParagraph"/>
        <w:spacing w:after="0" w:line="240" w:lineRule="auto"/>
        <w:ind w:left="360" w:firstLine="0"/>
        <w:jc w:val="both"/>
        <w:rPr>
          <w:rFonts w:ascii="Cambria" w:eastAsia="Times New Roman" w:hAnsi="Cambria" w:cs="Times New Roman"/>
          <w:b/>
          <w:sz w:val="24"/>
          <w:szCs w:val="24"/>
          <w:lang w:val="en-GB" w:eastAsia="ro-RO"/>
        </w:rPr>
      </w:pPr>
    </w:p>
    <w:p w:rsidR="002A6C02" w:rsidRPr="00C64DB9" w:rsidRDefault="00D017E2" w:rsidP="00C64DB9">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Times New Roman"/>
          <w:sz w:val="24"/>
          <w:szCs w:val="24"/>
          <w:lang w:val="en-GB" w:eastAsia="ro-RO"/>
        </w:rPr>
        <w:t>In 201</w:t>
      </w:r>
      <w:r w:rsidR="00B44CE1">
        <w:rPr>
          <w:rFonts w:ascii="Cambria" w:eastAsia="Times New Roman" w:hAnsi="Cambria" w:cs="Times New Roman"/>
          <w:sz w:val="24"/>
          <w:szCs w:val="24"/>
          <w:lang w:val="en-GB" w:eastAsia="ro-RO"/>
        </w:rPr>
        <w:t>6</w:t>
      </w:r>
      <w:r w:rsidRPr="00322BD0">
        <w:rPr>
          <w:rFonts w:ascii="Cambria" w:eastAsia="Times New Roman" w:hAnsi="Cambria" w:cs="Times New Roman"/>
          <w:sz w:val="24"/>
          <w:szCs w:val="24"/>
          <w:lang w:val="en-GB" w:eastAsia="ro-RO"/>
        </w:rPr>
        <w:t xml:space="preserve">, </w:t>
      </w:r>
      <w:r w:rsidRPr="00322BD0">
        <w:rPr>
          <w:rFonts w:ascii="Cambria" w:eastAsia="Times New Roman" w:hAnsi="Cambria" w:cs="Cambria"/>
          <w:sz w:val="24"/>
          <w:szCs w:val="24"/>
          <w:lang w:val="en-GB"/>
        </w:rPr>
        <w:t>the company's management has undertaken a number of technical organizational and economic measures that allowed optimization of both the image and reputation capital of the company in relation to stakeholders and development of a more efficient, more accountable and more transparent organizational climate in terms of activity and management of employed resources, consistent with the requirements of European and national regulations on natural gas transmission.</w:t>
      </w:r>
    </w:p>
    <w:p w:rsidR="00D017E2" w:rsidRPr="00C64DB9" w:rsidRDefault="009E5DDB" w:rsidP="00C64DB9">
      <w:pPr>
        <w:pStyle w:val="Heading1"/>
        <w:rPr>
          <w:rFonts w:eastAsia="Times New Roman" w:cs="Times New Roman"/>
          <w:i w:val="0"/>
          <w:sz w:val="28"/>
          <w:szCs w:val="28"/>
          <w:lang w:val="en-GB"/>
        </w:rPr>
      </w:pPr>
      <w:bookmarkStart w:id="20" w:name="_Toc446310816"/>
      <w:r w:rsidRPr="00322BD0">
        <w:rPr>
          <w:rFonts w:eastAsia="Times New Roman"/>
          <w:i w:val="0"/>
          <w:lang w:val="en-GB"/>
        </w:rPr>
        <w:lastRenderedPageBreak/>
        <w:t xml:space="preserve">3. </w:t>
      </w:r>
      <w:r w:rsidR="00D017E2" w:rsidRPr="00322BD0">
        <w:rPr>
          <w:rFonts w:eastAsia="Times New Roman"/>
          <w:i w:val="0"/>
          <w:lang w:val="en-GB"/>
        </w:rPr>
        <w:t>ANALYSIS OF THE COMPANY’S ACTIVITY</w:t>
      </w:r>
      <w:bookmarkEnd w:id="20"/>
    </w:p>
    <w:p w:rsidR="00D017E2" w:rsidRPr="00322BD0" w:rsidRDefault="00D017E2" w:rsidP="009E5DDB">
      <w:pPr>
        <w:pStyle w:val="Heading2"/>
        <w:rPr>
          <w:rFonts w:eastAsia="Times New Roman" w:cs="Times New Roman"/>
          <w:i w:val="0"/>
          <w:lang w:val="en-GB"/>
        </w:rPr>
      </w:pPr>
      <w:bookmarkStart w:id="21" w:name="_Toc395182425"/>
      <w:bookmarkStart w:id="22" w:name="_Toc446310817"/>
      <w:r w:rsidRPr="00322BD0">
        <w:rPr>
          <w:rFonts w:eastAsia="Times New Roman" w:cs="Times New Roman"/>
          <w:i w:val="0"/>
          <w:lang w:val="en-GB"/>
        </w:rPr>
        <w:t xml:space="preserve">3.1 </w:t>
      </w:r>
      <w:bookmarkEnd w:id="21"/>
      <w:r w:rsidRPr="00322BD0">
        <w:rPr>
          <w:rFonts w:eastAsia="Times New Roman"/>
          <w:i w:val="0"/>
          <w:lang w:val="en-GB"/>
        </w:rPr>
        <w:t>Analysis of the operational activity</w:t>
      </w:r>
      <w:bookmarkEnd w:id="22"/>
    </w:p>
    <w:p w:rsidR="00D017E2" w:rsidRPr="00322BD0" w:rsidRDefault="00D017E2" w:rsidP="00B56068">
      <w:pPr>
        <w:pStyle w:val="Heading3"/>
        <w:rPr>
          <w:rFonts w:eastAsia="Times New Roman" w:cs="Times New Roman"/>
          <w:lang w:val="en-GB"/>
        </w:rPr>
      </w:pPr>
      <w:bookmarkStart w:id="23" w:name="_Toc395182426"/>
      <w:bookmarkStart w:id="24" w:name="_Toc446310818"/>
      <w:r w:rsidRPr="00322BD0">
        <w:rPr>
          <w:rFonts w:eastAsia="Times New Roman" w:cs="Times New Roman"/>
          <w:lang w:val="en-GB"/>
        </w:rPr>
        <w:t xml:space="preserve">3.1.1 </w:t>
      </w:r>
      <w:bookmarkEnd w:id="23"/>
      <w:r w:rsidRPr="00322BD0">
        <w:rPr>
          <w:rFonts w:eastAsia="Times New Roman"/>
          <w:lang w:val="en-GB"/>
        </w:rPr>
        <w:t>Regulatory framework</w:t>
      </w:r>
      <w:bookmarkEnd w:id="24"/>
    </w:p>
    <w:p w:rsidR="00FD66D3" w:rsidRPr="00322BD0" w:rsidRDefault="00FD66D3" w:rsidP="00FD66D3">
      <w:pPr>
        <w:spacing w:after="0" w:line="240" w:lineRule="auto"/>
        <w:ind w:firstLine="0"/>
        <w:jc w:val="both"/>
        <w:rPr>
          <w:rFonts w:ascii="Cambria" w:eastAsia="Times New Roman" w:hAnsi="Cambria" w:cs="Times New Roman"/>
          <w:sz w:val="24"/>
          <w:szCs w:val="24"/>
          <w:lang w:val="en-GB" w:eastAsia="ro-RO"/>
        </w:rPr>
      </w:pPr>
    </w:p>
    <w:p w:rsidR="004E652B" w:rsidRPr="00322BD0" w:rsidRDefault="00D017E2" w:rsidP="00D017E2">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 xml:space="preserve">The main object of activity of Transgaz - </w:t>
      </w:r>
      <w:r w:rsidRPr="00322BD0">
        <w:rPr>
          <w:rFonts w:ascii="Cambria" w:eastAsia="Times New Roman" w:hAnsi="Cambria" w:cs="Cambria"/>
          <w:b/>
          <w:bCs/>
          <w:sz w:val="24"/>
          <w:szCs w:val="24"/>
          <w:lang w:val="en-GB"/>
        </w:rPr>
        <w:t>NACE Code 4950 –</w:t>
      </w:r>
      <w:r w:rsidRPr="00322BD0">
        <w:rPr>
          <w:rFonts w:ascii="Cambria" w:eastAsia="Times New Roman" w:hAnsi="Cambria" w:cs="Cambria"/>
          <w:b/>
          <w:bCs/>
          <w:i/>
          <w:iCs/>
          <w:sz w:val="24"/>
          <w:szCs w:val="24"/>
          <w:lang w:val="en-GB"/>
        </w:rPr>
        <w:t>Transport via pipeline</w:t>
      </w:r>
      <w:r w:rsidRPr="00322BD0">
        <w:rPr>
          <w:rFonts w:ascii="Cambria" w:eastAsia="Times New Roman" w:hAnsi="Cambria" w:cs="Cambria"/>
          <w:i/>
          <w:iCs/>
          <w:sz w:val="24"/>
          <w:szCs w:val="24"/>
          <w:lang w:val="en-GB"/>
        </w:rPr>
        <w:t xml:space="preserve"> </w:t>
      </w:r>
      <w:r w:rsidRPr="00322BD0">
        <w:rPr>
          <w:rFonts w:ascii="Cambria" w:eastAsia="Times New Roman" w:hAnsi="Cambria" w:cs="Cambria"/>
          <w:sz w:val="24"/>
          <w:szCs w:val="24"/>
          <w:lang w:val="en-GB"/>
        </w:rPr>
        <w:t>– is defined by law as the activity organized for the circulation of natural gas through the National Natural Gas Transmission System (NTS) or through other transmission systems</w:t>
      </w:r>
      <w:r w:rsidRPr="00322BD0">
        <w:rPr>
          <w:rFonts w:ascii="Cambria" w:eastAsia="Times New Roman" w:hAnsi="Cambria" w:cs="Times New Roman"/>
          <w:sz w:val="24"/>
          <w:szCs w:val="24"/>
          <w:lang w:val="en-GB" w:eastAsia="ro-RO"/>
        </w:rPr>
        <w:t xml:space="preserve">. </w:t>
      </w:r>
    </w:p>
    <w:p w:rsidR="004E652B" w:rsidRPr="00322BD0" w:rsidRDefault="004E652B" w:rsidP="00D017E2">
      <w:pPr>
        <w:spacing w:after="0" w:line="240" w:lineRule="auto"/>
        <w:ind w:firstLine="0"/>
        <w:jc w:val="both"/>
        <w:rPr>
          <w:rFonts w:ascii="Cambria" w:eastAsia="Times New Roman" w:hAnsi="Cambria" w:cs="Times New Roman"/>
          <w:sz w:val="24"/>
          <w:szCs w:val="24"/>
          <w:lang w:val="en-GB" w:eastAsia="ro-RO"/>
        </w:rPr>
      </w:pPr>
    </w:p>
    <w:p w:rsidR="00D017E2" w:rsidRPr="00322BD0" w:rsidRDefault="00D017E2" w:rsidP="00D017E2">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 xml:space="preserve">In addition, Transgaz also carries out related/secondary activities supporting its main object of activity, according to the legislation in force and the </w:t>
      </w:r>
      <w:r w:rsidR="004E652B" w:rsidRPr="00322BD0">
        <w:rPr>
          <w:rFonts w:ascii="Cambria" w:eastAsia="Times New Roman" w:hAnsi="Cambria" w:cs="Cambria"/>
          <w:sz w:val="24"/>
          <w:szCs w:val="24"/>
          <w:lang w:val="en-GB"/>
        </w:rPr>
        <w:t>C</w:t>
      </w:r>
      <w:r w:rsidRPr="00322BD0">
        <w:rPr>
          <w:rFonts w:ascii="Cambria" w:eastAsia="Times New Roman" w:hAnsi="Cambria" w:cs="Cambria"/>
          <w:sz w:val="24"/>
          <w:szCs w:val="24"/>
          <w:lang w:val="en-GB"/>
        </w:rPr>
        <w:t>ompany’s updated Articles of Incorporation</w:t>
      </w:r>
      <w:r w:rsidRPr="00322BD0">
        <w:rPr>
          <w:rFonts w:ascii="Cambria" w:eastAsia="Times New Roman" w:hAnsi="Cambria" w:cs="Times New Roman"/>
          <w:sz w:val="24"/>
          <w:szCs w:val="24"/>
          <w:lang w:val="en-GB" w:eastAsia="ro-RO"/>
        </w:rPr>
        <w:t>.</w:t>
      </w:r>
    </w:p>
    <w:p w:rsidR="00D017E2" w:rsidRPr="00322BD0" w:rsidRDefault="00D017E2" w:rsidP="00D017E2">
      <w:pPr>
        <w:spacing w:after="0" w:line="240" w:lineRule="auto"/>
        <w:ind w:firstLine="0"/>
        <w:jc w:val="both"/>
        <w:rPr>
          <w:rFonts w:ascii="Cambria" w:eastAsia="Times New Roman" w:hAnsi="Cambria" w:cs="Times New Roman"/>
          <w:sz w:val="24"/>
          <w:szCs w:val="24"/>
          <w:lang w:val="en-GB" w:eastAsia="ro-RO"/>
        </w:rPr>
      </w:pPr>
    </w:p>
    <w:p w:rsidR="00D017E2" w:rsidRPr="00322BD0" w:rsidRDefault="00D017E2" w:rsidP="00D017E2">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According to the regulatory framework applicable to the natural gas sector, Transgaz conducts the natural gas transmission activity based on the specific field legislation and the Concession Agreement concluded with the National Agency for Mineral Resources approved by GD no. 668/2002, as amended and supplemented, and on the Licence to Operate the Natural Gas Transmission System no. 1933 granted by Decision no</w:t>
      </w:r>
      <w:r w:rsidR="00EF0A81" w:rsidRPr="00322BD0">
        <w:rPr>
          <w:rFonts w:ascii="Cambria" w:eastAsia="Times New Roman" w:hAnsi="Cambria" w:cs="Times New Roman"/>
          <w:sz w:val="24"/>
          <w:szCs w:val="24"/>
          <w:lang w:val="en-GB" w:eastAsia="ro-RO"/>
        </w:rPr>
        <w:t>. 3911/20.12.2013</w:t>
      </w:r>
      <w:r w:rsidRPr="00322BD0">
        <w:rPr>
          <w:rFonts w:ascii="Cambria" w:eastAsia="Times New Roman" w:hAnsi="Cambria" w:cs="Times New Roman"/>
          <w:sz w:val="24"/>
          <w:szCs w:val="24"/>
          <w:lang w:val="en-GB" w:eastAsia="ro-RO"/>
        </w:rPr>
        <w:t xml:space="preserve"> for the development of the natural gas transmission system operation </w:t>
      </w:r>
      <w:r w:rsidRPr="00322BD0">
        <w:rPr>
          <w:rFonts w:ascii="Cambria" w:eastAsia="Times New Roman" w:hAnsi="Cambria" w:cs="Cambria"/>
          <w:sz w:val="24"/>
          <w:szCs w:val="24"/>
          <w:lang w:val="en-GB"/>
        </w:rPr>
        <w:t>issued by the National Energy Regulatory Authority</w:t>
      </w:r>
      <w:r w:rsidR="00EF0A81" w:rsidRPr="00322BD0">
        <w:rPr>
          <w:rFonts w:ascii="Cambria" w:eastAsia="Times New Roman" w:hAnsi="Cambria" w:cs="Times New Roman"/>
          <w:sz w:val="24"/>
          <w:szCs w:val="24"/>
          <w:lang w:val="en-GB" w:eastAsia="ro-RO"/>
        </w:rPr>
        <w:t xml:space="preserve"> (ANRE). </w:t>
      </w:r>
    </w:p>
    <w:p w:rsidR="00EF0A81" w:rsidRPr="00322BD0" w:rsidRDefault="00EF0A81" w:rsidP="00D017E2">
      <w:pPr>
        <w:spacing w:after="0" w:line="240" w:lineRule="auto"/>
        <w:ind w:firstLine="0"/>
        <w:jc w:val="both"/>
        <w:rPr>
          <w:rFonts w:ascii="Cambria" w:eastAsia="Times New Roman" w:hAnsi="Cambria" w:cs="Times New Roman"/>
          <w:sz w:val="24"/>
          <w:szCs w:val="24"/>
          <w:lang w:val="en-GB" w:eastAsia="ro-RO"/>
        </w:rPr>
      </w:pPr>
    </w:p>
    <w:p w:rsidR="004E652B" w:rsidRPr="00322BD0" w:rsidRDefault="00D017E2" w:rsidP="00D017E2">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The natural gas transmission activity is a public service of national interest and it is included in the regulated segment of the domestic natural gas market. The transmission service has a natural monopoly status and is carried out based on a tariff regulated by ANRE</w:t>
      </w:r>
      <w:r w:rsidRPr="00322BD0">
        <w:rPr>
          <w:rFonts w:ascii="Cambria" w:eastAsia="Times New Roman" w:hAnsi="Cambria" w:cs="Times New Roman"/>
          <w:sz w:val="24"/>
          <w:szCs w:val="24"/>
          <w:lang w:val="en-GB" w:eastAsia="ro-RO"/>
        </w:rPr>
        <w:t xml:space="preserve">. </w:t>
      </w:r>
    </w:p>
    <w:p w:rsidR="004E652B" w:rsidRPr="00322BD0" w:rsidRDefault="004E652B" w:rsidP="00D017E2">
      <w:pPr>
        <w:spacing w:after="0" w:line="240" w:lineRule="auto"/>
        <w:ind w:firstLine="0"/>
        <w:jc w:val="both"/>
        <w:rPr>
          <w:rFonts w:ascii="Cambria" w:eastAsia="Times New Roman" w:hAnsi="Cambria" w:cs="Times New Roman"/>
          <w:sz w:val="24"/>
          <w:szCs w:val="24"/>
          <w:lang w:val="en-GB" w:eastAsia="ro-RO"/>
        </w:rPr>
      </w:pPr>
    </w:p>
    <w:p w:rsidR="00D017E2" w:rsidRPr="00322BD0" w:rsidRDefault="00D017E2" w:rsidP="00D017E2">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Cambria"/>
          <w:sz w:val="24"/>
          <w:szCs w:val="24"/>
          <w:lang w:val="en-GB"/>
        </w:rPr>
        <w:t xml:space="preserve">The contracts for the provision of natural gas transmission services are usually concluded for a period of 1 gas year, based on the Framework Contract appendix to the Network Code for the National Gas Transmission System, approved by Order </w:t>
      </w:r>
      <w:r w:rsidR="004E652B" w:rsidRPr="00322BD0">
        <w:rPr>
          <w:rFonts w:ascii="Cambria" w:eastAsia="Times New Roman" w:hAnsi="Cambria" w:cs="Cambria"/>
          <w:sz w:val="24"/>
          <w:szCs w:val="24"/>
          <w:lang w:val="en-GB"/>
        </w:rPr>
        <w:t xml:space="preserve">no. 16/27 March 2013 </w:t>
      </w:r>
      <w:r w:rsidRPr="00322BD0">
        <w:rPr>
          <w:rFonts w:ascii="Cambria" w:eastAsia="Times New Roman" w:hAnsi="Cambria" w:cs="Cambria"/>
          <w:sz w:val="24"/>
          <w:szCs w:val="24"/>
          <w:lang w:val="en-GB"/>
        </w:rPr>
        <w:t>of the President of ANRE</w:t>
      </w:r>
      <w:r w:rsidR="004E652B" w:rsidRPr="00322BD0">
        <w:rPr>
          <w:rFonts w:ascii="Cambria" w:eastAsia="Times New Roman" w:hAnsi="Cambria" w:cs="Cambria"/>
          <w:sz w:val="24"/>
          <w:szCs w:val="24"/>
          <w:lang w:val="en-GB"/>
        </w:rPr>
        <w:t>,</w:t>
      </w:r>
      <w:r w:rsidRPr="00322BD0">
        <w:rPr>
          <w:rFonts w:ascii="Cambria" w:eastAsia="Times New Roman" w:hAnsi="Cambria" w:cs="Cambria"/>
          <w:sz w:val="24"/>
          <w:szCs w:val="24"/>
          <w:lang w:val="en-GB"/>
        </w:rPr>
        <w:t xml:space="preserve"> as </w:t>
      </w:r>
      <w:r w:rsidR="004E652B" w:rsidRPr="00322BD0">
        <w:rPr>
          <w:rFonts w:ascii="Cambria" w:eastAsia="Times New Roman" w:hAnsi="Cambria" w:cs="Cambria"/>
          <w:sz w:val="24"/>
          <w:szCs w:val="24"/>
          <w:lang w:val="en-GB"/>
        </w:rPr>
        <w:t xml:space="preserve">further </w:t>
      </w:r>
      <w:r w:rsidRPr="00322BD0">
        <w:rPr>
          <w:rFonts w:ascii="Cambria" w:eastAsia="Times New Roman" w:hAnsi="Cambria" w:cs="Cambria"/>
          <w:sz w:val="24"/>
          <w:szCs w:val="24"/>
          <w:lang w:val="en-GB"/>
        </w:rPr>
        <w:t>amended and supplemented</w:t>
      </w:r>
      <w:r w:rsidRPr="00322BD0">
        <w:rPr>
          <w:rFonts w:ascii="Cambria" w:eastAsia="Times New Roman" w:hAnsi="Cambria" w:cs="Times New Roman"/>
          <w:sz w:val="24"/>
          <w:szCs w:val="24"/>
          <w:lang w:val="en-GB" w:eastAsia="ro-RO"/>
        </w:rPr>
        <w:t xml:space="preserve">. </w:t>
      </w:r>
    </w:p>
    <w:p w:rsidR="00FD66D3" w:rsidRPr="00322BD0" w:rsidRDefault="00FD66D3" w:rsidP="00FD66D3">
      <w:pPr>
        <w:spacing w:after="0" w:line="240" w:lineRule="auto"/>
        <w:ind w:firstLine="0"/>
        <w:jc w:val="both"/>
        <w:rPr>
          <w:rFonts w:ascii="Cambria" w:eastAsia="Times New Roman" w:hAnsi="Cambria" w:cs="Times New Roman"/>
          <w:sz w:val="24"/>
          <w:szCs w:val="24"/>
          <w:lang w:val="en-GB" w:eastAsia="ro-RO"/>
        </w:rPr>
      </w:pPr>
    </w:p>
    <w:p w:rsidR="00EF0A81" w:rsidRPr="00322BD0" w:rsidRDefault="00EF0A81" w:rsidP="00FD66D3">
      <w:pPr>
        <w:spacing w:after="0" w:line="240" w:lineRule="auto"/>
        <w:ind w:firstLine="0"/>
        <w:jc w:val="both"/>
        <w:rPr>
          <w:rFonts w:ascii="Cambria" w:eastAsia="Times New Roman" w:hAnsi="Cambria" w:cs="Times New Roman"/>
          <w:sz w:val="24"/>
          <w:szCs w:val="24"/>
          <w:lang w:val="en-GB" w:eastAsia="ro-RO"/>
        </w:rPr>
      </w:pPr>
      <w:r w:rsidRPr="00322BD0">
        <w:rPr>
          <w:rFonts w:ascii="Cambria" w:eastAsia="Times New Roman" w:hAnsi="Cambria" w:cs="Times New Roman"/>
          <w:sz w:val="24"/>
          <w:szCs w:val="24"/>
          <w:lang w:val="en-GB" w:eastAsia="ro-RO"/>
        </w:rPr>
        <w:t>Another important legislation for Transgaz' activity i</w:t>
      </w:r>
      <w:r w:rsidR="00652B2E" w:rsidRPr="00322BD0">
        <w:rPr>
          <w:rFonts w:ascii="Cambria" w:eastAsia="Times New Roman" w:hAnsi="Cambria" w:cs="Times New Roman"/>
          <w:sz w:val="24"/>
          <w:szCs w:val="24"/>
          <w:lang w:val="en-GB" w:eastAsia="ro-RO"/>
        </w:rPr>
        <w:t>s</w:t>
      </w:r>
      <w:r w:rsidRPr="00322BD0">
        <w:rPr>
          <w:rFonts w:ascii="Cambria" w:eastAsia="Times New Roman" w:hAnsi="Cambria" w:cs="Times New Roman"/>
          <w:sz w:val="24"/>
          <w:szCs w:val="24"/>
          <w:lang w:val="en-GB" w:eastAsia="ro-RO"/>
        </w:rPr>
        <w:t xml:space="preserve"> the </w:t>
      </w:r>
      <w:r w:rsidR="00A43C5F" w:rsidRPr="00322BD0">
        <w:rPr>
          <w:rFonts w:ascii="Cambria" w:eastAsia="Times New Roman" w:hAnsi="Cambria" w:cs="Times New Roman"/>
          <w:sz w:val="24"/>
          <w:szCs w:val="24"/>
          <w:lang w:val="en-GB" w:eastAsia="ro-RO"/>
        </w:rPr>
        <w:t>ANRE</w:t>
      </w:r>
      <w:r w:rsidRPr="00322BD0">
        <w:rPr>
          <w:rFonts w:ascii="Cambria" w:eastAsia="Times New Roman" w:hAnsi="Cambria" w:cs="Times New Roman"/>
          <w:sz w:val="24"/>
          <w:szCs w:val="24"/>
          <w:lang w:val="en-GB" w:eastAsia="ro-RO"/>
        </w:rPr>
        <w:t xml:space="preserve"> Order no.34/2013 on the approval of the Regulation for granting permits for establishment and </w:t>
      </w:r>
      <w:r w:rsidR="009E518F" w:rsidRPr="00322BD0">
        <w:rPr>
          <w:rFonts w:ascii="Cambria" w:eastAsia="Times New Roman" w:hAnsi="Cambria" w:cs="Times New Roman"/>
          <w:sz w:val="24"/>
          <w:szCs w:val="24"/>
          <w:lang w:val="en-GB" w:eastAsia="ro-RO"/>
        </w:rPr>
        <w:t>licensing</w:t>
      </w:r>
      <w:r w:rsidRPr="00322BD0">
        <w:rPr>
          <w:rFonts w:ascii="Cambria" w:eastAsia="Times New Roman" w:hAnsi="Cambria" w:cs="Times New Roman"/>
          <w:sz w:val="24"/>
          <w:szCs w:val="24"/>
          <w:lang w:val="en-GB" w:eastAsia="ro-RO"/>
        </w:rPr>
        <w:t xml:space="preserve"> in the natural gas sector. </w:t>
      </w:r>
    </w:p>
    <w:p w:rsidR="008C68B9" w:rsidRPr="00322BD0" w:rsidRDefault="008C68B9" w:rsidP="00FD66D3">
      <w:pPr>
        <w:spacing w:after="0" w:line="240" w:lineRule="auto"/>
        <w:ind w:firstLine="0"/>
        <w:jc w:val="both"/>
        <w:rPr>
          <w:rFonts w:ascii="Cambria" w:eastAsia="Times New Roman" w:hAnsi="Cambria" w:cs="Times New Roman"/>
          <w:sz w:val="24"/>
          <w:szCs w:val="24"/>
          <w:lang w:val="en-GB" w:eastAsia="ro-RO"/>
        </w:rPr>
      </w:pPr>
    </w:p>
    <w:p w:rsidR="00D44C12" w:rsidRPr="00322BD0" w:rsidRDefault="00D44C12" w:rsidP="00D44C12">
      <w:pPr>
        <w:spacing w:after="0" w:line="240" w:lineRule="auto"/>
        <w:ind w:firstLine="0"/>
        <w:jc w:val="both"/>
        <w:rPr>
          <w:rFonts w:asciiTheme="majorHAnsi" w:hAnsiTheme="majorHAnsi"/>
          <w:sz w:val="24"/>
          <w:szCs w:val="24"/>
          <w:lang w:val="en-GB"/>
        </w:rPr>
      </w:pPr>
      <w:r w:rsidRPr="00322BD0">
        <w:rPr>
          <w:rFonts w:asciiTheme="majorHAnsi" w:hAnsiTheme="majorHAnsi"/>
          <w:sz w:val="24"/>
          <w:szCs w:val="24"/>
          <w:lang w:val="en-GB"/>
        </w:rPr>
        <w:t>Transgaz formulated legislative proposals (amendments) to the following regulations:</w:t>
      </w:r>
    </w:p>
    <w:p w:rsidR="00D44C12" w:rsidRPr="00322BD0" w:rsidRDefault="00D44C12" w:rsidP="00FA6EB9">
      <w:pPr>
        <w:pStyle w:val="ListParagraph"/>
        <w:numPr>
          <w:ilvl w:val="0"/>
          <w:numId w:val="25"/>
        </w:numPr>
        <w:spacing w:after="0" w:line="240" w:lineRule="auto"/>
        <w:jc w:val="both"/>
        <w:rPr>
          <w:rFonts w:asciiTheme="majorHAnsi" w:hAnsiTheme="majorHAnsi"/>
          <w:sz w:val="24"/>
          <w:szCs w:val="24"/>
          <w:lang w:val="en-GB"/>
        </w:rPr>
      </w:pPr>
      <w:r w:rsidRPr="00322BD0">
        <w:rPr>
          <w:rFonts w:asciiTheme="majorHAnsi" w:hAnsiTheme="majorHAnsi"/>
          <w:sz w:val="24"/>
          <w:szCs w:val="24"/>
          <w:lang w:val="en-GB"/>
        </w:rPr>
        <w:t>Law no. 50 / 1991 on authorizing the execution of construction works; amendments were made to the Chamber of Deputies under no. 4C11 / 654 / 30.09.2014;</w:t>
      </w:r>
    </w:p>
    <w:p w:rsidR="00D44C12" w:rsidRPr="00322BD0" w:rsidRDefault="00D44C12" w:rsidP="00FA6EB9">
      <w:pPr>
        <w:pStyle w:val="ListParagraph"/>
        <w:numPr>
          <w:ilvl w:val="0"/>
          <w:numId w:val="25"/>
        </w:numPr>
        <w:spacing w:after="0" w:line="240" w:lineRule="auto"/>
        <w:jc w:val="both"/>
        <w:rPr>
          <w:rFonts w:asciiTheme="majorHAnsi" w:hAnsiTheme="majorHAnsi"/>
          <w:sz w:val="24"/>
          <w:szCs w:val="24"/>
          <w:lang w:val="en-GB"/>
        </w:rPr>
      </w:pPr>
      <w:r w:rsidRPr="00322BD0">
        <w:rPr>
          <w:rFonts w:asciiTheme="majorHAnsi" w:hAnsiTheme="majorHAnsi"/>
          <w:sz w:val="24"/>
          <w:szCs w:val="24"/>
          <w:lang w:val="en-GB"/>
        </w:rPr>
        <w:t>Law no. 297/2004 on the capital market - amendments sent to the Ministry of Public Finance by letter no. 37904 / 15.10.2014</w:t>
      </w:r>
      <w:r w:rsidR="009E518F" w:rsidRPr="00322BD0">
        <w:rPr>
          <w:rFonts w:asciiTheme="majorHAnsi" w:hAnsiTheme="majorHAnsi"/>
          <w:sz w:val="24"/>
          <w:szCs w:val="24"/>
          <w:lang w:val="en-GB"/>
        </w:rPr>
        <w:t xml:space="preserve">, </w:t>
      </w:r>
      <w:r w:rsidRPr="00322BD0">
        <w:rPr>
          <w:rFonts w:asciiTheme="majorHAnsi" w:hAnsiTheme="majorHAnsi"/>
          <w:sz w:val="24"/>
          <w:szCs w:val="24"/>
          <w:lang w:val="en-GB"/>
        </w:rPr>
        <w:t xml:space="preserve"> no. 49095 / 12.22.2015;</w:t>
      </w:r>
    </w:p>
    <w:p w:rsidR="00691097" w:rsidRPr="00322BD0" w:rsidRDefault="00D44C12" w:rsidP="00FA6EB9">
      <w:pPr>
        <w:pStyle w:val="ListParagraph"/>
        <w:numPr>
          <w:ilvl w:val="0"/>
          <w:numId w:val="25"/>
        </w:numPr>
        <w:spacing w:after="0" w:line="240" w:lineRule="auto"/>
        <w:jc w:val="both"/>
        <w:rPr>
          <w:rFonts w:asciiTheme="majorHAnsi" w:hAnsiTheme="majorHAnsi"/>
          <w:sz w:val="24"/>
          <w:szCs w:val="24"/>
          <w:lang w:val="en-GB"/>
        </w:rPr>
      </w:pPr>
      <w:r w:rsidRPr="00322BD0">
        <w:rPr>
          <w:rFonts w:asciiTheme="majorHAnsi" w:hAnsiTheme="majorHAnsi"/>
          <w:sz w:val="24"/>
          <w:szCs w:val="24"/>
          <w:lang w:val="en-GB"/>
        </w:rPr>
        <w:t xml:space="preserve">Law no. 53/2003 Labour Code; amendments were sent to the Senate and the Ministry of </w:t>
      </w:r>
      <w:r w:rsidR="009E518F" w:rsidRPr="00322BD0">
        <w:rPr>
          <w:rFonts w:asciiTheme="majorHAnsi" w:hAnsiTheme="majorHAnsi"/>
          <w:sz w:val="24"/>
          <w:szCs w:val="24"/>
          <w:lang w:val="en-GB"/>
        </w:rPr>
        <w:t>Labour</w:t>
      </w:r>
      <w:r w:rsidRPr="00322BD0">
        <w:rPr>
          <w:rFonts w:asciiTheme="majorHAnsi" w:hAnsiTheme="majorHAnsi"/>
          <w:sz w:val="24"/>
          <w:szCs w:val="24"/>
          <w:lang w:val="en-GB"/>
        </w:rPr>
        <w:t>, Family, and Social Protection by letter no. 38070 / 10.16.2014.</w:t>
      </w:r>
    </w:p>
    <w:p w:rsidR="00CC7FF2" w:rsidRPr="00322BD0" w:rsidRDefault="00CC7FF2" w:rsidP="000F30B0">
      <w:pPr>
        <w:spacing w:after="0" w:line="240" w:lineRule="auto"/>
        <w:ind w:firstLine="0"/>
        <w:jc w:val="both"/>
        <w:rPr>
          <w:rFonts w:ascii="Cambria" w:hAnsi="Cambria"/>
          <w:sz w:val="24"/>
          <w:szCs w:val="24"/>
          <w:lang w:val="en-GB"/>
        </w:rPr>
      </w:pPr>
    </w:p>
    <w:p w:rsidR="00D44C12" w:rsidRPr="00322BD0" w:rsidRDefault="00B44CE1" w:rsidP="00D44C12">
      <w:pPr>
        <w:spacing w:after="0" w:line="240" w:lineRule="auto"/>
        <w:ind w:firstLine="0"/>
        <w:jc w:val="both"/>
        <w:rPr>
          <w:rFonts w:ascii="Cambria" w:eastAsia="Times New Roman" w:hAnsi="Cambria" w:cs="Times New Roman"/>
          <w:sz w:val="24"/>
          <w:szCs w:val="24"/>
          <w:lang w:val="en-GB"/>
        </w:rPr>
      </w:pPr>
      <w:r>
        <w:rPr>
          <w:rFonts w:ascii="Cambria" w:eastAsia="Times New Roman" w:hAnsi="Cambria" w:cs="Times New Roman"/>
          <w:sz w:val="24"/>
          <w:szCs w:val="24"/>
          <w:lang w:val="en-GB"/>
        </w:rPr>
        <w:t>In 2016</w:t>
      </w:r>
      <w:r w:rsidR="00D44C12" w:rsidRPr="00322BD0">
        <w:rPr>
          <w:rFonts w:ascii="Cambria" w:eastAsia="Times New Roman" w:hAnsi="Cambria" w:cs="Times New Roman"/>
          <w:sz w:val="24"/>
          <w:szCs w:val="24"/>
          <w:lang w:val="en-GB"/>
        </w:rPr>
        <w:t xml:space="preserve">, Transgaz has managed together with its specialists the specific regulation projects launched in a public debate </w:t>
      </w:r>
      <w:r w:rsidR="00D33F06" w:rsidRPr="00322BD0">
        <w:rPr>
          <w:rFonts w:ascii="Cambria" w:eastAsia="Times New Roman" w:hAnsi="Cambria" w:cs="Times New Roman"/>
          <w:sz w:val="24"/>
          <w:szCs w:val="24"/>
          <w:lang w:val="en-GB"/>
        </w:rPr>
        <w:t>ANRE</w:t>
      </w:r>
      <w:r w:rsidR="00D44C12" w:rsidRPr="00322BD0">
        <w:rPr>
          <w:rFonts w:ascii="Cambria" w:eastAsia="Times New Roman" w:hAnsi="Cambria" w:cs="Times New Roman"/>
          <w:sz w:val="24"/>
          <w:szCs w:val="24"/>
          <w:lang w:val="en-GB"/>
        </w:rPr>
        <w:t xml:space="preserve"> and has participated both at the revision activities of the Network Code provisions within the different joint committees and </w:t>
      </w:r>
      <w:r w:rsidR="00D44C12" w:rsidRPr="00322BD0">
        <w:rPr>
          <w:rFonts w:ascii="Cambria" w:eastAsia="Times New Roman" w:hAnsi="Cambria" w:cs="Times New Roman"/>
          <w:sz w:val="24"/>
          <w:szCs w:val="24"/>
          <w:lang w:val="en-GB"/>
        </w:rPr>
        <w:lastRenderedPageBreak/>
        <w:t xml:space="preserve">working groups with </w:t>
      </w:r>
      <w:r w:rsidR="00D33F06" w:rsidRPr="00322BD0">
        <w:rPr>
          <w:rFonts w:ascii="Cambria" w:eastAsia="Times New Roman" w:hAnsi="Cambria" w:cs="Times New Roman"/>
          <w:sz w:val="24"/>
          <w:szCs w:val="24"/>
          <w:lang w:val="en-GB"/>
        </w:rPr>
        <w:t>ANRE</w:t>
      </w:r>
      <w:r w:rsidR="00D44C12" w:rsidRPr="00322BD0">
        <w:rPr>
          <w:rFonts w:ascii="Cambria" w:eastAsia="Times New Roman" w:hAnsi="Cambria" w:cs="Times New Roman"/>
          <w:sz w:val="24"/>
          <w:szCs w:val="24"/>
          <w:lang w:val="en-GB"/>
        </w:rPr>
        <w:t xml:space="preserve"> and other involved institutions (</w:t>
      </w:r>
      <w:r w:rsidR="00D44C12" w:rsidRPr="00322BD0">
        <w:rPr>
          <w:rFonts w:ascii="Cambria" w:eastAsia="Times New Roman" w:hAnsi="Cambria" w:cs="Times New Roman"/>
          <w:i/>
          <w:sz w:val="24"/>
          <w:szCs w:val="24"/>
          <w:lang w:val="en-GB"/>
        </w:rPr>
        <w:t xml:space="preserve">The Coordination/supervising committee of the activities regarding the provisions of the Network Code; the Working group for the revision of the Network Code coordinated by ANRE; the Operative working group for the modification of the Network Code; the Joint working group </w:t>
      </w:r>
      <w:r w:rsidR="00D44C12" w:rsidRPr="00322BD0">
        <w:rPr>
          <w:rFonts w:ascii="Cambria" w:eastAsia="Times New Roman" w:hAnsi="Cambria" w:cs="Times New Roman"/>
          <w:sz w:val="24"/>
          <w:szCs w:val="24"/>
          <w:lang w:val="en-GB"/>
        </w:rPr>
        <w:t>TRANSGAZ-OMV PETROM-EXXON</w:t>
      </w:r>
      <w:r w:rsidR="00D44C12" w:rsidRPr="00322BD0">
        <w:rPr>
          <w:rFonts w:ascii="Cambria" w:eastAsia="Times New Roman" w:hAnsi="Cambria" w:cs="Times New Roman"/>
          <w:i/>
          <w:sz w:val="24"/>
          <w:szCs w:val="24"/>
          <w:lang w:val="en-GB"/>
        </w:rPr>
        <w:t xml:space="preserve">) </w:t>
      </w:r>
      <w:r w:rsidR="00D44C12" w:rsidRPr="00322BD0">
        <w:rPr>
          <w:rFonts w:ascii="Cambria" w:eastAsia="Times New Roman" w:hAnsi="Cambria" w:cs="Times New Roman"/>
          <w:sz w:val="24"/>
          <w:szCs w:val="24"/>
          <w:lang w:val="en-GB"/>
        </w:rPr>
        <w:t>and to the revision activity of the concession agreement.</w:t>
      </w:r>
    </w:p>
    <w:p w:rsidR="00190D6C" w:rsidRPr="00322BD0" w:rsidRDefault="00190D6C" w:rsidP="00D44C12">
      <w:pPr>
        <w:spacing w:after="0" w:line="240" w:lineRule="auto"/>
        <w:ind w:firstLine="0"/>
        <w:jc w:val="both"/>
        <w:rPr>
          <w:rFonts w:ascii="Cambria" w:eastAsia="Times New Roman" w:hAnsi="Cambria" w:cs="Times New Roman"/>
          <w:sz w:val="24"/>
          <w:szCs w:val="24"/>
          <w:lang w:val="en-GB"/>
        </w:rPr>
      </w:pPr>
    </w:p>
    <w:p w:rsidR="00190D6C" w:rsidRPr="00322BD0" w:rsidRDefault="00190D6C" w:rsidP="00190D6C">
      <w:pPr>
        <w:shd w:val="clear" w:color="auto" w:fill="D6E0F4"/>
        <w:spacing w:after="0" w:line="240" w:lineRule="auto"/>
        <w:ind w:firstLine="0"/>
        <w:jc w:val="both"/>
        <w:rPr>
          <w:rFonts w:ascii="Cambria" w:eastAsia="Calibri" w:hAnsi="Cambria" w:cs="Calibri"/>
          <w:b/>
          <w:bCs/>
          <w:sz w:val="24"/>
          <w:szCs w:val="24"/>
          <w:lang w:val="en-GB" w:eastAsia="ro-RO"/>
        </w:rPr>
      </w:pPr>
      <w:r w:rsidRPr="00322BD0">
        <w:rPr>
          <w:rFonts w:ascii="Cambria" w:eastAsia="Calibri" w:hAnsi="Cambria" w:cs="Calibri"/>
          <w:b/>
          <w:bCs/>
          <w:sz w:val="24"/>
          <w:szCs w:val="24"/>
          <w:lang w:val="en-GB" w:eastAsia="ro-RO"/>
        </w:rPr>
        <w:t>Regarding the legislation relevant for Transgaz`s activity the following regulations became applicable:</w:t>
      </w:r>
    </w:p>
    <w:p w:rsidR="00C35235" w:rsidRPr="00C35235" w:rsidRDefault="00C35235" w:rsidP="00C35235">
      <w:pPr>
        <w:spacing w:after="0" w:line="240" w:lineRule="auto"/>
        <w:ind w:firstLine="0"/>
        <w:contextualSpacing/>
        <w:jc w:val="both"/>
        <w:rPr>
          <w:rFonts w:asciiTheme="majorHAnsi" w:eastAsia="Calibri" w:hAnsiTheme="majorHAnsi" w:cs="Times New Roman"/>
          <w:i/>
          <w:sz w:val="24"/>
          <w:szCs w:val="24"/>
          <w:lang w:eastAsia="en-US"/>
        </w:rPr>
      </w:pPr>
    </w:p>
    <w:p w:rsidR="00C35235" w:rsidRPr="00490487" w:rsidRDefault="00C35235" w:rsidP="00FA6EB9">
      <w:pPr>
        <w:pStyle w:val="ListParagraph"/>
        <w:numPr>
          <w:ilvl w:val="0"/>
          <w:numId w:val="156"/>
        </w:numPr>
        <w:tabs>
          <w:tab w:val="left" w:pos="540"/>
        </w:tabs>
        <w:spacing w:after="160" w:line="259" w:lineRule="auto"/>
        <w:ind w:left="540"/>
        <w:jc w:val="both"/>
        <w:rPr>
          <w:rFonts w:ascii="Cambria" w:eastAsia="Calibri" w:hAnsi="Cambria"/>
          <w:i/>
          <w:sz w:val="24"/>
          <w:szCs w:val="24"/>
        </w:rPr>
      </w:pPr>
      <w:r w:rsidRPr="00490487">
        <w:rPr>
          <w:rFonts w:ascii="Cambria" w:eastAsia="Calibri" w:hAnsi="Cambria"/>
          <w:b/>
          <w:sz w:val="24"/>
          <w:szCs w:val="24"/>
        </w:rPr>
        <w:t>Order A.N.R.E. no. 1/18.01.2016</w:t>
      </w:r>
      <w:r w:rsidRPr="00490487">
        <w:rPr>
          <w:rFonts w:ascii="Cambria" w:eastAsia="Calibri" w:hAnsi="Cambria"/>
          <w:i/>
          <w:sz w:val="24"/>
          <w:szCs w:val="24"/>
        </w:rPr>
        <w:t xml:space="preserve"> regarding the establishment of interim measures relating to the implementation of Network Code for the National natural gas Transmission System, approved by Order of the President of the National Energy Regulatory </w:t>
      </w:r>
      <w:r>
        <w:rPr>
          <w:rFonts w:ascii="Cambria" w:eastAsia="Calibri" w:hAnsi="Cambria"/>
          <w:i/>
          <w:sz w:val="24"/>
          <w:szCs w:val="24"/>
        </w:rPr>
        <w:t xml:space="preserve">Authority </w:t>
      </w:r>
      <w:r w:rsidRPr="00490487">
        <w:rPr>
          <w:rFonts w:ascii="Cambria" w:eastAsia="Calibri" w:hAnsi="Cambria"/>
          <w:i/>
          <w:sz w:val="24"/>
          <w:szCs w:val="24"/>
        </w:rPr>
        <w:t xml:space="preserve">no. 16/2013, </w:t>
      </w:r>
      <w:r w:rsidRPr="00490487">
        <w:rPr>
          <w:rFonts w:ascii="Cambria" w:eastAsia="Calibri" w:hAnsi="Cambria"/>
          <w:sz w:val="24"/>
          <w:szCs w:val="24"/>
        </w:rPr>
        <w:t>published in the Official Gazette of Romania, Part I, no</w:t>
      </w:r>
      <w:r>
        <w:rPr>
          <w:rFonts w:ascii="Cambria" w:eastAsia="Calibri" w:hAnsi="Cambria"/>
          <w:i/>
          <w:sz w:val="24"/>
          <w:szCs w:val="24"/>
        </w:rPr>
        <w:t>. 43/</w:t>
      </w:r>
      <w:r w:rsidRPr="00490487">
        <w:rPr>
          <w:rFonts w:ascii="Cambria" w:eastAsia="Calibri" w:hAnsi="Cambria"/>
          <w:i/>
          <w:sz w:val="24"/>
          <w:szCs w:val="24"/>
        </w:rPr>
        <w:t>20.01.2016;</w:t>
      </w:r>
    </w:p>
    <w:p w:rsidR="00C35235" w:rsidRPr="00490487" w:rsidRDefault="00C35235" w:rsidP="00FA6EB9">
      <w:pPr>
        <w:numPr>
          <w:ilvl w:val="0"/>
          <w:numId w:val="156"/>
        </w:numPr>
        <w:spacing w:after="0" w:line="240" w:lineRule="auto"/>
        <w:ind w:left="567" w:hanging="425"/>
        <w:contextualSpacing/>
        <w:jc w:val="both"/>
        <w:rPr>
          <w:rFonts w:ascii="Cambria" w:eastAsia="Calibri" w:hAnsi="Cambria"/>
        </w:rPr>
      </w:pPr>
      <w:r>
        <w:rPr>
          <w:rFonts w:ascii="Cambria" w:eastAsia="Calibri" w:hAnsi="Cambria"/>
          <w:b/>
          <w:lang w:val="en"/>
        </w:rPr>
        <w:t>Government Ordinance no. 11/</w:t>
      </w:r>
      <w:r w:rsidRPr="00490487">
        <w:rPr>
          <w:rFonts w:ascii="Cambria" w:eastAsia="Calibri" w:hAnsi="Cambria"/>
          <w:b/>
          <w:lang w:val="en"/>
        </w:rPr>
        <w:t>27.01. 2016</w:t>
      </w:r>
      <w:r w:rsidRPr="00490487">
        <w:rPr>
          <w:rFonts w:ascii="Cambria" w:eastAsia="Calibri" w:hAnsi="Cambria"/>
          <w:lang w:val="en"/>
        </w:rPr>
        <w:t xml:space="preserve"> amending and </w:t>
      </w:r>
      <w:r>
        <w:rPr>
          <w:rFonts w:ascii="Cambria" w:eastAsia="Calibri" w:hAnsi="Cambria"/>
          <w:lang w:val="en"/>
        </w:rPr>
        <w:t xml:space="preserve">supplementing the </w:t>
      </w:r>
      <w:r w:rsidRPr="00490487">
        <w:rPr>
          <w:rFonts w:ascii="Cambria" w:eastAsia="Calibri" w:hAnsi="Cambria"/>
          <w:lang w:val="en"/>
        </w:rPr>
        <w:t xml:space="preserve">Government Ordinance no. 26/2013 on strengthening </w:t>
      </w:r>
      <w:r>
        <w:rPr>
          <w:rFonts w:ascii="Cambria" w:eastAsia="Calibri" w:hAnsi="Cambria"/>
          <w:lang w:val="en"/>
        </w:rPr>
        <w:t xml:space="preserve">the </w:t>
      </w:r>
      <w:r w:rsidRPr="00490487">
        <w:rPr>
          <w:rFonts w:ascii="Cambria" w:eastAsia="Calibri" w:hAnsi="Cambria"/>
          <w:lang w:val="en"/>
        </w:rPr>
        <w:t xml:space="preserve">financial discipline at the level of economic operators where the state or administrative-territorial units are majority or sole shareholders or hold directly or indirectly a majority interest published in the Official Gazette of Romania, </w:t>
      </w:r>
      <w:r>
        <w:rPr>
          <w:rFonts w:ascii="Cambria" w:eastAsia="Calibri" w:hAnsi="Cambria"/>
          <w:lang w:val="en"/>
        </w:rPr>
        <w:t>Part I, no. 68/</w:t>
      </w:r>
      <w:r w:rsidRPr="00490487">
        <w:rPr>
          <w:rFonts w:ascii="Cambria" w:eastAsia="Calibri" w:hAnsi="Cambria"/>
          <w:lang w:val="en"/>
        </w:rPr>
        <w:t>29.01.2016;</w:t>
      </w:r>
    </w:p>
    <w:p w:rsidR="00C35235" w:rsidRPr="00490487" w:rsidRDefault="00C35235" w:rsidP="00FA6EB9">
      <w:pPr>
        <w:numPr>
          <w:ilvl w:val="0"/>
          <w:numId w:val="156"/>
        </w:numPr>
        <w:spacing w:after="0" w:line="240" w:lineRule="auto"/>
        <w:ind w:left="567" w:hanging="425"/>
        <w:contextualSpacing/>
        <w:jc w:val="both"/>
        <w:rPr>
          <w:rFonts w:ascii="Cambria" w:eastAsia="Calibri" w:hAnsi="Cambria"/>
        </w:rPr>
      </w:pPr>
      <w:r>
        <w:rPr>
          <w:rFonts w:ascii="Cambria" w:eastAsia="Calibri" w:hAnsi="Cambria"/>
          <w:b/>
          <w:lang w:val="en"/>
        </w:rPr>
        <w:t>Government Decision no. 66/</w:t>
      </w:r>
      <w:r w:rsidRPr="00490487">
        <w:rPr>
          <w:rFonts w:ascii="Cambria" w:eastAsia="Calibri" w:hAnsi="Cambria"/>
          <w:b/>
          <w:lang w:val="en"/>
        </w:rPr>
        <w:t>10.</w:t>
      </w:r>
      <w:r>
        <w:rPr>
          <w:rFonts w:ascii="Cambria" w:eastAsia="Calibri" w:hAnsi="Cambria"/>
          <w:b/>
          <w:lang w:val="en"/>
        </w:rPr>
        <w:t>02.</w:t>
      </w:r>
      <w:r w:rsidRPr="00490487">
        <w:rPr>
          <w:rFonts w:ascii="Cambria" w:eastAsia="Calibri" w:hAnsi="Cambria"/>
          <w:b/>
          <w:lang w:val="en"/>
        </w:rPr>
        <w:t>2016</w:t>
      </w:r>
      <w:r w:rsidRPr="00490487">
        <w:rPr>
          <w:rFonts w:ascii="Cambria" w:eastAsia="Calibri" w:hAnsi="Cambria"/>
          <w:lang w:val="en"/>
        </w:rPr>
        <w:t xml:space="preserve"> amending and supplementing </w:t>
      </w:r>
      <w:r w:rsidRPr="00CD5E5E">
        <w:rPr>
          <w:rFonts w:ascii="Cambria" w:eastAsia="Calibri" w:hAnsi="Cambria"/>
          <w:u w:val="single"/>
          <w:lang w:val="en"/>
        </w:rPr>
        <w:t>Government Decision no. 925/2006</w:t>
      </w:r>
      <w:r w:rsidRPr="00490487">
        <w:rPr>
          <w:rFonts w:ascii="Cambria" w:eastAsia="Calibri" w:hAnsi="Cambria"/>
          <w:lang w:val="en"/>
        </w:rPr>
        <w:t xml:space="preserve"> approving</w:t>
      </w:r>
      <w:r>
        <w:rPr>
          <w:rFonts w:ascii="Cambria" w:eastAsia="Calibri" w:hAnsi="Cambria"/>
          <w:lang w:val="en"/>
        </w:rPr>
        <w:t xml:space="preserve"> the </w:t>
      </w:r>
      <w:r w:rsidRPr="00490487">
        <w:rPr>
          <w:rFonts w:ascii="Cambria" w:eastAsia="Calibri" w:hAnsi="Cambria"/>
          <w:lang w:val="en"/>
        </w:rPr>
        <w:t xml:space="preserve">rules for implementing the provisions concerning the award of public procurement contracts from the </w:t>
      </w:r>
      <w:r w:rsidRPr="00CD5E5E">
        <w:rPr>
          <w:rFonts w:ascii="Cambria" w:eastAsia="Calibri" w:hAnsi="Cambria"/>
          <w:u w:val="single"/>
          <w:lang w:val="en"/>
        </w:rPr>
        <w:t>Government Emergency Ordinance no. 34/2006</w:t>
      </w:r>
      <w:r w:rsidRPr="00490487">
        <w:rPr>
          <w:rFonts w:ascii="Cambria" w:eastAsia="Calibri" w:hAnsi="Cambria"/>
          <w:lang w:val="en"/>
        </w:rPr>
        <w:t xml:space="preserve"> on the award of public procurement contracts, public works concession contracts and service concession published in the Official Gazette of Romania, Part I, no. 115 / 02.15.2016;</w:t>
      </w:r>
    </w:p>
    <w:p w:rsidR="00C35235" w:rsidRPr="00CD5E5E" w:rsidRDefault="00C35235" w:rsidP="00FA6EB9">
      <w:pPr>
        <w:numPr>
          <w:ilvl w:val="0"/>
          <w:numId w:val="156"/>
        </w:numPr>
        <w:spacing w:after="0" w:line="240" w:lineRule="auto"/>
        <w:ind w:left="567" w:hanging="425"/>
        <w:contextualSpacing/>
        <w:jc w:val="both"/>
        <w:rPr>
          <w:rFonts w:ascii="Cambria" w:eastAsia="Calibri" w:hAnsi="Cambria"/>
          <w:b/>
        </w:rPr>
      </w:pPr>
      <w:r w:rsidRPr="00CD5E5E">
        <w:rPr>
          <w:rFonts w:ascii="Cambria" w:eastAsia="Calibri" w:hAnsi="Cambria"/>
          <w:b/>
          <w:lang w:val="en"/>
        </w:rPr>
        <w:t>Competition Law. 21/1996, republished in the Official Gazette of Romania, Part I, no. 153 / 29.02.2016;</w:t>
      </w:r>
    </w:p>
    <w:p w:rsidR="00C35235" w:rsidRPr="00CD5E5E" w:rsidRDefault="00C35235" w:rsidP="00FA6EB9">
      <w:pPr>
        <w:numPr>
          <w:ilvl w:val="0"/>
          <w:numId w:val="156"/>
        </w:numPr>
        <w:spacing w:after="0" w:line="240" w:lineRule="auto"/>
        <w:ind w:left="567" w:hanging="425"/>
        <w:contextualSpacing/>
        <w:jc w:val="both"/>
        <w:rPr>
          <w:rFonts w:ascii="Cambria" w:eastAsia="Calibri" w:hAnsi="Cambria"/>
          <w:b/>
        </w:rPr>
      </w:pPr>
      <w:r w:rsidRPr="00CD5E5E">
        <w:rPr>
          <w:rFonts w:ascii="Cambria" w:eastAsia="Calibri" w:hAnsi="Cambria"/>
          <w:b/>
          <w:lang w:val="en"/>
        </w:rPr>
        <w:t xml:space="preserve">Law no. 20 / 04.03.2016 </w:t>
      </w:r>
      <w:r w:rsidRPr="00CD5E5E">
        <w:rPr>
          <w:rFonts w:ascii="Cambria" w:eastAsia="Calibri" w:hAnsi="Cambria"/>
          <w:lang w:val="en"/>
        </w:rPr>
        <w:t xml:space="preserve">amending </w:t>
      </w:r>
      <w:r w:rsidRPr="00CD5E5E">
        <w:rPr>
          <w:rFonts w:ascii="Cambria" w:eastAsia="Calibri" w:hAnsi="Cambria"/>
          <w:u w:val="single"/>
          <w:lang w:val="en"/>
        </w:rPr>
        <w:t>Government Emergency Ordinance no. 34/2006</w:t>
      </w:r>
      <w:r w:rsidRPr="00CD5E5E">
        <w:rPr>
          <w:rFonts w:ascii="Cambria" w:eastAsia="Calibri" w:hAnsi="Cambria"/>
          <w:lang w:val="en"/>
        </w:rPr>
        <w:t xml:space="preserve"> on the award of public procurement contracts, public works concession contracts and service concession published in the Official Gaze</w:t>
      </w:r>
      <w:r>
        <w:rPr>
          <w:rFonts w:ascii="Cambria" w:eastAsia="Calibri" w:hAnsi="Cambria"/>
          <w:lang w:val="en"/>
        </w:rPr>
        <w:t>tte of Romania, Part I, no. 171</w:t>
      </w:r>
      <w:r w:rsidRPr="00CD5E5E">
        <w:rPr>
          <w:rFonts w:ascii="Cambria" w:eastAsia="Calibri" w:hAnsi="Cambria"/>
          <w:lang w:val="en"/>
        </w:rPr>
        <w:t>/ 07. 03.2016</w:t>
      </w:r>
      <w:r w:rsidRPr="00CD5E5E">
        <w:rPr>
          <w:rFonts w:ascii="Cambria" w:eastAsia="Calibri" w:hAnsi="Cambria"/>
          <w:b/>
          <w:lang w:val="en"/>
        </w:rPr>
        <w:t>;</w:t>
      </w:r>
    </w:p>
    <w:p w:rsidR="00C35235" w:rsidRPr="00CD5E5E" w:rsidRDefault="00C35235" w:rsidP="00FA6EB9">
      <w:pPr>
        <w:numPr>
          <w:ilvl w:val="0"/>
          <w:numId w:val="156"/>
        </w:numPr>
        <w:spacing w:after="0" w:line="240" w:lineRule="auto"/>
        <w:ind w:left="567" w:hanging="425"/>
        <w:contextualSpacing/>
        <w:jc w:val="both"/>
        <w:rPr>
          <w:rFonts w:ascii="Cambria" w:eastAsia="Calibri" w:hAnsi="Cambria"/>
        </w:rPr>
      </w:pPr>
      <w:r>
        <w:rPr>
          <w:rFonts w:ascii="Cambria" w:eastAsia="Calibri" w:hAnsi="Cambria"/>
          <w:b/>
          <w:lang w:val="en"/>
        </w:rPr>
        <w:t>Law no. 21/</w:t>
      </w:r>
      <w:r w:rsidRPr="00CD5E5E">
        <w:rPr>
          <w:rFonts w:ascii="Cambria" w:eastAsia="Calibri" w:hAnsi="Cambria"/>
          <w:b/>
          <w:lang w:val="en"/>
        </w:rPr>
        <w:t>04.03.2016</w:t>
      </w:r>
      <w:r w:rsidRPr="00CD5E5E">
        <w:rPr>
          <w:rFonts w:ascii="Cambria" w:eastAsia="Calibri" w:hAnsi="Cambria"/>
          <w:lang w:val="en"/>
        </w:rPr>
        <w:t xml:space="preserve"> regarding the approval of </w:t>
      </w:r>
      <w:r w:rsidRPr="00CD5E5E">
        <w:rPr>
          <w:rFonts w:ascii="Cambria" w:eastAsia="Calibri" w:hAnsi="Cambria"/>
          <w:u w:val="single"/>
          <w:lang w:val="en"/>
        </w:rPr>
        <w:t>Government Ordinance no. 30/2015</w:t>
      </w:r>
      <w:r w:rsidRPr="00CD5E5E">
        <w:rPr>
          <w:rFonts w:ascii="Cambria" w:eastAsia="Calibri" w:hAnsi="Cambria"/>
          <w:lang w:val="en"/>
        </w:rPr>
        <w:t xml:space="preserve"> amending and supplementing certain acts in the field of external grants, published in the Official Gazett</w:t>
      </w:r>
      <w:r>
        <w:rPr>
          <w:rFonts w:ascii="Cambria" w:eastAsia="Calibri" w:hAnsi="Cambria"/>
          <w:lang w:val="en"/>
        </w:rPr>
        <w:t>e of Romania, Part I, no. 171/</w:t>
      </w:r>
      <w:r w:rsidRPr="00CD5E5E">
        <w:rPr>
          <w:rFonts w:ascii="Cambria" w:eastAsia="Calibri" w:hAnsi="Cambria"/>
          <w:lang w:val="en"/>
        </w:rPr>
        <w:t>07.03.2016;</w:t>
      </w:r>
    </w:p>
    <w:p w:rsidR="00C35235" w:rsidRPr="00CD5E5E" w:rsidRDefault="00C35235" w:rsidP="00FA6EB9">
      <w:pPr>
        <w:numPr>
          <w:ilvl w:val="0"/>
          <w:numId w:val="156"/>
        </w:numPr>
        <w:spacing w:after="0" w:line="240" w:lineRule="auto"/>
        <w:ind w:left="567" w:hanging="425"/>
        <w:contextualSpacing/>
        <w:jc w:val="both"/>
        <w:rPr>
          <w:rFonts w:ascii="Cambria" w:eastAsia="Calibri" w:hAnsi="Cambria"/>
        </w:rPr>
      </w:pPr>
      <w:r w:rsidRPr="00CD5E5E">
        <w:rPr>
          <w:rFonts w:ascii="Cambria" w:eastAsia="Calibri" w:hAnsi="Cambria"/>
          <w:b/>
          <w:lang w:val="en"/>
        </w:rPr>
        <w:t xml:space="preserve">A.N.A.P. Instruction </w:t>
      </w:r>
      <w:r>
        <w:rPr>
          <w:rFonts w:ascii="Cambria" w:eastAsia="Calibri" w:hAnsi="Cambria"/>
          <w:b/>
          <w:lang w:val="en"/>
        </w:rPr>
        <w:t>no. 1/02.03</w:t>
      </w:r>
      <w:r w:rsidRPr="00CD5E5E">
        <w:rPr>
          <w:rFonts w:ascii="Cambria" w:eastAsia="Calibri" w:hAnsi="Cambria"/>
          <w:b/>
          <w:lang w:val="en"/>
        </w:rPr>
        <w:t>.2016</w:t>
      </w:r>
      <w:r w:rsidRPr="00CD5E5E">
        <w:rPr>
          <w:rFonts w:ascii="Cambria" w:eastAsia="Calibri" w:hAnsi="Cambria"/>
          <w:lang w:val="en"/>
        </w:rPr>
        <w:t xml:space="preserve"> on amending the public contract during its validity and compliance with these changes as substantial or insubstantial, published in the Official Gazett</w:t>
      </w:r>
      <w:r>
        <w:rPr>
          <w:rFonts w:ascii="Cambria" w:eastAsia="Calibri" w:hAnsi="Cambria"/>
          <w:lang w:val="en"/>
        </w:rPr>
        <w:t>e of Romania, Part I, no. 171/</w:t>
      </w:r>
      <w:r w:rsidRPr="00CD5E5E">
        <w:rPr>
          <w:rFonts w:ascii="Cambria" w:eastAsia="Calibri" w:hAnsi="Cambria"/>
          <w:lang w:val="en"/>
        </w:rPr>
        <w:t>07.</w:t>
      </w:r>
      <w:r w:rsidRPr="00DB7B6F">
        <w:rPr>
          <w:rFonts w:ascii="Cambria" w:eastAsia="Calibri" w:hAnsi="Cambria"/>
          <w:lang w:val="en"/>
        </w:rPr>
        <w:t xml:space="preserve"> </w:t>
      </w:r>
      <w:r w:rsidRPr="00CD5E5E">
        <w:rPr>
          <w:rFonts w:ascii="Cambria" w:eastAsia="Calibri" w:hAnsi="Cambria"/>
          <w:lang w:val="en"/>
        </w:rPr>
        <w:t>03.2016;</w:t>
      </w:r>
    </w:p>
    <w:p w:rsidR="00C35235" w:rsidRPr="00DB7B6F" w:rsidRDefault="00C35235" w:rsidP="00FA6EB9">
      <w:pPr>
        <w:numPr>
          <w:ilvl w:val="0"/>
          <w:numId w:val="156"/>
        </w:numPr>
        <w:spacing w:after="0" w:line="240" w:lineRule="auto"/>
        <w:ind w:left="567" w:hanging="425"/>
        <w:contextualSpacing/>
        <w:jc w:val="both"/>
        <w:rPr>
          <w:rFonts w:ascii="Cambria" w:eastAsia="Calibri" w:hAnsi="Cambria"/>
          <w:i/>
        </w:rPr>
      </w:pPr>
      <w:r>
        <w:rPr>
          <w:rFonts w:ascii="Cambria" w:eastAsia="Calibri" w:hAnsi="Cambria"/>
          <w:b/>
          <w:lang w:val="en"/>
        </w:rPr>
        <w:t>Order A.N.R.E. no. 7/</w:t>
      </w:r>
      <w:r w:rsidRPr="00DB7B6F">
        <w:rPr>
          <w:rFonts w:ascii="Cambria" w:eastAsia="Calibri" w:hAnsi="Cambria"/>
          <w:b/>
          <w:lang w:val="en"/>
        </w:rPr>
        <w:t>09.03.2016</w:t>
      </w:r>
      <w:r w:rsidRPr="00DB7B6F">
        <w:rPr>
          <w:rFonts w:ascii="Cambria" w:eastAsia="Calibri" w:hAnsi="Cambria"/>
          <w:i/>
          <w:lang w:val="en"/>
        </w:rPr>
        <w:t xml:space="preserve"> on the </w:t>
      </w:r>
      <w:r>
        <w:rPr>
          <w:rFonts w:ascii="Cambria" w:eastAsia="Calibri" w:hAnsi="Cambria"/>
          <w:i/>
          <w:lang w:val="en"/>
        </w:rPr>
        <w:t xml:space="preserve">supplementing of the </w:t>
      </w:r>
      <w:r w:rsidRPr="00DB7B6F">
        <w:rPr>
          <w:rFonts w:ascii="Cambria" w:eastAsia="Calibri" w:hAnsi="Cambria"/>
          <w:i/>
          <w:lang w:val="en"/>
        </w:rPr>
        <w:t>annex to the Order of the President of the Nationa</w:t>
      </w:r>
      <w:r>
        <w:rPr>
          <w:rFonts w:ascii="Cambria" w:eastAsia="Calibri" w:hAnsi="Cambria"/>
          <w:i/>
          <w:lang w:val="en"/>
        </w:rPr>
        <w:t>l Energy Regulatory no. 22/2012 for the approval of the Methodology for the approval of prices and regulated tariffs setting in the field of gas</w:t>
      </w:r>
      <w:r w:rsidRPr="00DB7B6F">
        <w:rPr>
          <w:rFonts w:ascii="Cambria" w:eastAsia="Calibri" w:hAnsi="Cambria"/>
          <w:i/>
          <w:lang w:val="en"/>
        </w:rPr>
        <w:t>, published in the Official Gazett</w:t>
      </w:r>
      <w:r>
        <w:rPr>
          <w:rFonts w:ascii="Cambria" w:eastAsia="Calibri" w:hAnsi="Cambria"/>
          <w:i/>
          <w:lang w:val="en"/>
        </w:rPr>
        <w:t>e of Romania, Part I, no. 199/</w:t>
      </w:r>
      <w:r w:rsidRPr="00DB7B6F">
        <w:rPr>
          <w:rFonts w:ascii="Cambria" w:eastAsia="Calibri" w:hAnsi="Cambria"/>
          <w:i/>
          <w:lang w:val="en"/>
        </w:rPr>
        <w:t>17.03. 2016;</w:t>
      </w:r>
    </w:p>
    <w:p w:rsidR="00C35235" w:rsidRPr="00682B0D" w:rsidRDefault="00C35235" w:rsidP="00FA6EB9">
      <w:pPr>
        <w:numPr>
          <w:ilvl w:val="0"/>
          <w:numId w:val="156"/>
        </w:numPr>
        <w:spacing w:after="0" w:line="240" w:lineRule="auto"/>
        <w:ind w:left="567" w:hanging="425"/>
        <w:contextualSpacing/>
        <w:jc w:val="both"/>
        <w:rPr>
          <w:rFonts w:ascii="Cambria" w:eastAsia="Calibri" w:hAnsi="Cambria"/>
        </w:rPr>
      </w:pPr>
      <w:r w:rsidRPr="00DB7B6F">
        <w:rPr>
          <w:rFonts w:ascii="Cambria" w:eastAsia="Calibri" w:hAnsi="Cambria"/>
          <w:b/>
          <w:lang w:val="en"/>
        </w:rPr>
        <w:t>Gover</w:t>
      </w:r>
      <w:r>
        <w:rPr>
          <w:rFonts w:ascii="Cambria" w:eastAsia="Calibri" w:hAnsi="Cambria"/>
          <w:b/>
          <w:lang w:val="en"/>
        </w:rPr>
        <w:t>nment Emergency Ordinance no. 7/</w:t>
      </w:r>
      <w:r w:rsidRPr="00DB7B6F">
        <w:rPr>
          <w:rFonts w:ascii="Cambria" w:eastAsia="Calibri" w:hAnsi="Cambria"/>
          <w:b/>
          <w:lang w:val="en"/>
        </w:rPr>
        <w:t>16.03.2016</w:t>
      </w:r>
      <w:r w:rsidRPr="00DB7B6F">
        <w:rPr>
          <w:rFonts w:ascii="Cambria" w:eastAsia="Calibri" w:hAnsi="Cambria"/>
          <w:i/>
          <w:lang w:val="en"/>
        </w:rPr>
        <w:t xml:space="preserve"> </w:t>
      </w:r>
      <w:r w:rsidRPr="00682B0D">
        <w:rPr>
          <w:rFonts w:ascii="Cambria" w:eastAsia="Calibri" w:hAnsi="Cambria"/>
          <w:lang w:val="en"/>
        </w:rPr>
        <w:t xml:space="preserve">on measures to accelerate implementation of trans-European </w:t>
      </w:r>
      <w:r>
        <w:rPr>
          <w:rFonts w:ascii="Cambria" w:eastAsia="Calibri" w:hAnsi="Cambria"/>
          <w:lang w:val="en"/>
        </w:rPr>
        <w:t xml:space="preserve">transmission </w:t>
      </w:r>
      <w:r w:rsidRPr="00682B0D">
        <w:rPr>
          <w:rFonts w:ascii="Cambria" w:eastAsia="Calibri" w:hAnsi="Cambria"/>
          <w:lang w:val="en"/>
        </w:rPr>
        <w:t>infrastructure projects and amending and supplementing certain acts, published in the Official Gaze</w:t>
      </w:r>
      <w:r>
        <w:rPr>
          <w:rFonts w:ascii="Cambria" w:eastAsia="Calibri" w:hAnsi="Cambria"/>
          <w:lang w:val="en"/>
        </w:rPr>
        <w:t>tte of Romania, Part I, no. 204/</w:t>
      </w:r>
      <w:r w:rsidRPr="00682B0D">
        <w:rPr>
          <w:rFonts w:ascii="Cambria" w:eastAsia="Calibri" w:hAnsi="Cambria"/>
          <w:lang w:val="en"/>
        </w:rPr>
        <w:t>18.03.2016;</w:t>
      </w:r>
    </w:p>
    <w:p w:rsidR="00C35235" w:rsidRPr="00682B0D" w:rsidRDefault="00C35235" w:rsidP="00FA6EB9">
      <w:pPr>
        <w:numPr>
          <w:ilvl w:val="0"/>
          <w:numId w:val="156"/>
        </w:numPr>
        <w:spacing w:after="0" w:line="240" w:lineRule="auto"/>
        <w:ind w:left="567" w:hanging="425"/>
        <w:contextualSpacing/>
        <w:jc w:val="both"/>
        <w:rPr>
          <w:rFonts w:ascii="Cambria" w:eastAsia="Calibri" w:hAnsi="Cambria"/>
        </w:rPr>
      </w:pPr>
      <w:r>
        <w:rPr>
          <w:rFonts w:ascii="Cambria" w:eastAsia="Calibri" w:hAnsi="Cambria"/>
          <w:b/>
          <w:lang w:val="en"/>
        </w:rPr>
        <w:t>Government Decision no. 166/</w:t>
      </w:r>
      <w:r w:rsidRPr="00682B0D">
        <w:rPr>
          <w:rFonts w:ascii="Cambria" w:eastAsia="Calibri" w:hAnsi="Cambria"/>
          <w:b/>
          <w:lang w:val="en"/>
        </w:rPr>
        <w:t>16.03.2016</w:t>
      </w:r>
      <w:r w:rsidRPr="00682B0D">
        <w:rPr>
          <w:rFonts w:ascii="Cambria" w:eastAsia="Calibri" w:hAnsi="Cambria"/>
          <w:lang w:val="en"/>
        </w:rPr>
        <w:t xml:space="preserve"> approving the Agreement between the Romanian Government and </w:t>
      </w:r>
      <w:r>
        <w:rPr>
          <w:rFonts w:ascii="Cambria" w:eastAsia="Calibri" w:hAnsi="Cambria"/>
          <w:lang w:val="en"/>
        </w:rPr>
        <w:t xml:space="preserve">the </w:t>
      </w:r>
      <w:r w:rsidRPr="00682B0D">
        <w:rPr>
          <w:rFonts w:ascii="Cambria" w:eastAsia="Calibri" w:hAnsi="Cambria"/>
          <w:lang w:val="en"/>
        </w:rPr>
        <w:t>European Bank for Reconstruction and Development on</w:t>
      </w:r>
      <w:r>
        <w:rPr>
          <w:rFonts w:ascii="Cambria" w:eastAsia="Calibri" w:hAnsi="Cambria"/>
          <w:lang w:val="en"/>
        </w:rPr>
        <w:t xml:space="preserve"> the</w:t>
      </w:r>
      <w:r w:rsidRPr="00682B0D">
        <w:rPr>
          <w:rFonts w:ascii="Cambria" w:eastAsia="Calibri" w:hAnsi="Cambria"/>
          <w:lang w:val="en"/>
        </w:rPr>
        <w:t xml:space="preserve"> assistance for the implementation of projects financed by EU structural instruments, signed on 2 February 2016 published in the Official Gazett</w:t>
      </w:r>
      <w:r>
        <w:rPr>
          <w:rFonts w:ascii="Cambria" w:eastAsia="Calibri" w:hAnsi="Cambria"/>
          <w:lang w:val="en"/>
        </w:rPr>
        <w:t>e of Romania, Part I, no. 206/</w:t>
      </w:r>
      <w:r w:rsidRPr="00682B0D">
        <w:rPr>
          <w:rFonts w:ascii="Cambria" w:eastAsia="Calibri" w:hAnsi="Cambria"/>
          <w:lang w:val="en"/>
        </w:rPr>
        <w:t>21.03.2016;</w:t>
      </w:r>
    </w:p>
    <w:p w:rsidR="00C35235" w:rsidRPr="00682B0D" w:rsidRDefault="00C35235" w:rsidP="00FA6EB9">
      <w:pPr>
        <w:numPr>
          <w:ilvl w:val="0"/>
          <w:numId w:val="156"/>
        </w:numPr>
        <w:spacing w:after="0" w:line="240" w:lineRule="auto"/>
        <w:ind w:left="567" w:hanging="425"/>
        <w:contextualSpacing/>
        <w:jc w:val="both"/>
        <w:rPr>
          <w:rFonts w:ascii="Cambria" w:eastAsia="Calibri" w:hAnsi="Cambria"/>
        </w:rPr>
      </w:pPr>
      <w:r w:rsidRPr="00682B0D">
        <w:rPr>
          <w:rFonts w:ascii="Cambria" w:eastAsia="Calibri" w:hAnsi="Cambria"/>
          <w:b/>
          <w:lang w:val="en"/>
        </w:rPr>
        <w:t xml:space="preserve">A.N.R.E. Order </w:t>
      </w:r>
      <w:r>
        <w:rPr>
          <w:rFonts w:ascii="Cambria" w:eastAsia="Calibri" w:hAnsi="Cambria"/>
          <w:b/>
          <w:lang w:val="en"/>
        </w:rPr>
        <w:t>no. 9/</w:t>
      </w:r>
      <w:r w:rsidRPr="00682B0D">
        <w:rPr>
          <w:rFonts w:ascii="Cambria" w:eastAsia="Calibri" w:hAnsi="Cambria"/>
          <w:b/>
          <w:lang w:val="en"/>
        </w:rPr>
        <w:t>23.</w:t>
      </w:r>
      <w:r>
        <w:rPr>
          <w:rFonts w:ascii="Cambria" w:eastAsia="Calibri" w:hAnsi="Cambria"/>
          <w:b/>
          <w:lang w:val="en"/>
        </w:rPr>
        <w:t>0</w:t>
      </w:r>
      <w:r w:rsidRPr="00682B0D">
        <w:rPr>
          <w:rFonts w:ascii="Cambria" w:eastAsia="Calibri" w:hAnsi="Cambria"/>
          <w:b/>
          <w:lang w:val="en"/>
        </w:rPr>
        <w:t>3.2016</w:t>
      </w:r>
      <w:r w:rsidRPr="00682B0D">
        <w:rPr>
          <w:rFonts w:ascii="Cambria" w:eastAsia="Calibri" w:hAnsi="Cambria"/>
          <w:lang w:val="en"/>
        </w:rPr>
        <w:t xml:space="preserve"> </w:t>
      </w:r>
      <w:r w:rsidRPr="00682B0D">
        <w:rPr>
          <w:rFonts w:ascii="Cambria" w:eastAsia="Calibri" w:hAnsi="Cambria"/>
          <w:i/>
          <w:lang w:val="en"/>
        </w:rPr>
        <w:t>to extend the duration of the Order of the President of the National Energy Regulatory</w:t>
      </w:r>
      <w:r>
        <w:rPr>
          <w:rFonts w:ascii="Cambria" w:eastAsia="Calibri" w:hAnsi="Cambria"/>
          <w:i/>
          <w:lang w:val="en"/>
        </w:rPr>
        <w:t xml:space="preserve"> Authority</w:t>
      </w:r>
      <w:r w:rsidRPr="00682B0D">
        <w:rPr>
          <w:rFonts w:ascii="Cambria" w:eastAsia="Calibri" w:hAnsi="Cambria"/>
          <w:i/>
          <w:lang w:val="en"/>
        </w:rPr>
        <w:t xml:space="preserve"> no. 58/2015 on the establishment of the regulated tariff for the service of underground storage of natural gas by the National Company for </w:t>
      </w:r>
      <w:r w:rsidRPr="00682B0D">
        <w:rPr>
          <w:rFonts w:ascii="Cambria" w:eastAsia="Calibri" w:hAnsi="Cambria"/>
          <w:i/>
          <w:lang w:val="en"/>
        </w:rPr>
        <w:lastRenderedPageBreak/>
        <w:t>Natural Gas "Romgaz" - S.A. Medias</w:t>
      </w:r>
      <w:r w:rsidRPr="00682B0D">
        <w:rPr>
          <w:rFonts w:ascii="Cambria" w:eastAsia="Calibri" w:hAnsi="Cambria"/>
          <w:lang w:val="en"/>
        </w:rPr>
        <w:t>, published in the Official Gazett</w:t>
      </w:r>
      <w:r>
        <w:rPr>
          <w:rFonts w:ascii="Cambria" w:eastAsia="Calibri" w:hAnsi="Cambria"/>
          <w:lang w:val="en"/>
        </w:rPr>
        <w:t>e of Romania, Part I, no. 229/</w:t>
      </w:r>
      <w:r w:rsidRPr="00682B0D">
        <w:rPr>
          <w:rFonts w:ascii="Cambria" w:eastAsia="Calibri" w:hAnsi="Cambria"/>
          <w:lang w:val="en"/>
        </w:rPr>
        <w:t>29.03.2016;</w:t>
      </w:r>
    </w:p>
    <w:p w:rsidR="00C35235" w:rsidRPr="00682B0D" w:rsidRDefault="00C35235" w:rsidP="00FA6EB9">
      <w:pPr>
        <w:numPr>
          <w:ilvl w:val="0"/>
          <w:numId w:val="156"/>
        </w:numPr>
        <w:spacing w:after="0" w:line="240" w:lineRule="auto"/>
        <w:ind w:left="567" w:hanging="425"/>
        <w:contextualSpacing/>
        <w:jc w:val="both"/>
        <w:rPr>
          <w:rFonts w:ascii="Cambria" w:eastAsia="Calibri" w:hAnsi="Cambria"/>
          <w:bCs/>
          <w:iCs/>
        </w:rPr>
      </w:pPr>
      <w:r w:rsidRPr="00682B0D">
        <w:rPr>
          <w:rFonts w:ascii="Cambria" w:eastAsia="Calibri" w:hAnsi="Cambria"/>
          <w:b/>
          <w:bCs/>
          <w:iCs/>
          <w:lang w:val="en"/>
        </w:rPr>
        <w:t>Order of the Minister of Environme</w:t>
      </w:r>
      <w:r>
        <w:rPr>
          <w:rFonts w:ascii="Cambria" w:eastAsia="Calibri" w:hAnsi="Cambria"/>
          <w:b/>
          <w:bCs/>
          <w:iCs/>
          <w:lang w:val="en"/>
        </w:rPr>
        <w:t>nt, Water and Forestry no. 617/</w:t>
      </w:r>
      <w:r w:rsidRPr="00682B0D">
        <w:rPr>
          <w:rFonts w:ascii="Cambria" w:eastAsia="Calibri" w:hAnsi="Cambria"/>
          <w:b/>
          <w:bCs/>
          <w:iCs/>
          <w:lang w:val="en"/>
        </w:rPr>
        <w:t>25.03.2016</w:t>
      </w:r>
      <w:r w:rsidRPr="00682B0D">
        <w:rPr>
          <w:rFonts w:ascii="Cambria" w:eastAsia="Calibri" w:hAnsi="Cambria"/>
          <w:bCs/>
          <w:iCs/>
          <w:lang w:val="en"/>
        </w:rPr>
        <w:t xml:space="preserve"> amending and supplementing </w:t>
      </w:r>
      <w:r>
        <w:rPr>
          <w:rFonts w:ascii="Cambria" w:eastAsia="Calibri" w:hAnsi="Cambria"/>
          <w:bCs/>
          <w:iCs/>
          <w:lang w:val="en"/>
        </w:rPr>
        <w:t xml:space="preserve">the </w:t>
      </w:r>
      <w:r w:rsidRPr="00682B0D">
        <w:rPr>
          <w:rFonts w:ascii="Cambria" w:eastAsia="Calibri" w:hAnsi="Cambria"/>
          <w:bCs/>
          <w:iCs/>
          <w:lang w:val="en"/>
        </w:rPr>
        <w:t>Order of the Minister of Environment and Water no. 594/2006 approving the Certificate providing the obligations to the Environment Fund, published in the Official Gazette of Romania, Part I, no. 305 / 04.21.2016.</w:t>
      </w:r>
    </w:p>
    <w:p w:rsidR="00C35235" w:rsidRPr="00526828" w:rsidRDefault="00C35235" w:rsidP="00FA6EB9">
      <w:pPr>
        <w:numPr>
          <w:ilvl w:val="0"/>
          <w:numId w:val="156"/>
        </w:numPr>
        <w:spacing w:after="0" w:line="240" w:lineRule="auto"/>
        <w:ind w:left="630" w:hanging="450"/>
        <w:contextualSpacing/>
        <w:jc w:val="both"/>
        <w:rPr>
          <w:rFonts w:ascii="Cambria" w:eastAsia="Calibri" w:hAnsi="Cambria"/>
        </w:rPr>
      </w:pPr>
      <w:r>
        <w:rPr>
          <w:rFonts w:ascii="Cambria" w:eastAsia="Calibri" w:hAnsi="Cambria"/>
          <w:b/>
        </w:rPr>
        <w:t>Order A.N.R.E. no. 14/</w:t>
      </w:r>
      <w:r w:rsidRPr="00EE31B3">
        <w:rPr>
          <w:rFonts w:ascii="Cambria" w:eastAsia="Calibri" w:hAnsi="Cambria"/>
          <w:b/>
        </w:rPr>
        <w:t>30.03.2016</w:t>
      </w:r>
      <w:r w:rsidRPr="00526828">
        <w:rPr>
          <w:rFonts w:ascii="Cambria" w:eastAsia="Calibri" w:hAnsi="Cambria"/>
        </w:rPr>
        <w:t xml:space="preserve"> regarding the establishment of interim measures relating to the implementation of </w:t>
      </w:r>
      <w:r>
        <w:rPr>
          <w:rFonts w:ascii="Cambria" w:eastAsia="Calibri" w:hAnsi="Cambria"/>
        </w:rPr>
        <w:t xml:space="preserve">a </w:t>
      </w:r>
      <w:r w:rsidRPr="00526828">
        <w:rPr>
          <w:rFonts w:ascii="Cambria" w:eastAsia="Calibri" w:hAnsi="Cambria"/>
        </w:rPr>
        <w:t xml:space="preserve">Network Code for the National </w:t>
      </w:r>
      <w:r>
        <w:rPr>
          <w:rFonts w:ascii="Cambria" w:eastAsia="Calibri" w:hAnsi="Cambria"/>
        </w:rPr>
        <w:t>G</w:t>
      </w:r>
      <w:r w:rsidRPr="00526828">
        <w:rPr>
          <w:rFonts w:ascii="Cambria" w:eastAsia="Calibri" w:hAnsi="Cambria"/>
        </w:rPr>
        <w:t xml:space="preserve">as </w:t>
      </w:r>
      <w:r>
        <w:rPr>
          <w:rFonts w:ascii="Cambria" w:eastAsia="Calibri" w:hAnsi="Cambria"/>
        </w:rPr>
        <w:t>Transmission System</w:t>
      </w:r>
      <w:r w:rsidRPr="00526828">
        <w:rPr>
          <w:rFonts w:ascii="Cambria" w:eastAsia="Calibri" w:hAnsi="Cambria"/>
        </w:rPr>
        <w:t xml:space="preserve">, approved by </w:t>
      </w:r>
      <w:r>
        <w:rPr>
          <w:rFonts w:ascii="Cambria" w:eastAsia="Calibri" w:hAnsi="Cambria"/>
        </w:rPr>
        <w:t xml:space="preserve">the </w:t>
      </w:r>
      <w:r w:rsidRPr="00526828">
        <w:rPr>
          <w:rFonts w:ascii="Cambria" w:eastAsia="Calibri" w:hAnsi="Cambria"/>
        </w:rPr>
        <w:t>Order of the National Regulatory Authority for Energy no. 16/2013, published in the Official Gaze</w:t>
      </w:r>
      <w:r>
        <w:rPr>
          <w:rFonts w:ascii="Cambria" w:eastAsia="Calibri" w:hAnsi="Cambria"/>
        </w:rPr>
        <w:t>tte of Romania, Part I, no. 239/</w:t>
      </w:r>
      <w:r w:rsidRPr="00526828">
        <w:rPr>
          <w:rFonts w:ascii="Cambria" w:eastAsia="Calibri" w:hAnsi="Cambria"/>
        </w:rPr>
        <w:t>31.03.2016;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Law no. 53/</w:t>
      </w:r>
      <w:r w:rsidRPr="00EE31B3">
        <w:rPr>
          <w:rFonts w:ascii="Cambria" w:eastAsia="Calibri" w:hAnsi="Cambria"/>
          <w:b/>
        </w:rPr>
        <w:t>30.03.2016</w:t>
      </w:r>
      <w:r w:rsidRPr="00526828">
        <w:rPr>
          <w:rFonts w:ascii="Cambria" w:eastAsia="Calibri" w:hAnsi="Cambria"/>
        </w:rPr>
        <w:t xml:space="preserve"> amending Law no. 50/1991 on authorizing the execution of construction works, published in the Official Gaze</w:t>
      </w:r>
      <w:r>
        <w:rPr>
          <w:rFonts w:ascii="Cambria" w:eastAsia="Calibri" w:hAnsi="Cambria"/>
        </w:rPr>
        <w:t>tte of Romania, Part I, no. 245</w:t>
      </w:r>
      <w:r w:rsidRPr="00526828">
        <w:rPr>
          <w:rFonts w:ascii="Cambria" w:eastAsia="Calibri" w:hAnsi="Cambria"/>
        </w:rPr>
        <w:t>/ 01.04.2016;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A.N.A.P. Instruction no. 2/</w:t>
      </w:r>
      <w:r w:rsidRPr="00EE31B3">
        <w:rPr>
          <w:rFonts w:ascii="Cambria" w:eastAsia="Calibri" w:hAnsi="Cambria"/>
          <w:b/>
        </w:rPr>
        <w:t>31</w:t>
      </w:r>
      <w:r>
        <w:rPr>
          <w:rFonts w:ascii="Cambria" w:eastAsia="Calibri" w:hAnsi="Cambria"/>
          <w:b/>
        </w:rPr>
        <w:t>.</w:t>
      </w:r>
      <w:r w:rsidRPr="00EE31B3">
        <w:rPr>
          <w:rFonts w:ascii="Cambria" w:eastAsia="Calibri" w:hAnsi="Cambria"/>
          <w:b/>
        </w:rPr>
        <w:t>03.2016</w:t>
      </w:r>
      <w:r w:rsidRPr="00526828">
        <w:rPr>
          <w:rFonts w:ascii="Cambria" w:eastAsia="Calibri" w:hAnsi="Cambria"/>
        </w:rPr>
        <w:t xml:space="preserve"> issued in application of Art. 188 par. (1) a) para. (2) a) and para. (3) a) Government Emergency Ordinance no. 34/2006 on the award of public procurement contracts, public works concession contracts and service concession </w:t>
      </w:r>
      <w:r>
        <w:rPr>
          <w:rFonts w:ascii="Cambria" w:eastAsia="Calibri" w:hAnsi="Cambria"/>
        </w:rPr>
        <w:t xml:space="preserve">contracts </w:t>
      </w:r>
      <w:r w:rsidRPr="00526828">
        <w:rPr>
          <w:rFonts w:ascii="Cambria" w:eastAsia="Calibri" w:hAnsi="Cambria"/>
        </w:rPr>
        <w:t>published in the Official Gaze</w:t>
      </w:r>
      <w:r>
        <w:rPr>
          <w:rFonts w:ascii="Cambria" w:eastAsia="Calibri" w:hAnsi="Cambria"/>
        </w:rPr>
        <w:t>tte of Romania, Part I, no. 272</w:t>
      </w:r>
      <w:r w:rsidRPr="00526828">
        <w:rPr>
          <w:rFonts w:ascii="Cambria" w:eastAsia="Calibri" w:hAnsi="Cambria"/>
        </w:rPr>
        <w:t>/ 11.04.2016;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31B3">
        <w:rPr>
          <w:rFonts w:ascii="Cambria" w:eastAsia="Calibri" w:hAnsi="Cambria"/>
          <w:b/>
        </w:rPr>
        <w:t>General Secretariat</w:t>
      </w:r>
      <w:r>
        <w:rPr>
          <w:rFonts w:ascii="Cambria" w:eastAsia="Calibri" w:hAnsi="Cambria"/>
          <w:b/>
        </w:rPr>
        <w:t>e</w:t>
      </w:r>
      <w:r w:rsidRPr="00EE31B3">
        <w:rPr>
          <w:rFonts w:ascii="Cambria" w:eastAsia="Calibri" w:hAnsi="Cambria"/>
          <w:b/>
        </w:rPr>
        <w:t xml:space="preserve"> </w:t>
      </w:r>
      <w:r>
        <w:rPr>
          <w:rFonts w:ascii="Cambria" w:eastAsia="Calibri" w:hAnsi="Cambria"/>
          <w:b/>
        </w:rPr>
        <w:t>of the Government Order No. 200/</w:t>
      </w:r>
      <w:r w:rsidRPr="00EE31B3">
        <w:rPr>
          <w:rFonts w:ascii="Cambria" w:eastAsia="Calibri" w:hAnsi="Cambria"/>
          <w:b/>
        </w:rPr>
        <w:t>02.26.2016</w:t>
      </w:r>
      <w:r w:rsidRPr="00526828">
        <w:rPr>
          <w:rFonts w:ascii="Cambria" w:eastAsia="Calibri" w:hAnsi="Cambria"/>
        </w:rPr>
        <w:t xml:space="preserve"> amending and supplementing </w:t>
      </w:r>
      <w:r>
        <w:rPr>
          <w:rFonts w:ascii="Cambria" w:eastAsia="Calibri" w:hAnsi="Cambria"/>
        </w:rPr>
        <w:t xml:space="preserve">the </w:t>
      </w:r>
      <w:r w:rsidRPr="00526828">
        <w:rPr>
          <w:rFonts w:ascii="Cambria" w:eastAsia="Calibri" w:hAnsi="Cambria"/>
        </w:rPr>
        <w:t xml:space="preserve">Order </w:t>
      </w:r>
      <w:r>
        <w:rPr>
          <w:rFonts w:ascii="Cambria" w:eastAsia="Calibri" w:hAnsi="Cambria"/>
        </w:rPr>
        <w:t xml:space="preserve">of the </w:t>
      </w:r>
      <w:r w:rsidRPr="00526828">
        <w:rPr>
          <w:rFonts w:ascii="Cambria" w:eastAsia="Calibri" w:hAnsi="Cambria"/>
        </w:rPr>
        <w:t>Secretary General of the Government no. 400/2015 appr</w:t>
      </w:r>
      <w:r>
        <w:rPr>
          <w:rFonts w:ascii="Cambria" w:eastAsia="Calibri" w:hAnsi="Cambria"/>
        </w:rPr>
        <w:t>oving the Internal Control/</w:t>
      </w:r>
      <w:r w:rsidRPr="00526828">
        <w:rPr>
          <w:rFonts w:ascii="Cambria" w:eastAsia="Calibri" w:hAnsi="Cambria"/>
        </w:rPr>
        <w:t>managerial</w:t>
      </w:r>
      <w:r>
        <w:rPr>
          <w:rFonts w:ascii="Cambria" w:eastAsia="Calibri" w:hAnsi="Cambria"/>
        </w:rPr>
        <w:t xml:space="preserve"> Code of the</w:t>
      </w:r>
      <w:r w:rsidRPr="00526828">
        <w:rPr>
          <w:rFonts w:ascii="Cambria" w:eastAsia="Calibri" w:hAnsi="Cambria"/>
        </w:rPr>
        <w:t xml:space="preserve"> public entities, published in the Official Gaze</w:t>
      </w:r>
      <w:r>
        <w:rPr>
          <w:rFonts w:ascii="Cambria" w:eastAsia="Calibri" w:hAnsi="Cambria"/>
        </w:rPr>
        <w:t>tte of Romania, Part I, no. 275/</w:t>
      </w:r>
      <w:r w:rsidRPr="00526828">
        <w:rPr>
          <w:rFonts w:ascii="Cambria" w:eastAsia="Calibri" w:hAnsi="Cambria"/>
        </w:rPr>
        <w:t>12.04.2016;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31B3">
        <w:rPr>
          <w:rFonts w:ascii="Cambria" w:eastAsia="Calibri" w:hAnsi="Cambria"/>
          <w:b/>
        </w:rPr>
        <w:t>General Secretariat</w:t>
      </w:r>
      <w:r>
        <w:rPr>
          <w:rFonts w:ascii="Cambria" w:eastAsia="Calibri" w:hAnsi="Cambria"/>
          <w:b/>
        </w:rPr>
        <w:t>e</w:t>
      </w:r>
      <w:r w:rsidRPr="00EE31B3">
        <w:rPr>
          <w:rFonts w:ascii="Cambria" w:eastAsia="Calibri" w:hAnsi="Cambria"/>
          <w:b/>
        </w:rPr>
        <w:t xml:space="preserve"> of the Government Order </w:t>
      </w:r>
      <w:r>
        <w:rPr>
          <w:rFonts w:ascii="Cambria" w:eastAsia="Calibri" w:hAnsi="Cambria"/>
          <w:b/>
        </w:rPr>
        <w:t>No. 201/</w:t>
      </w:r>
      <w:r w:rsidRPr="00EE31B3">
        <w:rPr>
          <w:rFonts w:ascii="Cambria" w:eastAsia="Calibri" w:hAnsi="Cambria"/>
          <w:b/>
        </w:rPr>
        <w:t>02.26.2016</w:t>
      </w:r>
      <w:r w:rsidRPr="00526828">
        <w:rPr>
          <w:rFonts w:ascii="Cambria" w:eastAsia="Calibri" w:hAnsi="Cambria"/>
        </w:rPr>
        <w:t xml:space="preserve"> approving the Methodological Norms on the coordination, methodological guidance and supervision of the implementation stage of the internal control system development and management of public entities, published in the Official Gazette</w:t>
      </w:r>
      <w:r>
        <w:rPr>
          <w:rFonts w:ascii="Cambria" w:eastAsia="Calibri" w:hAnsi="Cambria"/>
        </w:rPr>
        <w:t xml:space="preserve"> of Romania, Part I, no. 276/</w:t>
      </w:r>
      <w:r w:rsidRPr="00526828">
        <w:rPr>
          <w:rFonts w:ascii="Cambria" w:eastAsia="Calibri" w:hAnsi="Cambria"/>
        </w:rPr>
        <w:t>12.04.2016;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31B3">
        <w:rPr>
          <w:rFonts w:ascii="Cambria" w:eastAsia="Calibri" w:hAnsi="Cambria"/>
          <w:b/>
        </w:rPr>
        <w:t>Govern</w:t>
      </w:r>
      <w:r>
        <w:rPr>
          <w:rFonts w:ascii="Cambria" w:eastAsia="Calibri" w:hAnsi="Cambria"/>
          <w:b/>
        </w:rPr>
        <w:t>ment Emergency Ordinance no. 11/</w:t>
      </w:r>
      <w:r w:rsidRPr="00EE31B3">
        <w:rPr>
          <w:rFonts w:ascii="Cambria" w:eastAsia="Calibri" w:hAnsi="Cambria"/>
          <w:b/>
        </w:rPr>
        <w:t>06.04.2016</w:t>
      </w:r>
      <w:r w:rsidRPr="00526828">
        <w:rPr>
          <w:rFonts w:ascii="Cambria" w:eastAsia="Calibri" w:hAnsi="Cambria"/>
        </w:rPr>
        <w:t xml:space="preserve"> regarding the establishment of reorganization measures at central government level, published in the Official Gaze</w:t>
      </w:r>
      <w:r>
        <w:rPr>
          <w:rFonts w:ascii="Cambria" w:eastAsia="Calibri" w:hAnsi="Cambria"/>
        </w:rPr>
        <w:t>tte of Romania, Part I, no. 285/</w:t>
      </w:r>
      <w:r w:rsidRPr="00526828">
        <w:rPr>
          <w:rFonts w:ascii="Cambria" w:eastAsia="Calibri" w:hAnsi="Cambria"/>
        </w:rPr>
        <w:t>14.04.2016;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31B3">
        <w:rPr>
          <w:rFonts w:ascii="Cambria" w:eastAsia="Calibri" w:hAnsi="Cambria"/>
          <w:b/>
        </w:rPr>
        <w:t>Ord</w:t>
      </w:r>
      <w:r>
        <w:rPr>
          <w:rFonts w:ascii="Cambria" w:eastAsia="Calibri" w:hAnsi="Cambria"/>
          <w:b/>
        </w:rPr>
        <w:t>er of the Minister of European Funds no. 181/</w:t>
      </w:r>
      <w:r w:rsidRPr="00EE31B3">
        <w:rPr>
          <w:rFonts w:ascii="Cambria" w:eastAsia="Calibri" w:hAnsi="Cambria"/>
          <w:b/>
        </w:rPr>
        <w:t>04.02.2016</w:t>
      </w:r>
      <w:r w:rsidRPr="00526828">
        <w:rPr>
          <w:rFonts w:ascii="Cambria" w:eastAsia="Calibri" w:hAnsi="Cambria"/>
        </w:rPr>
        <w:t xml:space="preserve"> and the Min</w:t>
      </w:r>
      <w:r>
        <w:rPr>
          <w:rFonts w:ascii="Cambria" w:eastAsia="Calibri" w:hAnsi="Cambria"/>
        </w:rPr>
        <w:t>ister of Public Finance no. 473/</w:t>
      </w:r>
      <w:r w:rsidRPr="00526828">
        <w:rPr>
          <w:rFonts w:ascii="Cambria" w:eastAsia="Calibri" w:hAnsi="Cambria"/>
        </w:rPr>
        <w:t>05.04.2016 approving the Methodological Norms for the application of art. I and VI of the Emergency Government Ordinance no. 34/2015 regulating certain measures to stimulate the absorption of external grants, published in the Official Gazett</w:t>
      </w:r>
      <w:r>
        <w:rPr>
          <w:rFonts w:ascii="Cambria" w:eastAsia="Calibri" w:hAnsi="Cambria"/>
        </w:rPr>
        <w:t>e of Romania, Part I, no. 291/</w:t>
      </w:r>
      <w:r w:rsidRPr="00526828">
        <w:rPr>
          <w:rFonts w:ascii="Cambria" w:eastAsia="Calibri" w:hAnsi="Cambria"/>
        </w:rPr>
        <w:t>04.18.2016;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Order A.N.R.E. no. 15/</w:t>
      </w:r>
      <w:r w:rsidRPr="00EE31B3">
        <w:rPr>
          <w:rFonts w:ascii="Cambria" w:eastAsia="Calibri" w:hAnsi="Cambria"/>
          <w:b/>
        </w:rPr>
        <w:t>20.04.2016</w:t>
      </w:r>
      <w:r w:rsidRPr="00526828">
        <w:rPr>
          <w:rFonts w:ascii="Cambria" w:eastAsia="Calibri" w:hAnsi="Cambria"/>
        </w:rPr>
        <w:t xml:space="preserve"> establishing measures for</w:t>
      </w:r>
      <w:r>
        <w:rPr>
          <w:rFonts w:ascii="Cambria" w:eastAsia="Calibri" w:hAnsi="Cambria"/>
        </w:rPr>
        <w:t xml:space="preserve"> the transmission</w:t>
      </w:r>
      <w:r w:rsidRPr="00526828">
        <w:rPr>
          <w:rFonts w:ascii="Cambria" w:eastAsia="Calibri" w:hAnsi="Cambria"/>
        </w:rPr>
        <w:t xml:space="preserve"> capacity booking </w:t>
      </w:r>
      <w:r>
        <w:rPr>
          <w:rFonts w:ascii="Cambria" w:eastAsia="Calibri" w:hAnsi="Cambria"/>
        </w:rPr>
        <w:t xml:space="preserve">in the </w:t>
      </w:r>
      <w:r w:rsidRPr="00526828">
        <w:rPr>
          <w:rFonts w:ascii="Cambria" w:eastAsia="Calibri" w:hAnsi="Cambria"/>
        </w:rPr>
        <w:t xml:space="preserve">interconnection point of the national gas transmission system in Romania </w:t>
      </w:r>
      <w:r>
        <w:rPr>
          <w:rFonts w:ascii="Cambria" w:eastAsia="Calibri" w:hAnsi="Cambria"/>
        </w:rPr>
        <w:t xml:space="preserve">with the </w:t>
      </w:r>
      <w:r w:rsidRPr="00526828">
        <w:rPr>
          <w:rFonts w:ascii="Cambria" w:eastAsia="Calibri" w:hAnsi="Cambria"/>
        </w:rPr>
        <w:t xml:space="preserve">gas </w:t>
      </w:r>
      <w:r>
        <w:rPr>
          <w:rFonts w:ascii="Cambria" w:eastAsia="Calibri" w:hAnsi="Cambria"/>
        </w:rPr>
        <w:t>transmission system from Hungary at</w:t>
      </w:r>
      <w:r w:rsidRPr="00526828">
        <w:rPr>
          <w:rFonts w:ascii="Cambria" w:eastAsia="Calibri" w:hAnsi="Cambria"/>
        </w:rPr>
        <w:t xml:space="preserve"> Csanadpalota published in the Official Gaz</w:t>
      </w:r>
      <w:r>
        <w:rPr>
          <w:rFonts w:ascii="Cambria" w:eastAsia="Calibri" w:hAnsi="Cambria"/>
        </w:rPr>
        <w:t>ette of Romania, Part I no. 322/</w:t>
      </w:r>
      <w:r w:rsidRPr="00526828">
        <w:rPr>
          <w:rFonts w:ascii="Cambria" w:eastAsia="Calibri" w:hAnsi="Cambria"/>
        </w:rPr>
        <w:t>27.04.2016;</w:t>
      </w:r>
    </w:p>
    <w:p w:rsidR="00C35235" w:rsidRPr="00526828"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Law no. 69/</w:t>
      </w:r>
      <w:r w:rsidRPr="00EE31B3">
        <w:rPr>
          <w:rFonts w:ascii="Cambria" w:eastAsia="Calibri" w:hAnsi="Cambria"/>
          <w:b/>
        </w:rPr>
        <w:t>25.04.2016</w:t>
      </w:r>
      <w:r w:rsidRPr="00526828">
        <w:rPr>
          <w:rFonts w:ascii="Cambria" w:eastAsia="Calibri" w:hAnsi="Cambria"/>
        </w:rPr>
        <w:t xml:space="preserve"> on green public procurement, published in the Official Gazette of Romania, Part I, no. 323 / 27.04.2016;</w:t>
      </w:r>
    </w:p>
    <w:p w:rsidR="00C35235" w:rsidRDefault="00C35235" w:rsidP="00FA6EB9">
      <w:pPr>
        <w:numPr>
          <w:ilvl w:val="0"/>
          <w:numId w:val="156"/>
        </w:numPr>
        <w:spacing w:after="0" w:line="240" w:lineRule="auto"/>
        <w:ind w:left="540"/>
        <w:contextualSpacing/>
        <w:jc w:val="both"/>
        <w:rPr>
          <w:rFonts w:ascii="Cambria" w:eastAsia="Calibri" w:hAnsi="Cambria"/>
          <w:i/>
        </w:rPr>
      </w:pPr>
      <w:r>
        <w:rPr>
          <w:rFonts w:ascii="Cambria" w:eastAsia="Calibri" w:hAnsi="Cambria"/>
        </w:rPr>
        <w:t xml:space="preserve"> </w:t>
      </w:r>
      <w:r>
        <w:rPr>
          <w:rFonts w:ascii="Cambria" w:eastAsia="Calibri" w:hAnsi="Cambria"/>
          <w:b/>
        </w:rPr>
        <w:t>Senate Decision no. 63/</w:t>
      </w:r>
      <w:r w:rsidRPr="00EE31B3">
        <w:rPr>
          <w:rFonts w:ascii="Cambria" w:eastAsia="Calibri" w:hAnsi="Cambria"/>
          <w:b/>
        </w:rPr>
        <w:t xml:space="preserve">25.04. 2016 </w:t>
      </w:r>
      <w:r w:rsidRPr="00526828">
        <w:rPr>
          <w:rFonts w:ascii="Cambria" w:eastAsia="Calibri" w:hAnsi="Cambria"/>
        </w:rPr>
        <w:t>on the proposal for a Regulation of the European Parliament and of the Council concerning measures to safeguard security of gas supply and repealing Regulation (EU) no. 994/2010 - COM (2016) 52 final, published in the Official Gaze</w:t>
      </w:r>
      <w:r>
        <w:rPr>
          <w:rFonts w:ascii="Cambria" w:eastAsia="Calibri" w:hAnsi="Cambria"/>
        </w:rPr>
        <w:t>tte of Romania, Part I, no. 325</w:t>
      </w:r>
      <w:r w:rsidRPr="00526828">
        <w:rPr>
          <w:rFonts w:ascii="Cambria" w:eastAsia="Calibri" w:hAnsi="Cambria"/>
        </w:rPr>
        <w:t>/</w:t>
      </w:r>
      <w:r w:rsidRPr="00526828">
        <w:rPr>
          <w:rFonts w:ascii="Cambria" w:eastAsia="Calibri" w:hAnsi="Cambria"/>
          <w:b/>
        </w:rPr>
        <w:t>27.04. 2016;</w:t>
      </w:r>
    </w:p>
    <w:p w:rsidR="00C35235" w:rsidRPr="002C23F7" w:rsidRDefault="00C35235" w:rsidP="00FA6EB9">
      <w:pPr>
        <w:numPr>
          <w:ilvl w:val="0"/>
          <w:numId w:val="156"/>
        </w:numPr>
        <w:spacing w:after="0" w:line="240" w:lineRule="auto"/>
        <w:ind w:left="540"/>
        <w:contextualSpacing/>
        <w:jc w:val="both"/>
        <w:rPr>
          <w:rFonts w:ascii="Cambria" w:eastAsia="Calibri" w:hAnsi="Cambria"/>
          <w:i/>
        </w:rPr>
      </w:pPr>
      <w:r>
        <w:rPr>
          <w:rFonts w:ascii="Cambria" w:eastAsia="Calibri" w:hAnsi="Cambria"/>
          <w:i/>
        </w:rPr>
        <w:t xml:space="preserve"> </w:t>
      </w:r>
      <w:r>
        <w:rPr>
          <w:rFonts w:ascii="Cambria" w:eastAsia="Calibri" w:hAnsi="Cambria"/>
          <w:b/>
        </w:rPr>
        <w:t>Law no. 98/</w:t>
      </w:r>
      <w:r w:rsidRPr="002C23F7">
        <w:rPr>
          <w:rFonts w:ascii="Cambria" w:eastAsia="Calibri" w:hAnsi="Cambria"/>
          <w:b/>
        </w:rPr>
        <w:t xml:space="preserve">19.05.2016 </w:t>
      </w:r>
      <w:r>
        <w:rPr>
          <w:rFonts w:ascii="Cambria" w:eastAsia="Calibri" w:hAnsi="Cambria"/>
        </w:rPr>
        <w:t xml:space="preserve">related to public </w:t>
      </w:r>
      <w:r w:rsidRPr="002C23F7">
        <w:rPr>
          <w:rFonts w:ascii="Cambria" w:eastAsia="Calibri" w:hAnsi="Cambria"/>
        </w:rPr>
        <w:t>procurement, published in the Official Gazette of Romani</w:t>
      </w:r>
      <w:r>
        <w:rPr>
          <w:rFonts w:ascii="Cambria" w:eastAsia="Calibri" w:hAnsi="Cambria"/>
        </w:rPr>
        <w:t>a, Part I, no. 390/23.05.2016.</w:t>
      </w:r>
    </w:p>
    <w:p w:rsidR="00C35235" w:rsidRPr="002C23F7" w:rsidRDefault="00C35235" w:rsidP="00FA6EB9">
      <w:pPr>
        <w:numPr>
          <w:ilvl w:val="0"/>
          <w:numId w:val="156"/>
        </w:numPr>
        <w:spacing w:after="0" w:line="240" w:lineRule="auto"/>
        <w:ind w:left="540"/>
        <w:contextualSpacing/>
        <w:jc w:val="both"/>
        <w:rPr>
          <w:rFonts w:ascii="Cambria" w:eastAsia="Calibri" w:hAnsi="Cambria"/>
          <w:i/>
        </w:rPr>
      </w:pPr>
      <w:r>
        <w:rPr>
          <w:rFonts w:ascii="Cambria" w:eastAsia="Calibri" w:hAnsi="Cambria"/>
          <w:b/>
        </w:rPr>
        <w:t>Law no. 99/</w:t>
      </w:r>
      <w:r w:rsidRPr="002C23F7">
        <w:rPr>
          <w:rFonts w:ascii="Cambria" w:eastAsia="Calibri" w:hAnsi="Cambria"/>
          <w:b/>
        </w:rPr>
        <w:t>19.05.2016</w:t>
      </w:r>
      <w:r w:rsidRPr="002C23F7">
        <w:rPr>
          <w:rFonts w:ascii="Cambria" w:eastAsia="Calibri" w:hAnsi="Cambria"/>
        </w:rPr>
        <w:t xml:space="preserve"> </w:t>
      </w:r>
      <w:r>
        <w:rPr>
          <w:rFonts w:ascii="Cambria" w:eastAsia="Calibri" w:hAnsi="Cambria"/>
        </w:rPr>
        <w:t xml:space="preserve">related to public </w:t>
      </w:r>
      <w:r w:rsidRPr="002C23F7">
        <w:rPr>
          <w:rFonts w:ascii="Cambria" w:eastAsia="Calibri" w:hAnsi="Cambria"/>
        </w:rPr>
        <w:t>procurement, published in the Official Gaze</w:t>
      </w:r>
      <w:r>
        <w:rPr>
          <w:rFonts w:ascii="Cambria" w:eastAsia="Calibri" w:hAnsi="Cambria"/>
        </w:rPr>
        <w:t>tte of Romania, Part I, no. 391/</w:t>
      </w:r>
      <w:r w:rsidRPr="002C23F7">
        <w:rPr>
          <w:rFonts w:ascii="Cambria" w:eastAsia="Calibri" w:hAnsi="Cambria"/>
        </w:rPr>
        <w:t>23.05.2016;</w:t>
      </w:r>
    </w:p>
    <w:p w:rsidR="00C35235" w:rsidRPr="00EE26D3" w:rsidRDefault="00C35235" w:rsidP="00FA6EB9">
      <w:pPr>
        <w:numPr>
          <w:ilvl w:val="0"/>
          <w:numId w:val="156"/>
        </w:numPr>
        <w:spacing w:after="0" w:line="240" w:lineRule="auto"/>
        <w:ind w:left="540"/>
        <w:contextualSpacing/>
        <w:jc w:val="both"/>
        <w:rPr>
          <w:rFonts w:ascii="Cambria" w:eastAsia="Calibri" w:hAnsi="Cambria"/>
        </w:rPr>
      </w:pPr>
      <w:r w:rsidRPr="00EE26D3">
        <w:rPr>
          <w:rFonts w:ascii="Cambria" w:eastAsia="Calibri" w:hAnsi="Cambria"/>
          <w:b/>
        </w:rPr>
        <w:t xml:space="preserve"> </w:t>
      </w:r>
      <w:r>
        <w:rPr>
          <w:rFonts w:ascii="Cambria" w:eastAsia="Calibri" w:hAnsi="Cambria"/>
          <w:b/>
        </w:rPr>
        <w:t>Law no. 100/</w:t>
      </w:r>
      <w:r w:rsidRPr="00EE26D3">
        <w:rPr>
          <w:rFonts w:ascii="Cambria" w:eastAsia="Calibri" w:hAnsi="Cambria"/>
          <w:b/>
        </w:rPr>
        <w:t>19.05.2016</w:t>
      </w:r>
      <w:r w:rsidRPr="00EE26D3">
        <w:rPr>
          <w:rFonts w:ascii="Cambria" w:eastAsia="Calibri" w:hAnsi="Cambria"/>
        </w:rPr>
        <w:t xml:space="preserve"> on works concessions and services concessions, published in the Official Gazett</w:t>
      </w:r>
      <w:r>
        <w:rPr>
          <w:rFonts w:ascii="Cambria" w:eastAsia="Calibri" w:hAnsi="Cambria"/>
        </w:rPr>
        <w:t>e of Romania, Part I, no. 392/</w:t>
      </w:r>
      <w:r w:rsidRPr="00EE26D3">
        <w:rPr>
          <w:rFonts w:ascii="Cambria" w:eastAsia="Calibri" w:hAnsi="Cambria"/>
        </w:rPr>
        <w:t>23.05.2016;</w:t>
      </w:r>
    </w:p>
    <w:p w:rsidR="00C35235" w:rsidRPr="00EE26D3"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Law no. 101/</w:t>
      </w:r>
      <w:r w:rsidRPr="00EE26D3">
        <w:rPr>
          <w:rFonts w:ascii="Cambria" w:eastAsia="Calibri" w:hAnsi="Cambria"/>
          <w:b/>
        </w:rPr>
        <w:t>19.05.2016</w:t>
      </w:r>
      <w:r w:rsidRPr="00EE26D3">
        <w:rPr>
          <w:rFonts w:ascii="Cambria" w:eastAsia="Calibri" w:hAnsi="Cambria"/>
        </w:rPr>
        <w:t xml:space="preserve"> on remedies and appeals concerning the award of public procur</w:t>
      </w:r>
      <w:r>
        <w:rPr>
          <w:rFonts w:ascii="Cambria" w:eastAsia="Calibri" w:hAnsi="Cambria"/>
        </w:rPr>
        <w:t xml:space="preserve">ement contracts, </w:t>
      </w:r>
      <w:r w:rsidRPr="00EE26D3">
        <w:rPr>
          <w:rFonts w:ascii="Cambria" w:eastAsia="Calibri" w:hAnsi="Cambria"/>
        </w:rPr>
        <w:t>sector</w:t>
      </w:r>
      <w:r>
        <w:rPr>
          <w:rFonts w:ascii="Cambria" w:eastAsia="Calibri" w:hAnsi="Cambria"/>
        </w:rPr>
        <w:t>al</w:t>
      </w:r>
      <w:r w:rsidRPr="00EE26D3">
        <w:rPr>
          <w:rFonts w:ascii="Cambria" w:eastAsia="Calibri" w:hAnsi="Cambria"/>
        </w:rPr>
        <w:t xml:space="preserve"> contracts and works concession contracts and service concession, and for the organization and functioning of the National Council for Solving Complaints, published in the Official Gaze</w:t>
      </w:r>
      <w:r>
        <w:rPr>
          <w:rFonts w:ascii="Cambria" w:eastAsia="Calibri" w:hAnsi="Cambria"/>
        </w:rPr>
        <w:t>tte of Romania, Part I, no. 393/</w:t>
      </w:r>
      <w:r w:rsidRPr="00EE26D3">
        <w:rPr>
          <w:rFonts w:ascii="Cambria" w:eastAsia="Calibri" w:hAnsi="Cambria"/>
        </w:rPr>
        <w:t>23.05.2016;</w:t>
      </w:r>
    </w:p>
    <w:p w:rsidR="00C35235" w:rsidRPr="00EE26D3"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26D3">
        <w:rPr>
          <w:rFonts w:ascii="Cambria" w:eastAsia="Calibri" w:hAnsi="Cambria"/>
          <w:b/>
        </w:rPr>
        <w:t>General Secretariat</w:t>
      </w:r>
      <w:r>
        <w:rPr>
          <w:rFonts w:ascii="Cambria" w:eastAsia="Calibri" w:hAnsi="Cambria"/>
          <w:b/>
        </w:rPr>
        <w:t>e</w:t>
      </w:r>
      <w:r w:rsidRPr="00EE26D3">
        <w:rPr>
          <w:rFonts w:ascii="Cambria" w:eastAsia="Calibri" w:hAnsi="Cambria"/>
          <w:b/>
        </w:rPr>
        <w:t xml:space="preserve"> </w:t>
      </w:r>
      <w:r>
        <w:rPr>
          <w:rFonts w:ascii="Cambria" w:eastAsia="Calibri" w:hAnsi="Cambria"/>
          <w:b/>
        </w:rPr>
        <w:t>of the Government Order No. 530/</w:t>
      </w:r>
      <w:r w:rsidRPr="00EE26D3">
        <w:rPr>
          <w:rFonts w:ascii="Cambria" w:eastAsia="Calibri" w:hAnsi="Cambria"/>
          <w:b/>
        </w:rPr>
        <w:t>20.05.2016</w:t>
      </w:r>
      <w:r w:rsidRPr="00EE26D3">
        <w:rPr>
          <w:rFonts w:ascii="Cambria" w:eastAsia="Calibri" w:hAnsi="Cambria"/>
        </w:rPr>
        <w:t xml:space="preserve"> amending and </w:t>
      </w:r>
      <w:r>
        <w:rPr>
          <w:rFonts w:ascii="Cambria" w:eastAsia="Calibri" w:hAnsi="Cambria"/>
        </w:rPr>
        <w:t xml:space="preserve">supplementing </w:t>
      </w:r>
      <w:r w:rsidRPr="00EE26D3">
        <w:rPr>
          <w:rFonts w:ascii="Cambria" w:eastAsia="Calibri" w:hAnsi="Cambria"/>
        </w:rPr>
        <w:t xml:space="preserve">the </w:t>
      </w:r>
      <w:r w:rsidRPr="00B30391">
        <w:rPr>
          <w:rFonts w:ascii="Cambria" w:eastAsia="Calibri" w:hAnsi="Cambria"/>
          <w:u w:val="single"/>
        </w:rPr>
        <w:t>Order of the Secretary General of the Government no. 400/2015</w:t>
      </w:r>
      <w:r w:rsidRPr="00EE26D3">
        <w:rPr>
          <w:rFonts w:ascii="Cambria" w:eastAsia="Calibri" w:hAnsi="Cambria"/>
        </w:rPr>
        <w:t xml:space="preserve"> </w:t>
      </w:r>
      <w:r w:rsidRPr="00EE26D3">
        <w:rPr>
          <w:rFonts w:ascii="Cambria" w:eastAsia="Calibri" w:hAnsi="Cambria"/>
        </w:rPr>
        <w:lastRenderedPageBreak/>
        <w:t>approving the Internal Control</w:t>
      </w:r>
      <w:r>
        <w:rPr>
          <w:rFonts w:ascii="Cambria" w:eastAsia="Calibri" w:hAnsi="Cambria"/>
        </w:rPr>
        <w:t>/</w:t>
      </w:r>
      <w:r w:rsidRPr="00EE26D3">
        <w:rPr>
          <w:rFonts w:ascii="Cambria" w:eastAsia="Calibri" w:hAnsi="Cambria"/>
        </w:rPr>
        <w:t>managerial Code</w:t>
      </w:r>
      <w:r>
        <w:rPr>
          <w:rFonts w:ascii="Cambria" w:eastAsia="Calibri" w:hAnsi="Cambria"/>
        </w:rPr>
        <w:t xml:space="preserve"> of</w:t>
      </w:r>
      <w:r w:rsidRPr="00EE26D3">
        <w:rPr>
          <w:rFonts w:ascii="Cambria" w:eastAsia="Calibri" w:hAnsi="Cambria"/>
        </w:rPr>
        <w:t xml:space="preserve"> public entities, published in the Official Gazette of Romania</w:t>
      </w:r>
      <w:r>
        <w:rPr>
          <w:rFonts w:ascii="Cambria" w:eastAsia="Calibri" w:hAnsi="Cambria"/>
        </w:rPr>
        <w:t>, Part I, no. 401/</w:t>
      </w:r>
      <w:r w:rsidRPr="00EE26D3">
        <w:rPr>
          <w:rFonts w:ascii="Cambria" w:eastAsia="Calibri" w:hAnsi="Cambria"/>
        </w:rPr>
        <w:t>26.05.2016;</w:t>
      </w:r>
    </w:p>
    <w:p w:rsidR="00C35235" w:rsidRPr="00EE26D3"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Pr>
          <w:rFonts w:ascii="Cambria" w:eastAsia="Calibri" w:hAnsi="Cambria"/>
          <w:b/>
        </w:rPr>
        <w:t>Law no. 111/</w:t>
      </w:r>
      <w:r w:rsidRPr="00EE26D3">
        <w:rPr>
          <w:rFonts w:ascii="Cambria" w:eastAsia="Calibri" w:hAnsi="Cambria"/>
          <w:b/>
        </w:rPr>
        <w:t>27.05.2016</w:t>
      </w:r>
      <w:r w:rsidRPr="00EE26D3">
        <w:rPr>
          <w:rFonts w:ascii="Cambria" w:eastAsia="Calibri" w:hAnsi="Cambria"/>
        </w:rPr>
        <w:t xml:space="preserve"> approving </w:t>
      </w:r>
      <w:r w:rsidRPr="00B30391">
        <w:rPr>
          <w:rFonts w:ascii="Cambria" w:eastAsia="Calibri" w:hAnsi="Cambria"/>
          <w:u w:val="single"/>
        </w:rPr>
        <w:t>Government Emergency Ordinance no. 109/2011</w:t>
      </w:r>
      <w:r w:rsidRPr="00EE26D3">
        <w:rPr>
          <w:rFonts w:ascii="Cambria" w:eastAsia="Calibri" w:hAnsi="Cambria"/>
        </w:rPr>
        <w:t xml:space="preserve"> regarding corporate governance of public enterprises, published in the Official Gazette of Romania, Part I, no. 415 / 01.06.2016;</w:t>
      </w:r>
    </w:p>
    <w:p w:rsidR="00C35235" w:rsidRPr="00EE26D3"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EE26D3">
        <w:rPr>
          <w:rFonts w:ascii="Cambria" w:eastAsia="Calibri" w:hAnsi="Cambria"/>
          <w:b/>
        </w:rPr>
        <w:t>Governm</w:t>
      </w:r>
      <w:r>
        <w:rPr>
          <w:rFonts w:ascii="Cambria" w:eastAsia="Calibri" w:hAnsi="Cambria"/>
          <w:b/>
        </w:rPr>
        <w:t>ent Decision no. 394/</w:t>
      </w:r>
      <w:r w:rsidRPr="00EE26D3">
        <w:rPr>
          <w:rFonts w:ascii="Cambria" w:eastAsia="Calibri" w:hAnsi="Cambria"/>
          <w:b/>
        </w:rPr>
        <w:t>02.06.2016</w:t>
      </w:r>
      <w:r w:rsidRPr="00EE26D3">
        <w:rPr>
          <w:rFonts w:ascii="Cambria" w:eastAsia="Calibri" w:hAnsi="Cambria"/>
        </w:rPr>
        <w:t xml:space="preserve"> approving the Methodological Norms for applying the provisions relating to </w:t>
      </w:r>
      <w:r>
        <w:rPr>
          <w:rFonts w:ascii="Cambria" w:eastAsia="Calibri" w:hAnsi="Cambria"/>
        </w:rPr>
        <w:t xml:space="preserve">the </w:t>
      </w:r>
      <w:r w:rsidRPr="00EE26D3">
        <w:rPr>
          <w:rFonts w:ascii="Cambria" w:eastAsia="Calibri" w:hAnsi="Cambria"/>
        </w:rPr>
        <w:t xml:space="preserve">award </w:t>
      </w:r>
      <w:r>
        <w:rPr>
          <w:rFonts w:ascii="Cambria" w:eastAsia="Calibri" w:hAnsi="Cambria"/>
        </w:rPr>
        <w:t>of sectoral/</w:t>
      </w:r>
      <w:r w:rsidRPr="00EE26D3">
        <w:rPr>
          <w:rFonts w:ascii="Cambria" w:eastAsia="Calibri" w:hAnsi="Cambria"/>
        </w:rPr>
        <w:t>framework agreement</w:t>
      </w:r>
      <w:r>
        <w:rPr>
          <w:rFonts w:ascii="Cambria" w:eastAsia="Calibri" w:hAnsi="Cambria"/>
        </w:rPr>
        <w:t>s</w:t>
      </w:r>
      <w:r w:rsidRPr="00EE26D3">
        <w:rPr>
          <w:rFonts w:ascii="Cambria" w:eastAsia="Calibri" w:hAnsi="Cambria"/>
        </w:rPr>
        <w:t xml:space="preserve"> of Law. 99/2016 </w:t>
      </w:r>
      <w:r>
        <w:rPr>
          <w:rFonts w:ascii="Cambria" w:eastAsia="Calibri" w:hAnsi="Cambria"/>
        </w:rPr>
        <w:t xml:space="preserve">on </w:t>
      </w:r>
      <w:r w:rsidRPr="00EE26D3">
        <w:rPr>
          <w:rFonts w:ascii="Cambria" w:eastAsia="Calibri" w:hAnsi="Cambria"/>
        </w:rPr>
        <w:t>sector</w:t>
      </w:r>
      <w:r>
        <w:rPr>
          <w:rFonts w:ascii="Cambria" w:eastAsia="Calibri" w:hAnsi="Cambria"/>
        </w:rPr>
        <w:t>al</w:t>
      </w:r>
      <w:r w:rsidRPr="00B30391">
        <w:rPr>
          <w:rFonts w:ascii="Cambria" w:eastAsia="Calibri" w:hAnsi="Cambria"/>
        </w:rPr>
        <w:t xml:space="preserve"> </w:t>
      </w:r>
      <w:r>
        <w:rPr>
          <w:rFonts w:ascii="Cambria" w:eastAsia="Calibri" w:hAnsi="Cambria"/>
        </w:rPr>
        <w:t>p</w:t>
      </w:r>
      <w:r w:rsidRPr="00EE26D3">
        <w:rPr>
          <w:rFonts w:ascii="Cambria" w:eastAsia="Calibri" w:hAnsi="Cambria"/>
        </w:rPr>
        <w:t>rocurement, published in the Official Gaze</w:t>
      </w:r>
      <w:r>
        <w:rPr>
          <w:rFonts w:ascii="Cambria" w:eastAsia="Calibri" w:hAnsi="Cambria"/>
        </w:rPr>
        <w:t>tte of Romania, Part I, no. 422/</w:t>
      </w:r>
      <w:r w:rsidRPr="00EE26D3">
        <w:rPr>
          <w:rFonts w:ascii="Cambria" w:eastAsia="Calibri" w:hAnsi="Cambria"/>
        </w:rPr>
        <w:t>06.06.2016;</w:t>
      </w:r>
    </w:p>
    <w:p w:rsidR="00C35235" w:rsidRDefault="00C35235" w:rsidP="00FA6EB9">
      <w:pPr>
        <w:numPr>
          <w:ilvl w:val="0"/>
          <w:numId w:val="156"/>
        </w:numPr>
        <w:spacing w:after="0" w:line="240" w:lineRule="auto"/>
        <w:ind w:left="540"/>
        <w:contextualSpacing/>
        <w:jc w:val="both"/>
        <w:rPr>
          <w:rFonts w:ascii="Cambria" w:eastAsia="Calibri" w:hAnsi="Cambria"/>
          <w:i/>
        </w:rPr>
      </w:pPr>
      <w:r w:rsidRPr="00EE26D3">
        <w:rPr>
          <w:rFonts w:ascii="Cambria" w:eastAsia="Calibri" w:hAnsi="Cambria"/>
        </w:rPr>
        <w:t xml:space="preserve"> </w:t>
      </w:r>
      <w:r>
        <w:rPr>
          <w:rFonts w:ascii="Cambria" w:eastAsia="Calibri" w:hAnsi="Cambria"/>
          <w:b/>
        </w:rPr>
        <w:t>Government Decision no. 395/</w:t>
      </w:r>
      <w:r w:rsidRPr="00EE26D3">
        <w:rPr>
          <w:rFonts w:ascii="Cambria" w:eastAsia="Calibri" w:hAnsi="Cambria"/>
          <w:b/>
        </w:rPr>
        <w:t>02.06.2016</w:t>
      </w:r>
      <w:r w:rsidRPr="00EE26D3">
        <w:rPr>
          <w:rFonts w:ascii="Cambria" w:eastAsia="Calibri" w:hAnsi="Cambria"/>
        </w:rPr>
        <w:t xml:space="preserve"> approving the Methodological Norms for the application of provisions concerning the award of public procurement contract / framework agreement of </w:t>
      </w:r>
      <w:r w:rsidRPr="00B30391">
        <w:rPr>
          <w:rFonts w:ascii="Cambria" w:eastAsia="Calibri" w:hAnsi="Cambria"/>
          <w:u w:val="single"/>
        </w:rPr>
        <w:t>Law. 98/2016</w:t>
      </w:r>
      <w:r w:rsidRPr="00EE26D3">
        <w:rPr>
          <w:rFonts w:ascii="Cambria" w:eastAsia="Calibri" w:hAnsi="Cambria"/>
        </w:rPr>
        <w:t xml:space="preserve"> on public procurement, published in the Official Gaze</w:t>
      </w:r>
      <w:r>
        <w:rPr>
          <w:rFonts w:ascii="Cambria" w:eastAsia="Calibri" w:hAnsi="Cambria"/>
        </w:rPr>
        <w:t>tte of Romania, Part I, no. 423/</w:t>
      </w:r>
      <w:r w:rsidRPr="00EE26D3">
        <w:rPr>
          <w:rFonts w:ascii="Cambria" w:eastAsia="Calibri" w:hAnsi="Cambria"/>
        </w:rPr>
        <w:t>06.06.2016;</w:t>
      </w:r>
    </w:p>
    <w:p w:rsidR="00C35235" w:rsidRPr="00B30391" w:rsidRDefault="00C35235" w:rsidP="00FA6EB9">
      <w:pPr>
        <w:numPr>
          <w:ilvl w:val="0"/>
          <w:numId w:val="156"/>
        </w:numPr>
        <w:spacing w:after="0" w:line="240" w:lineRule="auto"/>
        <w:ind w:left="540"/>
        <w:contextualSpacing/>
        <w:jc w:val="both"/>
        <w:rPr>
          <w:rFonts w:ascii="Cambria" w:eastAsia="Calibri" w:hAnsi="Cambria"/>
          <w:i/>
        </w:rPr>
      </w:pPr>
      <w:r>
        <w:rPr>
          <w:rFonts w:ascii="Cambria" w:eastAsia="Calibri" w:hAnsi="Cambria"/>
          <w:b/>
        </w:rPr>
        <w:t>A.N.A.P. Order no. 264/</w:t>
      </w:r>
      <w:r w:rsidRPr="00B30391">
        <w:rPr>
          <w:rFonts w:ascii="Cambria" w:eastAsia="Calibri" w:hAnsi="Cambria"/>
          <w:b/>
        </w:rPr>
        <w:t>08.06.2016</w:t>
      </w:r>
      <w:r w:rsidRPr="00B30391">
        <w:rPr>
          <w:rFonts w:ascii="Cambria" w:eastAsia="Calibri" w:hAnsi="Cambria"/>
        </w:rPr>
        <w:t xml:space="preserve"> establishing </w:t>
      </w:r>
      <w:r>
        <w:rPr>
          <w:rFonts w:ascii="Cambria" w:eastAsia="Calibri" w:hAnsi="Cambria"/>
        </w:rPr>
        <w:t xml:space="preserve">the </w:t>
      </w:r>
      <w:r w:rsidRPr="00B30391">
        <w:rPr>
          <w:rFonts w:ascii="Cambria" w:eastAsia="Calibri" w:hAnsi="Cambria"/>
        </w:rPr>
        <w:t xml:space="preserve">selection methodology for ex-ante </w:t>
      </w:r>
      <w:r>
        <w:rPr>
          <w:rFonts w:ascii="Cambria" w:eastAsia="Calibri" w:hAnsi="Cambria"/>
        </w:rPr>
        <w:t xml:space="preserve">evaluation </w:t>
      </w:r>
      <w:r w:rsidRPr="00B30391">
        <w:rPr>
          <w:rFonts w:ascii="Cambria" w:eastAsia="Calibri" w:hAnsi="Cambria"/>
        </w:rPr>
        <w:t xml:space="preserve">of tender documentation related </w:t>
      </w:r>
      <w:r>
        <w:rPr>
          <w:rFonts w:ascii="Cambria" w:eastAsia="Calibri" w:hAnsi="Cambria"/>
        </w:rPr>
        <w:t>to contracts/</w:t>
      </w:r>
      <w:r w:rsidRPr="00B30391">
        <w:rPr>
          <w:rFonts w:ascii="Cambria" w:eastAsia="Calibri" w:hAnsi="Cambria"/>
        </w:rPr>
        <w:t>framework</w:t>
      </w:r>
      <w:r>
        <w:rPr>
          <w:rFonts w:ascii="Cambria" w:eastAsia="Calibri" w:hAnsi="Cambria"/>
        </w:rPr>
        <w:t xml:space="preserve"> agreements</w:t>
      </w:r>
      <w:r w:rsidRPr="00B30391">
        <w:rPr>
          <w:rFonts w:ascii="Cambria" w:eastAsia="Calibri" w:hAnsi="Cambria"/>
        </w:rPr>
        <w:t xml:space="preserve"> covered </w:t>
      </w:r>
      <w:r>
        <w:rPr>
          <w:rFonts w:ascii="Cambria" w:eastAsia="Calibri" w:hAnsi="Cambria"/>
        </w:rPr>
        <w:t xml:space="preserve">by </w:t>
      </w:r>
      <w:r w:rsidRPr="00DD6BD4">
        <w:rPr>
          <w:rFonts w:ascii="Cambria" w:eastAsia="Calibri" w:hAnsi="Cambria"/>
          <w:u w:val="single"/>
        </w:rPr>
        <w:t xml:space="preserve">art. 23 para. (2) </w:t>
      </w:r>
      <w:r>
        <w:rPr>
          <w:rFonts w:ascii="Cambria" w:eastAsia="Calibri" w:hAnsi="Cambria"/>
          <w:u w:val="single"/>
        </w:rPr>
        <w:t xml:space="preserve">of </w:t>
      </w:r>
      <w:r w:rsidRPr="00DD6BD4">
        <w:rPr>
          <w:rFonts w:ascii="Cambria" w:eastAsia="Calibri" w:hAnsi="Cambria"/>
          <w:u w:val="single"/>
        </w:rPr>
        <w:t>the Annex to the Government Decision no. 395/2016</w:t>
      </w:r>
      <w:r w:rsidRPr="00B30391">
        <w:rPr>
          <w:rFonts w:ascii="Cambria" w:eastAsia="Calibri" w:hAnsi="Cambria"/>
        </w:rPr>
        <w:t xml:space="preserve"> approving the Methodological Norms for the application of provisions concerning the award</w:t>
      </w:r>
      <w:r>
        <w:rPr>
          <w:rFonts w:ascii="Cambria" w:eastAsia="Calibri" w:hAnsi="Cambria"/>
        </w:rPr>
        <w:t xml:space="preserve"> of public procurement contracts/</w:t>
      </w:r>
      <w:r w:rsidRPr="00B30391">
        <w:rPr>
          <w:rFonts w:ascii="Cambria" w:eastAsia="Calibri" w:hAnsi="Cambria"/>
        </w:rPr>
        <w:t>framework agreement</w:t>
      </w:r>
      <w:r>
        <w:rPr>
          <w:rFonts w:ascii="Cambria" w:eastAsia="Calibri" w:hAnsi="Cambria"/>
        </w:rPr>
        <w:t>s</w:t>
      </w:r>
      <w:r w:rsidRPr="00B30391">
        <w:rPr>
          <w:rFonts w:ascii="Cambria" w:eastAsia="Calibri" w:hAnsi="Cambria"/>
        </w:rPr>
        <w:t xml:space="preserve"> of </w:t>
      </w:r>
      <w:r w:rsidRPr="00DD6BD4">
        <w:rPr>
          <w:rFonts w:ascii="Cambria" w:eastAsia="Calibri" w:hAnsi="Cambria"/>
          <w:u w:val="single"/>
        </w:rPr>
        <w:t>Law. 98/2016</w:t>
      </w:r>
      <w:r w:rsidRPr="00B30391">
        <w:rPr>
          <w:rFonts w:ascii="Cambria" w:eastAsia="Calibri" w:hAnsi="Cambria"/>
        </w:rPr>
        <w:t xml:space="preserve"> on p</w:t>
      </w:r>
      <w:r>
        <w:rPr>
          <w:rFonts w:ascii="Cambria" w:eastAsia="Calibri" w:hAnsi="Cambria"/>
        </w:rPr>
        <w:t>ublic procurement, ie sectoral contracts/</w:t>
      </w:r>
      <w:r w:rsidRPr="00B30391">
        <w:rPr>
          <w:rFonts w:ascii="Cambria" w:eastAsia="Calibri" w:hAnsi="Cambria"/>
        </w:rPr>
        <w:t xml:space="preserve">framework agreements falling within </w:t>
      </w:r>
      <w:r w:rsidRPr="00DD6BD4">
        <w:rPr>
          <w:rFonts w:ascii="Cambria" w:eastAsia="Calibri" w:hAnsi="Cambria"/>
          <w:u w:val="single"/>
        </w:rPr>
        <w:t xml:space="preserve">Article sector. 25 para. (2) </w:t>
      </w:r>
      <w:r>
        <w:rPr>
          <w:rFonts w:ascii="Cambria" w:eastAsia="Calibri" w:hAnsi="Cambria"/>
          <w:u w:val="single"/>
        </w:rPr>
        <w:t xml:space="preserve">of </w:t>
      </w:r>
      <w:r w:rsidRPr="00DD6BD4">
        <w:rPr>
          <w:rFonts w:ascii="Cambria" w:eastAsia="Calibri" w:hAnsi="Cambria"/>
          <w:u w:val="single"/>
        </w:rPr>
        <w:t>the Annex to the Government Decision no. 394/2016</w:t>
      </w:r>
      <w:r w:rsidRPr="00B30391">
        <w:rPr>
          <w:rFonts w:ascii="Cambria" w:eastAsia="Calibri" w:hAnsi="Cambria"/>
        </w:rPr>
        <w:t xml:space="preserve"> approving the Methodological Norms for applying the provisions relating to award</w:t>
      </w:r>
      <w:r>
        <w:rPr>
          <w:rFonts w:ascii="Cambria" w:eastAsia="Calibri" w:hAnsi="Cambria"/>
        </w:rPr>
        <w:t>ing sectoral contracts</w:t>
      </w:r>
      <w:r w:rsidRPr="00B30391">
        <w:rPr>
          <w:rFonts w:ascii="Cambria" w:eastAsia="Calibri" w:hAnsi="Cambria"/>
        </w:rPr>
        <w:t>/ framework agreement</w:t>
      </w:r>
      <w:r>
        <w:rPr>
          <w:rFonts w:ascii="Cambria" w:eastAsia="Calibri" w:hAnsi="Cambria"/>
        </w:rPr>
        <w:t>s</w:t>
      </w:r>
      <w:r w:rsidRPr="00B30391">
        <w:rPr>
          <w:rFonts w:ascii="Cambria" w:eastAsia="Calibri" w:hAnsi="Cambria"/>
        </w:rPr>
        <w:t xml:space="preserve"> of </w:t>
      </w:r>
      <w:r w:rsidRPr="00DD6BD4">
        <w:rPr>
          <w:rFonts w:ascii="Cambria" w:eastAsia="Calibri" w:hAnsi="Cambria"/>
          <w:u w:val="single"/>
        </w:rPr>
        <w:t>Law. 99/2016</w:t>
      </w:r>
      <w:r w:rsidRPr="00B30391">
        <w:rPr>
          <w:rFonts w:ascii="Cambria" w:eastAsia="Calibri" w:hAnsi="Cambria"/>
        </w:rPr>
        <w:t xml:space="preserve"> </w:t>
      </w:r>
      <w:r>
        <w:rPr>
          <w:rFonts w:ascii="Cambria" w:eastAsia="Calibri" w:hAnsi="Cambria"/>
        </w:rPr>
        <w:t xml:space="preserve">on </w:t>
      </w:r>
      <w:r w:rsidRPr="00B30391">
        <w:rPr>
          <w:rFonts w:ascii="Cambria" w:eastAsia="Calibri" w:hAnsi="Cambria"/>
        </w:rPr>
        <w:t>sector</w:t>
      </w:r>
      <w:r>
        <w:rPr>
          <w:rFonts w:ascii="Cambria" w:eastAsia="Calibri" w:hAnsi="Cambria"/>
        </w:rPr>
        <w:t>al</w:t>
      </w:r>
      <w:r w:rsidRPr="00B30391">
        <w:rPr>
          <w:rFonts w:ascii="Cambria" w:eastAsia="Calibri" w:hAnsi="Cambria"/>
        </w:rPr>
        <w:t xml:space="preserve"> procurement and to define their interaction with</w:t>
      </w:r>
      <w:r>
        <w:rPr>
          <w:rFonts w:ascii="Cambria" w:eastAsia="Calibri" w:hAnsi="Cambria"/>
        </w:rPr>
        <w:t xml:space="preserve"> </w:t>
      </w:r>
      <w:r w:rsidRPr="00B30391">
        <w:rPr>
          <w:rFonts w:ascii="Cambria" w:eastAsia="Calibri" w:hAnsi="Cambria"/>
        </w:rPr>
        <w:t>audited</w:t>
      </w:r>
      <w:r>
        <w:rPr>
          <w:rFonts w:ascii="Cambria" w:eastAsia="Calibri" w:hAnsi="Cambria"/>
        </w:rPr>
        <w:t xml:space="preserve"> contracting authorities/</w:t>
      </w:r>
      <w:r w:rsidRPr="00B30391">
        <w:rPr>
          <w:rFonts w:ascii="Cambria" w:eastAsia="Calibri" w:hAnsi="Cambria"/>
        </w:rPr>
        <w:t>entities, published in the Official Gaze</w:t>
      </w:r>
      <w:r>
        <w:rPr>
          <w:rFonts w:ascii="Cambria" w:eastAsia="Calibri" w:hAnsi="Cambria"/>
        </w:rPr>
        <w:t>tte of Romania, Part I, no. 432/</w:t>
      </w:r>
      <w:r w:rsidRPr="00B30391">
        <w:rPr>
          <w:rFonts w:ascii="Cambria" w:eastAsia="Calibri" w:hAnsi="Cambria"/>
        </w:rPr>
        <w:t>09.06.2016;</w:t>
      </w:r>
    </w:p>
    <w:p w:rsidR="00C35235" w:rsidRPr="00DD6BD4" w:rsidRDefault="00C35235" w:rsidP="00FA6EB9">
      <w:pPr>
        <w:numPr>
          <w:ilvl w:val="0"/>
          <w:numId w:val="156"/>
        </w:numPr>
        <w:spacing w:after="0" w:line="240" w:lineRule="auto"/>
        <w:ind w:left="540"/>
        <w:contextualSpacing/>
        <w:jc w:val="both"/>
        <w:rPr>
          <w:rFonts w:ascii="Cambria" w:eastAsia="Calibri" w:hAnsi="Cambria"/>
        </w:rPr>
      </w:pPr>
      <w:r w:rsidRPr="00DD6BD4">
        <w:rPr>
          <w:rFonts w:ascii="Cambria" w:eastAsia="Calibri" w:hAnsi="Cambria"/>
        </w:rPr>
        <w:t xml:space="preserve"> </w:t>
      </w:r>
      <w:r>
        <w:rPr>
          <w:rFonts w:ascii="Cambria" w:eastAsia="Calibri" w:hAnsi="Cambria"/>
          <w:b/>
        </w:rPr>
        <w:t>Government Decision no. 448/</w:t>
      </w:r>
      <w:r w:rsidRPr="00DD6BD4">
        <w:rPr>
          <w:rFonts w:ascii="Cambria" w:eastAsia="Calibri" w:hAnsi="Cambria"/>
          <w:b/>
        </w:rPr>
        <w:t>02.06.2016</w:t>
      </w:r>
      <w:r w:rsidRPr="00DD6BD4">
        <w:rPr>
          <w:rFonts w:ascii="Cambria" w:eastAsia="Calibri" w:hAnsi="Cambria"/>
        </w:rPr>
        <w:t xml:space="preserve"> amending and supplementing </w:t>
      </w:r>
      <w:r w:rsidRPr="00D02D2D">
        <w:rPr>
          <w:rFonts w:ascii="Cambria" w:eastAsia="Calibri" w:hAnsi="Cambria"/>
          <w:u w:val="single"/>
        </w:rPr>
        <w:t>Government Decision no. 957/2015</w:t>
      </w:r>
      <w:r w:rsidRPr="00DD6BD4">
        <w:rPr>
          <w:rFonts w:ascii="Cambria" w:eastAsia="Calibri" w:hAnsi="Cambria"/>
        </w:rPr>
        <w:t xml:space="preserve"> on the organization and functioning of the Ministry of Economy, Trade and Relations with</w:t>
      </w:r>
      <w:r>
        <w:rPr>
          <w:rFonts w:ascii="Cambria" w:eastAsia="Calibri" w:hAnsi="Cambria"/>
        </w:rPr>
        <w:t xml:space="preserve"> the</w:t>
      </w:r>
      <w:r w:rsidRPr="00DD6BD4">
        <w:rPr>
          <w:rFonts w:ascii="Cambria" w:eastAsia="Calibri" w:hAnsi="Cambria"/>
        </w:rPr>
        <w:t xml:space="preserve"> Business</w:t>
      </w:r>
      <w:r>
        <w:rPr>
          <w:rFonts w:ascii="Cambria" w:eastAsia="Calibri" w:hAnsi="Cambria"/>
        </w:rPr>
        <w:t xml:space="preserve"> environment</w:t>
      </w:r>
      <w:r w:rsidRPr="00DD6BD4">
        <w:rPr>
          <w:rFonts w:ascii="Cambria" w:eastAsia="Calibri" w:hAnsi="Cambria"/>
        </w:rPr>
        <w:t>, and amending other laws, published in the Official Gaze</w:t>
      </w:r>
      <w:r>
        <w:rPr>
          <w:rFonts w:ascii="Cambria" w:eastAsia="Calibri" w:hAnsi="Cambria"/>
        </w:rPr>
        <w:t>tte of Romania, Part I, no. 474</w:t>
      </w:r>
      <w:r w:rsidRPr="00DD6BD4">
        <w:rPr>
          <w:rFonts w:ascii="Cambria" w:eastAsia="Calibri" w:hAnsi="Cambria"/>
        </w:rPr>
        <w:t>/ 24.06.2016;</w:t>
      </w:r>
    </w:p>
    <w:p w:rsidR="00C35235" w:rsidRPr="00DD6BD4" w:rsidRDefault="00C35235" w:rsidP="00FA6EB9">
      <w:pPr>
        <w:numPr>
          <w:ilvl w:val="0"/>
          <w:numId w:val="156"/>
        </w:numPr>
        <w:spacing w:after="0" w:line="240" w:lineRule="auto"/>
        <w:ind w:left="540"/>
        <w:contextualSpacing/>
        <w:jc w:val="both"/>
        <w:rPr>
          <w:rFonts w:ascii="Cambria" w:eastAsia="Calibri" w:hAnsi="Cambria"/>
        </w:rPr>
      </w:pPr>
      <w:r>
        <w:rPr>
          <w:rFonts w:ascii="Cambria" w:eastAsia="Calibri" w:hAnsi="Cambria"/>
        </w:rPr>
        <w:t xml:space="preserve"> </w:t>
      </w:r>
      <w:r w:rsidRPr="00D02D2D">
        <w:rPr>
          <w:rFonts w:ascii="Cambria" w:eastAsia="Calibri" w:hAnsi="Cambria"/>
          <w:b/>
        </w:rPr>
        <w:t>Govern</w:t>
      </w:r>
      <w:r>
        <w:rPr>
          <w:rFonts w:ascii="Cambria" w:eastAsia="Calibri" w:hAnsi="Cambria"/>
          <w:b/>
        </w:rPr>
        <w:t>ment Emergency Ordinance no. 28/</w:t>
      </w:r>
      <w:r w:rsidRPr="00D02D2D">
        <w:rPr>
          <w:rFonts w:ascii="Cambria" w:eastAsia="Calibri" w:hAnsi="Cambria"/>
          <w:b/>
        </w:rPr>
        <w:t>28.06.2016</w:t>
      </w:r>
      <w:r>
        <w:rPr>
          <w:rFonts w:ascii="Cambria" w:eastAsia="Calibri" w:hAnsi="Cambria"/>
        </w:rPr>
        <w:t xml:space="preserve"> </w:t>
      </w:r>
      <w:r w:rsidRPr="00DD6BD4">
        <w:rPr>
          <w:rFonts w:ascii="Cambria" w:eastAsia="Calibri" w:hAnsi="Cambria"/>
        </w:rPr>
        <w:t xml:space="preserve">amending and supplementing the </w:t>
      </w:r>
      <w:r w:rsidRPr="00D02D2D">
        <w:rPr>
          <w:rFonts w:ascii="Cambria" w:eastAsia="Calibri" w:hAnsi="Cambria"/>
          <w:u w:val="single"/>
        </w:rPr>
        <w:t>Law on electricity and natural gas no. 123/2012</w:t>
      </w:r>
      <w:r w:rsidRPr="00DD6BD4">
        <w:rPr>
          <w:rFonts w:ascii="Cambria" w:eastAsia="Calibri" w:hAnsi="Cambria"/>
        </w:rPr>
        <w:t xml:space="preserve"> published in the Official Gazett</w:t>
      </w:r>
      <w:r>
        <w:rPr>
          <w:rFonts w:ascii="Cambria" w:eastAsia="Calibri" w:hAnsi="Cambria"/>
        </w:rPr>
        <w:t>e of Romania, Part I, no. 487/</w:t>
      </w:r>
      <w:r w:rsidRPr="00DD6BD4">
        <w:rPr>
          <w:rFonts w:ascii="Cambria" w:eastAsia="Calibri" w:hAnsi="Cambria"/>
        </w:rPr>
        <w:t>30.06.2016.</w:t>
      </w:r>
    </w:p>
    <w:p w:rsidR="00C35235" w:rsidRPr="00DD6BD4" w:rsidRDefault="00C35235" w:rsidP="00FA6EB9">
      <w:pPr>
        <w:numPr>
          <w:ilvl w:val="0"/>
          <w:numId w:val="156"/>
        </w:numPr>
        <w:spacing w:after="0" w:line="240" w:lineRule="auto"/>
        <w:ind w:left="540"/>
        <w:contextualSpacing/>
        <w:jc w:val="both"/>
        <w:rPr>
          <w:rFonts w:ascii="Cambria" w:eastAsiaTheme="minorHAnsi" w:hAnsi="Cambria" w:cs="Arial"/>
          <w:lang w:val="en-GB"/>
        </w:rPr>
      </w:pPr>
      <w:r>
        <w:rPr>
          <w:rFonts w:ascii="Cambria" w:eastAsia="Calibri" w:hAnsi="Cambria"/>
        </w:rPr>
        <w:t xml:space="preserve"> </w:t>
      </w:r>
      <w:r w:rsidRPr="00D02D2D">
        <w:rPr>
          <w:rFonts w:ascii="Cambria" w:eastAsia="Calibri" w:hAnsi="Cambria"/>
          <w:b/>
        </w:rPr>
        <w:t>GD no. 448</w:t>
      </w:r>
      <w:r w:rsidRPr="00DD6BD4">
        <w:rPr>
          <w:rFonts w:ascii="Cambria" w:eastAsia="Calibri" w:hAnsi="Cambria"/>
        </w:rPr>
        <w:t xml:space="preserve"> amending and supplementing Government Decision no. 957/2015 on the organization and functioning of the Ministry of Economy, Trade and Relations with </w:t>
      </w:r>
      <w:r>
        <w:rPr>
          <w:rFonts w:ascii="Cambria" w:eastAsia="Calibri" w:hAnsi="Cambria"/>
        </w:rPr>
        <w:t xml:space="preserve">the </w:t>
      </w:r>
      <w:r w:rsidRPr="00DD6BD4">
        <w:rPr>
          <w:rFonts w:ascii="Cambria" w:eastAsia="Calibri" w:hAnsi="Cambria"/>
        </w:rPr>
        <w:t>Business</w:t>
      </w:r>
      <w:r>
        <w:rPr>
          <w:rFonts w:ascii="Cambria" w:eastAsia="Calibri" w:hAnsi="Cambria"/>
        </w:rPr>
        <w:t xml:space="preserve"> environment</w:t>
      </w:r>
      <w:r w:rsidRPr="00DD6BD4">
        <w:rPr>
          <w:rFonts w:ascii="Cambria" w:eastAsia="Calibri" w:hAnsi="Cambria"/>
        </w:rPr>
        <w:t>, and amending other laws, published in the Official Gazette no. 448/24 June 2016 Part I.</w:t>
      </w:r>
    </w:p>
    <w:p w:rsidR="00C35235" w:rsidRPr="00D02D2D" w:rsidRDefault="00C35235" w:rsidP="00FA6EB9">
      <w:pPr>
        <w:numPr>
          <w:ilvl w:val="0"/>
          <w:numId w:val="156"/>
        </w:numPr>
        <w:spacing w:after="0" w:line="240" w:lineRule="auto"/>
        <w:ind w:left="540"/>
        <w:contextualSpacing/>
        <w:jc w:val="both"/>
        <w:rPr>
          <w:rFonts w:ascii="Cambria" w:eastAsia="Calibri" w:hAnsi="Cambria"/>
          <w:bCs/>
          <w:iCs/>
        </w:rPr>
      </w:pPr>
      <w:r>
        <w:rPr>
          <w:rFonts w:ascii="Cambria" w:eastAsia="Calibri" w:hAnsi="Cambria"/>
          <w:bCs/>
          <w:iCs/>
        </w:rPr>
        <w:t xml:space="preserve"> </w:t>
      </w:r>
      <w:r w:rsidRPr="009E0ECC">
        <w:rPr>
          <w:rFonts w:ascii="Cambria" w:eastAsia="Calibri" w:hAnsi="Cambria"/>
          <w:b/>
          <w:bCs/>
          <w:iCs/>
        </w:rPr>
        <w:t>Decision no. 461 of 28 June 2016</w:t>
      </w:r>
      <w:r w:rsidRPr="00D02D2D">
        <w:rPr>
          <w:rFonts w:ascii="Cambria" w:eastAsia="Calibri" w:hAnsi="Cambria"/>
          <w:bCs/>
          <w:iCs/>
        </w:rPr>
        <w:t xml:space="preserve"> amending the Annex to the Government Decision no. 488/2015 on establishing the purchase price of natural gas from domestic production for domestic Customers and Producers of thermal energy, only for the Quantities of natural gas to produce thermal energy Used in Cogeneration plants and heating plants for ho</w:t>
      </w:r>
      <w:r>
        <w:rPr>
          <w:rFonts w:ascii="Cambria" w:eastAsia="Calibri" w:hAnsi="Cambria"/>
          <w:bCs/>
          <w:iCs/>
        </w:rPr>
        <w:t>usehold consumption, and betwee</w:t>
      </w:r>
      <w:r w:rsidRPr="00D02D2D">
        <w:rPr>
          <w:rFonts w:ascii="Cambria" w:eastAsia="Calibri" w:hAnsi="Cambria"/>
          <w:bCs/>
          <w:iCs/>
        </w:rPr>
        <w:t>n 1 July 2015</w:t>
      </w:r>
      <w:r>
        <w:rPr>
          <w:rFonts w:ascii="Cambria" w:eastAsia="Calibri" w:hAnsi="Cambria"/>
          <w:bCs/>
          <w:iCs/>
        </w:rPr>
        <w:t xml:space="preserve"> and</w:t>
      </w:r>
      <w:r w:rsidRPr="00D02D2D">
        <w:rPr>
          <w:rFonts w:ascii="Cambria" w:eastAsia="Calibri" w:hAnsi="Cambria"/>
          <w:bCs/>
          <w:iCs/>
        </w:rPr>
        <w:t xml:space="preserve"> 30 June 2016 Published in Official Journal no. 487/30 June 2016</w:t>
      </w:r>
      <w:r>
        <w:rPr>
          <w:rFonts w:ascii="Cambria" w:eastAsia="Calibri" w:hAnsi="Cambria"/>
          <w:bCs/>
          <w:iCs/>
        </w:rPr>
        <w:t>,</w:t>
      </w:r>
      <w:r w:rsidRPr="00D02D2D">
        <w:rPr>
          <w:rFonts w:ascii="Cambria" w:eastAsia="Calibri" w:hAnsi="Cambria"/>
          <w:bCs/>
          <w:iCs/>
        </w:rPr>
        <w:t xml:space="preserve"> Part I;</w:t>
      </w:r>
    </w:p>
    <w:p w:rsidR="00C35235" w:rsidRPr="00D02D2D" w:rsidRDefault="00C35235" w:rsidP="00FA6EB9">
      <w:pPr>
        <w:numPr>
          <w:ilvl w:val="0"/>
          <w:numId w:val="156"/>
        </w:numPr>
        <w:spacing w:after="0" w:line="240" w:lineRule="auto"/>
        <w:ind w:left="540"/>
        <w:contextualSpacing/>
        <w:jc w:val="both"/>
        <w:rPr>
          <w:rFonts w:ascii="Cambria" w:eastAsia="Calibri" w:hAnsi="Cambria"/>
          <w:bCs/>
          <w:iCs/>
        </w:rPr>
      </w:pPr>
      <w:r>
        <w:rPr>
          <w:rFonts w:ascii="Cambria" w:eastAsia="Calibri" w:hAnsi="Cambria"/>
          <w:bCs/>
          <w:iCs/>
        </w:rPr>
        <w:t xml:space="preserve"> </w:t>
      </w:r>
      <w:r w:rsidRPr="009E0ECC">
        <w:rPr>
          <w:rFonts w:ascii="Cambria" w:eastAsia="Calibri" w:hAnsi="Cambria"/>
          <w:b/>
          <w:bCs/>
          <w:iCs/>
        </w:rPr>
        <w:t>Government Emergency Ordinance no.</w:t>
      </w:r>
      <w:r>
        <w:rPr>
          <w:rFonts w:ascii="Cambria" w:eastAsia="Calibri" w:hAnsi="Cambria"/>
          <w:b/>
          <w:bCs/>
          <w:iCs/>
        </w:rPr>
        <w:t xml:space="preserve"> 28</w:t>
      </w:r>
      <w:r w:rsidRPr="00D02D2D">
        <w:rPr>
          <w:rFonts w:ascii="Cambria" w:eastAsia="Calibri" w:hAnsi="Cambria"/>
          <w:bCs/>
          <w:iCs/>
        </w:rPr>
        <w:t xml:space="preserve"> Amending </w:t>
      </w:r>
      <w:r>
        <w:rPr>
          <w:rFonts w:ascii="Cambria" w:eastAsia="Calibri" w:hAnsi="Cambria"/>
          <w:bCs/>
          <w:iCs/>
        </w:rPr>
        <w:t xml:space="preserve">the </w:t>
      </w:r>
      <w:r w:rsidRPr="00D02D2D">
        <w:rPr>
          <w:rFonts w:ascii="Cambria" w:eastAsia="Calibri" w:hAnsi="Cambria"/>
          <w:bCs/>
          <w:iCs/>
        </w:rPr>
        <w:t>Law for electricity and natural gas no. 123/2012 publ</w:t>
      </w:r>
      <w:r>
        <w:rPr>
          <w:rFonts w:ascii="Cambria" w:eastAsia="Calibri" w:hAnsi="Cambria"/>
          <w:bCs/>
          <w:iCs/>
        </w:rPr>
        <w:t>ished in the Official Gazette no</w:t>
      </w:r>
      <w:r w:rsidRPr="00D02D2D">
        <w:rPr>
          <w:rFonts w:ascii="Cambria" w:eastAsia="Calibri" w:hAnsi="Cambria"/>
          <w:bCs/>
          <w:iCs/>
        </w:rPr>
        <w:t>.</w:t>
      </w:r>
      <w:r>
        <w:rPr>
          <w:rFonts w:ascii="Cambria" w:eastAsia="Calibri" w:hAnsi="Cambria"/>
          <w:bCs/>
          <w:iCs/>
        </w:rPr>
        <w:t xml:space="preserve"> </w:t>
      </w:r>
      <w:r w:rsidRPr="00D02D2D">
        <w:rPr>
          <w:rFonts w:ascii="Cambria" w:eastAsia="Calibri" w:hAnsi="Cambria"/>
          <w:bCs/>
          <w:iCs/>
        </w:rPr>
        <w:t>487</w:t>
      </w:r>
      <w:r>
        <w:rPr>
          <w:rFonts w:ascii="Cambria" w:eastAsia="Calibri" w:hAnsi="Cambria"/>
          <w:bCs/>
          <w:iCs/>
        </w:rPr>
        <w:t>/</w:t>
      </w:r>
      <w:r w:rsidRPr="00D02D2D">
        <w:rPr>
          <w:rFonts w:ascii="Cambria" w:eastAsia="Calibri" w:hAnsi="Cambria"/>
          <w:bCs/>
          <w:iCs/>
        </w:rPr>
        <w:t>30 June 2016, Part I.</w:t>
      </w:r>
    </w:p>
    <w:p w:rsidR="00C35235" w:rsidRPr="00D02D2D" w:rsidRDefault="00C35235" w:rsidP="00FA6EB9">
      <w:pPr>
        <w:numPr>
          <w:ilvl w:val="0"/>
          <w:numId w:val="156"/>
        </w:numPr>
        <w:spacing w:after="0" w:line="240" w:lineRule="auto"/>
        <w:ind w:left="540"/>
        <w:contextualSpacing/>
        <w:jc w:val="both"/>
        <w:rPr>
          <w:rFonts w:ascii="Cambria" w:eastAsiaTheme="minorHAnsi" w:hAnsi="Cambria"/>
          <w:b/>
          <w:i/>
        </w:rPr>
      </w:pPr>
      <w:r>
        <w:rPr>
          <w:rFonts w:ascii="Cambria" w:eastAsia="Calibri" w:hAnsi="Cambria"/>
          <w:bCs/>
          <w:iCs/>
        </w:rPr>
        <w:t xml:space="preserve"> </w:t>
      </w:r>
      <w:r w:rsidRPr="009E0ECC">
        <w:rPr>
          <w:rFonts w:ascii="Cambria" w:eastAsia="Calibri" w:hAnsi="Cambria"/>
          <w:b/>
          <w:bCs/>
          <w:iCs/>
        </w:rPr>
        <w:t>ANRE Order no. 31</w:t>
      </w:r>
      <w:r w:rsidRPr="00D02D2D">
        <w:rPr>
          <w:rFonts w:ascii="Cambria" w:eastAsia="Calibri" w:hAnsi="Cambria"/>
          <w:bCs/>
          <w:iCs/>
        </w:rPr>
        <w:t xml:space="preserve"> amending and s</w:t>
      </w:r>
      <w:r>
        <w:rPr>
          <w:rFonts w:ascii="Cambria" w:eastAsia="Calibri" w:hAnsi="Cambria"/>
          <w:bCs/>
          <w:iCs/>
        </w:rPr>
        <w:t xml:space="preserve">upplementing the methodology for </w:t>
      </w:r>
      <w:r w:rsidRPr="00D02D2D">
        <w:rPr>
          <w:rFonts w:ascii="Cambria" w:eastAsia="Calibri" w:hAnsi="Cambria"/>
          <w:bCs/>
          <w:iCs/>
        </w:rPr>
        <w:t xml:space="preserve">establishing </w:t>
      </w:r>
      <w:r>
        <w:rPr>
          <w:rFonts w:ascii="Cambria" w:eastAsia="Calibri" w:hAnsi="Cambria"/>
          <w:bCs/>
          <w:iCs/>
        </w:rPr>
        <w:t xml:space="preserve">the </w:t>
      </w:r>
      <w:r w:rsidRPr="00D02D2D">
        <w:rPr>
          <w:rFonts w:ascii="Cambria" w:eastAsia="Calibri" w:hAnsi="Cambria"/>
          <w:bCs/>
          <w:iCs/>
        </w:rPr>
        <w:t>regulated revenue, to</w:t>
      </w:r>
      <w:r>
        <w:rPr>
          <w:rFonts w:ascii="Cambria" w:eastAsia="Calibri" w:hAnsi="Cambria"/>
          <w:bCs/>
          <w:iCs/>
        </w:rPr>
        <w:t xml:space="preserve">tal revenue and tariffs for gas transmission </w:t>
      </w:r>
      <w:r w:rsidRPr="00D02D2D">
        <w:rPr>
          <w:rFonts w:ascii="Cambria" w:eastAsia="Calibri" w:hAnsi="Cambria"/>
          <w:bCs/>
          <w:iCs/>
        </w:rPr>
        <w:t>approved by Order of the President of the National Energy Regulatory no. 32/2014, published in Official Gazette no. 511/7 July 2016, Part I.</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sidRPr="00FE3C48">
        <w:rPr>
          <w:rFonts w:ascii="Cambria" w:eastAsia="Calibri" w:hAnsi="Cambria"/>
          <w:b/>
          <w:bCs/>
          <w:iCs/>
        </w:rPr>
        <w:t>GD no. 478</w:t>
      </w:r>
      <w:r w:rsidRPr="00FE3C48">
        <w:rPr>
          <w:rFonts w:ascii="Cambria" w:eastAsia="Calibri" w:hAnsi="Cambria"/>
          <w:bCs/>
          <w:iCs/>
        </w:rPr>
        <w:t xml:space="preserve"> amending and supplementing the Methodological Norms of Law no. 544/2001 on free access to public information approved by Government Decision no. 123/2002 published in Official Gazette no. 516/8 July 2016, Part I.</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Pr>
          <w:rFonts w:ascii="Cambria" w:eastAsia="Calibri" w:hAnsi="Cambria"/>
          <w:b/>
          <w:bCs/>
          <w:iCs/>
        </w:rPr>
        <w:t>Law no. 148/</w:t>
      </w:r>
      <w:r w:rsidRPr="00FE3C48">
        <w:rPr>
          <w:rFonts w:ascii="Cambria" w:eastAsia="Calibri" w:hAnsi="Cambria"/>
          <w:b/>
          <w:bCs/>
          <w:iCs/>
        </w:rPr>
        <w:t>12.07.2016</w:t>
      </w:r>
      <w:r w:rsidRPr="00FE3C48">
        <w:rPr>
          <w:rFonts w:ascii="Cambria" w:eastAsia="Calibri" w:hAnsi="Cambria"/>
          <w:bCs/>
          <w:iCs/>
        </w:rPr>
        <w:t xml:space="preserve"> amending and supplementing </w:t>
      </w:r>
      <w:r w:rsidRPr="00FE3C48">
        <w:rPr>
          <w:rFonts w:ascii="Cambria" w:eastAsia="Calibri" w:hAnsi="Cambria"/>
          <w:bCs/>
          <w:iCs/>
          <w:u w:val="single"/>
        </w:rPr>
        <w:t>Law no. 50/1991</w:t>
      </w:r>
      <w:r w:rsidRPr="00FE3C48">
        <w:rPr>
          <w:rFonts w:ascii="Cambria" w:eastAsia="Calibri" w:hAnsi="Cambria"/>
          <w:bCs/>
          <w:iCs/>
        </w:rPr>
        <w:t xml:space="preserve"> on authorizing the execution of construction works, published in the Official Gazett</w:t>
      </w:r>
      <w:r>
        <w:rPr>
          <w:rFonts w:ascii="Cambria" w:eastAsia="Calibri" w:hAnsi="Cambria"/>
          <w:bCs/>
          <w:iCs/>
        </w:rPr>
        <w:t>e of Romania, Part I, no. 534/</w:t>
      </w:r>
      <w:r w:rsidRPr="00FE3C48">
        <w:rPr>
          <w:rFonts w:ascii="Cambria" w:eastAsia="Calibri" w:hAnsi="Cambria"/>
          <w:bCs/>
          <w:iCs/>
        </w:rPr>
        <w:t>15.07.2016.</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sidRPr="00FE3C48">
        <w:rPr>
          <w:rFonts w:ascii="Cambria" w:eastAsia="Calibri" w:hAnsi="Cambria"/>
          <w:b/>
          <w:bCs/>
          <w:iCs/>
        </w:rPr>
        <w:t>Law no</w:t>
      </w:r>
      <w:r>
        <w:rPr>
          <w:rFonts w:ascii="Cambria" w:eastAsia="Calibri" w:hAnsi="Cambria"/>
          <w:b/>
          <w:bCs/>
          <w:iCs/>
        </w:rPr>
        <w:t>. 154/</w:t>
      </w:r>
      <w:r w:rsidRPr="00FE3C48">
        <w:rPr>
          <w:rFonts w:ascii="Cambria" w:eastAsia="Calibri" w:hAnsi="Cambria"/>
          <w:b/>
          <w:bCs/>
          <w:iCs/>
        </w:rPr>
        <w:t>15.07.2016</w:t>
      </w:r>
      <w:r w:rsidRPr="00FE3C48">
        <w:rPr>
          <w:rFonts w:ascii="Cambria" w:eastAsia="Calibri" w:hAnsi="Cambria"/>
          <w:bCs/>
          <w:iCs/>
        </w:rPr>
        <w:t xml:space="preserve"> regarding the approval of </w:t>
      </w:r>
      <w:r w:rsidRPr="00FE3C48">
        <w:rPr>
          <w:rFonts w:ascii="Cambria" w:eastAsia="Calibri" w:hAnsi="Cambria"/>
          <w:bCs/>
          <w:iCs/>
          <w:u w:val="single"/>
        </w:rPr>
        <w:t>Government Ordinance no. 11/2016</w:t>
      </w:r>
      <w:r w:rsidRPr="00FE3C48">
        <w:rPr>
          <w:rFonts w:ascii="Cambria" w:eastAsia="Calibri" w:hAnsi="Cambria"/>
          <w:bCs/>
          <w:iCs/>
        </w:rPr>
        <w:t xml:space="preserve"> amending and supplementing </w:t>
      </w:r>
      <w:r w:rsidRPr="00FE3C48">
        <w:rPr>
          <w:rFonts w:ascii="Cambria" w:eastAsia="Calibri" w:hAnsi="Cambria"/>
          <w:bCs/>
          <w:iCs/>
          <w:u w:val="single"/>
        </w:rPr>
        <w:t>Government Ordinance no. 26/2013</w:t>
      </w:r>
      <w:r w:rsidRPr="00FE3C48">
        <w:rPr>
          <w:rFonts w:ascii="Cambria" w:eastAsia="Calibri" w:hAnsi="Cambria"/>
          <w:bCs/>
          <w:iCs/>
        </w:rPr>
        <w:t xml:space="preserve"> on strengthening </w:t>
      </w:r>
      <w:r w:rsidRPr="00FE3C48">
        <w:rPr>
          <w:rFonts w:ascii="Cambria" w:eastAsia="Calibri" w:hAnsi="Cambria"/>
          <w:bCs/>
          <w:iCs/>
        </w:rPr>
        <w:lastRenderedPageBreak/>
        <w:t>financial discipline at the level of economic operators where the state or administrative-territorial units are majority or sole shareholders or hold directly or indirectly a majority shareholding, published in the Official Gazett</w:t>
      </w:r>
      <w:r>
        <w:rPr>
          <w:rFonts w:ascii="Cambria" w:eastAsia="Calibri" w:hAnsi="Cambria"/>
          <w:bCs/>
          <w:iCs/>
        </w:rPr>
        <w:t>e of Romania, Part I, no. 540/</w:t>
      </w:r>
      <w:r w:rsidRPr="00FE3C48">
        <w:rPr>
          <w:rFonts w:ascii="Cambria" w:eastAsia="Calibri" w:hAnsi="Cambria"/>
          <w:bCs/>
          <w:iCs/>
        </w:rPr>
        <w:t>19.07.2016.</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sidRPr="00FE3C48">
        <w:rPr>
          <w:rFonts w:ascii="Cambria" w:eastAsia="Calibri" w:hAnsi="Cambria"/>
          <w:b/>
          <w:bCs/>
          <w:iCs/>
        </w:rPr>
        <w:t xml:space="preserve">Order of the President of the National Energy Regulatory </w:t>
      </w:r>
      <w:r>
        <w:rPr>
          <w:rFonts w:ascii="Cambria" w:eastAsia="Calibri" w:hAnsi="Cambria"/>
          <w:b/>
          <w:bCs/>
          <w:iCs/>
        </w:rPr>
        <w:t>Authority no. 36/</w:t>
      </w:r>
      <w:r w:rsidRPr="00FE3C48">
        <w:rPr>
          <w:rFonts w:ascii="Cambria" w:eastAsia="Calibri" w:hAnsi="Cambria"/>
          <w:b/>
          <w:bCs/>
          <w:iCs/>
        </w:rPr>
        <w:t>19.07.2016</w:t>
      </w:r>
      <w:r w:rsidRPr="00FE3C48">
        <w:rPr>
          <w:rFonts w:ascii="Cambria" w:eastAsia="Calibri" w:hAnsi="Cambria"/>
          <w:bCs/>
          <w:iCs/>
        </w:rPr>
        <w:t xml:space="preserve"> regarding the modality of determining the annual minimum stock level of natural gas for licensees operating gas transmission systems, published in the Official Gazett</w:t>
      </w:r>
      <w:r>
        <w:rPr>
          <w:rFonts w:ascii="Cambria" w:eastAsia="Calibri" w:hAnsi="Cambria"/>
          <w:bCs/>
          <w:iCs/>
        </w:rPr>
        <w:t>e of Romania, Part I, no. 551/</w:t>
      </w:r>
      <w:r w:rsidRPr="00FE3C48">
        <w:rPr>
          <w:rFonts w:ascii="Cambria" w:eastAsia="Calibri" w:hAnsi="Cambria"/>
          <w:bCs/>
          <w:iCs/>
        </w:rPr>
        <w:t>21.07.2016.</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sidRPr="0021624C">
        <w:rPr>
          <w:rFonts w:ascii="Cambria" w:eastAsia="Calibri" w:hAnsi="Cambria"/>
          <w:b/>
          <w:bCs/>
          <w:iCs/>
        </w:rPr>
        <w:t>Order of the President of the National Energ</w:t>
      </w:r>
      <w:r>
        <w:rPr>
          <w:rFonts w:ascii="Cambria" w:eastAsia="Calibri" w:hAnsi="Cambria"/>
          <w:b/>
          <w:bCs/>
          <w:iCs/>
        </w:rPr>
        <w:t>y Regulatory no. 35/</w:t>
      </w:r>
      <w:r w:rsidRPr="0021624C">
        <w:rPr>
          <w:rFonts w:ascii="Cambria" w:eastAsia="Calibri" w:hAnsi="Cambria"/>
          <w:b/>
          <w:bCs/>
          <w:iCs/>
        </w:rPr>
        <w:t>19.07.2016</w:t>
      </w:r>
      <w:r w:rsidRPr="00FE3C48">
        <w:rPr>
          <w:rFonts w:ascii="Cambria" w:eastAsia="Calibri" w:hAnsi="Cambria"/>
          <w:bCs/>
          <w:iCs/>
        </w:rPr>
        <w:t xml:space="preserve"> approving the methodology for determining the annual minimum gas stock level for licensees of natural gas supply, published in the Official Gaze</w:t>
      </w:r>
      <w:r>
        <w:rPr>
          <w:rFonts w:ascii="Cambria" w:eastAsia="Calibri" w:hAnsi="Cambria"/>
          <w:bCs/>
          <w:iCs/>
        </w:rPr>
        <w:t>tte of Romania, Part I, no. 552/</w:t>
      </w:r>
      <w:r w:rsidRPr="00FE3C48">
        <w:rPr>
          <w:rFonts w:ascii="Cambria" w:eastAsia="Calibri" w:hAnsi="Cambria"/>
          <w:bCs/>
          <w:iCs/>
        </w:rPr>
        <w:t>21.07.2016.</w:t>
      </w:r>
      <w:r>
        <w:rPr>
          <w:rFonts w:ascii="Cambria" w:eastAsia="Calibri" w:hAnsi="Cambria"/>
          <w:bCs/>
          <w:iCs/>
        </w:rPr>
        <w:t xml:space="preserve"> </w:t>
      </w:r>
    </w:p>
    <w:p w:rsidR="00C35235" w:rsidRPr="00FE3C48" w:rsidRDefault="00C35235" w:rsidP="00FA6EB9">
      <w:pPr>
        <w:numPr>
          <w:ilvl w:val="0"/>
          <w:numId w:val="156"/>
        </w:numPr>
        <w:spacing w:after="0" w:line="240" w:lineRule="auto"/>
        <w:ind w:hanging="540"/>
        <w:contextualSpacing/>
        <w:jc w:val="both"/>
        <w:rPr>
          <w:rFonts w:ascii="Cambria" w:eastAsia="Calibri" w:hAnsi="Cambria"/>
          <w:bCs/>
          <w:iCs/>
        </w:rPr>
      </w:pPr>
      <w:r w:rsidRPr="0021624C">
        <w:rPr>
          <w:rFonts w:ascii="Cambria" w:eastAsia="Calibri" w:hAnsi="Cambria"/>
          <w:b/>
          <w:bCs/>
          <w:iCs/>
        </w:rPr>
        <w:t>Order of the President of the Na</w:t>
      </w:r>
      <w:r>
        <w:rPr>
          <w:rFonts w:ascii="Cambria" w:eastAsia="Calibri" w:hAnsi="Cambria"/>
          <w:b/>
          <w:bCs/>
          <w:iCs/>
        </w:rPr>
        <w:t>tional Energy Regulatory Authority no. 34/</w:t>
      </w:r>
      <w:r w:rsidRPr="0021624C">
        <w:rPr>
          <w:rFonts w:ascii="Cambria" w:eastAsia="Calibri" w:hAnsi="Cambria"/>
          <w:b/>
          <w:bCs/>
          <w:iCs/>
        </w:rPr>
        <w:t>07.19.2016</w:t>
      </w:r>
      <w:r w:rsidRPr="00FE3C48">
        <w:rPr>
          <w:rFonts w:ascii="Cambria" w:eastAsia="Calibri" w:hAnsi="Cambria"/>
          <w:bCs/>
          <w:iCs/>
        </w:rPr>
        <w:t xml:space="preserve"> approving the Methodology for transmission capacity </w:t>
      </w:r>
      <w:r>
        <w:rPr>
          <w:rFonts w:ascii="Cambria" w:eastAsia="Calibri" w:hAnsi="Cambria"/>
          <w:bCs/>
          <w:iCs/>
        </w:rPr>
        <w:t>booking and the tariff setting</w:t>
      </w:r>
      <w:r w:rsidRPr="00FE3C48">
        <w:rPr>
          <w:rFonts w:ascii="Cambria" w:eastAsia="Calibri" w:hAnsi="Cambria"/>
          <w:bCs/>
          <w:iCs/>
        </w:rPr>
        <w:t xml:space="preserve"> for the </w:t>
      </w:r>
      <w:r>
        <w:rPr>
          <w:rFonts w:ascii="Cambria" w:eastAsia="Calibri" w:hAnsi="Cambria"/>
          <w:bCs/>
          <w:iCs/>
        </w:rPr>
        <w:t xml:space="preserve">gas transmission services </w:t>
      </w:r>
      <w:r w:rsidRPr="00FE3C48">
        <w:rPr>
          <w:rFonts w:ascii="Cambria" w:eastAsia="Calibri" w:hAnsi="Cambria"/>
          <w:bCs/>
          <w:iCs/>
        </w:rPr>
        <w:t>through the Isaccea - Negru Voda, published in the Official G</w:t>
      </w:r>
      <w:r>
        <w:rPr>
          <w:rFonts w:ascii="Cambria" w:eastAsia="Calibri" w:hAnsi="Cambria"/>
          <w:bCs/>
          <w:iCs/>
        </w:rPr>
        <w:t>azette of Romania, Part I, no. 560/</w:t>
      </w:r>
      <w:r w:rsidRPr="00FE3C48">
        <w:rPr>
          <w:rFonts w:ascii="Cambria" w:eastAsia="Calibri" w:hAnsi="Cambria"/>
          <w:bCs/>
          <w:iCs/>
        </w:rPr>
        <w:t>25.07.2016.</w:t>
      </w:r>
    </w:p>
    <w:p w:rsidR="00C35235" w:rsidRPr="00FE3C48" w:rsidRDefault="00C35235" w:rsidP="00FA6EB9">
      <w:pPr>
        <w:numPr>
          <w:ilvl w:val="0"/>
          <w:numId w:val="156"/>
        </w:numPr>
        <w:spacing w:after="0" w:line="240" w:lineRule="auto"/>
        <w:ind w:hanging="540"/>
        <w:contextualSpacing/>
        <w:jc w:val="both"/>
        <w:rPr>
          <w:rFonts w:ascii="Cambria" w:eastAsiaTheme="minorHAnsi" w:hAnsi="Cambria"/>
        </w:rPr>
      </w:pPr>
      <w:r w:rsidRPr="00411651">
        <w:rPr>
          <w:rFonts w:ascii="Cambria" w:eastAsia="Calibri" w:hAnsi="Cambria"/>
          <w:b/>
          <w:bCs/>
          <w:iCs/>
        </w:rPr>
        <w:t>Order no. 1072</w:t>
      </w:r>
      <w:r>
        <w:rPr>
          <w:rFonts w:ascii="Cambria" w:eastAsia="Calibri" w:hAnsi="Cambria"/>
          <w:b/>
          <w:bCs/>
          <w:iCs/>
        </w:rPr>
        <w:t xml:space="preserve"> of the Minister of Public Finance </w:t>
      </w:r>
      <w:r w:rsidRPr="00411651">
        <w:rPr>
          <w:rFonts w:ascii="Cambria" w:eastAsia="Calibri" w:hAnsi="Cambria"/>
          <w:bCs/>
          <w:iCs/>
        </w:rPr>
        <w:t>on the</w:t>
      </w:r>
      <w:r>
        <w:rPr>
          <w:rFonts w:ascii="Cambria" w:eastAsia="Calibri" w:hAnsi="Cambria"/>
          <w:b/>
          <w:bCs/>
          <w:iCs/>
        </w:rPr>
        <w:t xml:space="preserve"> </w:t>
      </w:r>
      <w:r>
        <w:rPr>
          <w:rFonts w:ascii="Cambria" w:eastAsia="Calibri" w:hAnsi="Cambria"/>
          <w:bCs/>
          <w:iCs/>
        </w:rPr>
        <w:t xml:space="preserve">establishment of the </w:t>
      </w:r>
      <w:r w:rsidRPr="00FE3C48">
        <w:rPr>
          <w:rFonts w:ascii="Cambria" w:eastAsia="Calibri" w:hAnsi="Cambria"/>
          <w:bCs/>
          <w:iCs/>
        </w:rPr>
        <w:t xml:space="preserve">specialized directorate for overseeing the implementation of the provisions of GEO 109/2011 on corporate governance of public enterprises, published </w:t>
      </w:r>
      <w:r>
        <w:rPr>
          <w:rFonts w:ascii="Cambria" w:eastAsia="Calibri" w:hAnsi="Cambria"/>
          <w:bCs/>
          <w:iCs/>
        </w:rPr>
        <w:t>in the Official Gazette no. 575/</w:t>
      </w:r>
      <w:r w:rsidRPr="00FE3C48">
        <w:rPr>
          <w:rFonts w:ascii="Cambria" w:eastAsia="Calibri" w:hAnsi="Cambria"/>
          <w:bCs/>
          <w:iCs/>
        </w:rPr>
        <w:t>28.07.2016, Part I.</w:t>
      </w:r>
    </w:p>
    <w:p w:rsidR="00C35235" w:rsidRPr="00411651" w:rsidRDefault="00C35235" w:rsidP="00FA6EB9">
      <w:pPr>
        <w:numPr>
          <w:ilvl w:val="0"/>
          <w:numId w:val="156"/>
        </w:numPr>
        <w:spacing w:after="0" w:line="240" w:lineRule="auto"/>
        <w:ind w:hanging="540"/>
        <w:contextualSpacing/>
        <w:jc w:val="both"/>
        <w:rPr>
          <w:rFonts w:ascii="Cambria" w:eastAsia="Calibri" w:hAnsi="Cambria"/>
          <w:bCs/>
          <w:iCs/>
        </w:rPr>
      </w:pPr>
      <w:r w:rsidRPr="00411651">
        <w:rPr>
          <w:rFonts w:ascii="Cambria" w:eastAsia="Calibri" w:hAnsi="Cambria"/>
          <w:b/>
          <w:bCs/>
          <w:iCs/>
        </w:rPr>
        <w:t>ANRE Order no. 38</w:t>
      </w:r>
      <w:r w:rsidRPr="00411651">
        <w:rPr>
          <w:rFonts w:ascii="Cambria" w:eastAsia="Calibri" w:hAnsi="Cambria"/>
          <w:bCs/>
          <w:iCs/>
        </w:rPr>
        <w:t xml:space="preserve"> concerning the scheduling of the </w:t>
      </w:r>
      <w:r w:rsidRPr="00FE3C48">
        <w:rPr>
          <w:rFonts w:ascii="Cambria" w:eastAsia="Calibri" w:hAnsi="Cambria"/>
          <w:bCs/>
          <w:iCs/>
        </w:rPr>
        <w:t xml:space="preserve">transmission capacity </w:t>
      </w:r>
      <w:r>
        <w:rPr>
          <w:rFonts w:ascii="Cambria" w:eastAsia="Calibri" w:hAnsi="Cambria"/>
          <w:bCs/>
          <w:iCs/>
        </w:rPr>
        <w:t xml:space="preserve">booking in the </w:t>
      </w:r>
      <w:r w:rsidRPr="00411651">
        <w:rPr>
          <w:rFonts w:ascii="Cambria" w:eastAsia="Calibri" w:hAnsi="Cambria"/>
          <w:bCs/>
          <w:iCs/>
        </w:rPr>
        <w:t xml:space="preserve"> </w:t>
      </w:r>
      <w:r>
        <w:rPr>
          <w:rFonts w:ascii="Cambria" w:eastAsia="Calibri" w:hAnsi="Cambria"/>
          <w:bCs/>
          <w:iCs/>
        </w:rPr>
        <w:t>entry/</w:t>
      </w:r>
      <w:r w:rsidRPr="00411651">
        <w:rPr>
          <w:rFonts w:ascii="Cambria" w:eastAsia="Calibri" w:hAnsi="Cambria"/>
          <w:bCs/>
          <w:iCs/>
        </w:rPr>
        <w:t xml:space="preserve">exit </w:t>
      </w:r>
      <w:r>
        <w:rPr>
          <w:rFonts w:ascii="Cambria" w:eastAsia="Calibri" w:hAnsi="Cambria"/>
          <w:bCs/>
          <w:iCs/>
        </w:rPr>
        <w:t>points in/out of</w:t>
      </w:r>
      <w:r w:rsidRPr="00411651">
        <w:rPr>
          <w:rFonts w:ascii="Cambria" w:eastAsia="Calibri" w:hAnsi="Cambria"/>
          <w:bCs/>
          <w:iCs/>
        </w:rPr>
        <w:t xml:space="preserve"> the national gas trans</w:t>
      </w:r>
      <w:r>
        <w:rPr>
          <w:rFonts w:ascii="Cambria" w:eastAsia="Calibri" w:hAnsi="Cambria"/>
          <w:bCs/>
          <w:iCs/>
        </w:rPr>
        <w:t>mission system</w:t>
      </w:r>
      <w:r w:rsidRPr="00411651">
        <w:rPr>
          <w:rFonts w:ascii="Cambria" w:eastAsia="Calibri" w:hAnsi="Cambria"/>
          <w:bCs/>
          <w:iCs/>
        </w:rPr>
        <w:t xml:space="preserve"> for </w:t>
      </w:r>
      <w:r>
        <w:rPr>
          <w:rFonts w:ascii="Cambria" w:eastAsia="Calibri" w:hAnsi="Cambria"/>
          <w:bCs/>
          <w:iCs/>
        </w:rPr>
        <w:t xml:space="preserve">the </w:t>
      </w:r>
      <w:r w:rsidRPr="00411651">
        <w:rPr>
          <w:rFonts w:ascii="Cambria" w:eastAsia="Calibri" w:hAnsi="Cambria"/>
          <w:bCs/>
          <w:iCs/>
        </w:rPr>
        <w:t>gas year 2016-2017, published in</w:t>
      </w:r>
      <w:r>
        <w:rPr>
          <w:rFonts w:ascii="Cambria" w:eastAsia="Calibri" w:hAnsi="Cambria"/>
          <w:bCs/>
          <w:iCs/>
        </w:rPr>
        <w:t xml:space="preserve"> the</w:t>
      </w:r>
      <w:r w:rsidRPr="00411651">
        <w:rPr>
          <w:rFonts w:ascii="Cambria" w:eastAsia="Calibri" w:hAnsi="Cambria"/>
          <w:bCs/>
          <w:iCs/>
        </w:rPr>
        <w:t xml:space="preserve"> </w:t>
      </w:r>
      <w:r>
        <w:rPr>
          <w:rFonts w:ascii="Cambria" w:eastAsia="Calibri" w:hAnsi="Cambria"/>
          <w:bCs/>
          <w:iCs/>
        </w:rPr>
        <w:t>Official Gazette no. 599/</w:t>
      </w:r>
      <w:r w:rsidRPr="00411651">
        <w:rPr>
          <w:rFonts w:ascii="Cambria" w:eastAsia="Calibri" w:hAnsi="Cambria"/>
          <w:bCs/>
          <w:iCs/>
        </w:rPr>
        <w:t>05.08.2016, Part I.</w:t>
      </w:r>
    </w:p>
    <w:p w:rsidR="00C35235" w:rsidRPr="00411651" w:rsidRDefault="00C35235" w:rsidP="00FA6EB9">
      <w:pPr>
        <w:numPr>
          <w:ilvl w:val="0"/>
          <w:numId w:val="156"/>
        </w:numPr>
        <w:spacing w:after="0" w:line="240" w:lineRule="auto"/>
        <w:ind w:hanging="540"/>
        <w:contextualSpacing/>
        <w:jc w:val="both"/>
        <w:rPr>
          <w:rFonts w:ascii="Cambria" w:eastAsia="Calibri" w:hAnsi="Cambria"/>
          <w:bCs/>
          <w:iCs/>
        </w:rPr>
      </w:pPr>
      <w:r w:rsidRPr="00411651">
        <w:rPr>
          <w:rFonts w:ascii="Cambria" w:eastAsia="Calibri" w:hAnsi="Cambria"/>
          <w:bCs/>
          <w:iCs/>
        </w:rPr>
        <w:t>​​</w:t>
      </w:r>
      <w:r w:rsidRPr="00411651">
        <w:rPr>
          <w:rFonts w:ascii="Cambria" w:eastAsia="Calibri" w:hAnsi="Cambria"/>
          <w:b/>
          <w:bCs/>
          <w:iCs/>
        </w:rPr>
        <w:t>ANRE Order no. 39</w:t>
      </w:r>
      <w:r w:rsidRPr="00411651">
        <w:rPr>
          <w:rFonts w:ascii="Cambria" w:eastAsia="Calibri" w:hAnsi="Cambria"/>
          <w:bCs/>
          <w:iCs/>
        </w:rPr>
        <w:t xml:space="preserve"> on the approval of </w:t>
      </w:r>
      <w:r>
        <w:rPr>
          <w:rFonts w:ascii="Cambria" w:eastAsia="Calibri" w:hAnsi="Cambria"/>
          <w:bCs/>
          <w:iCs/>
        </w:rPr>
        <w:t xml:space="preserve">the </w:t>
      </w:r>
      <w:r w:rsidRPr="00411651">
        <w:rPr>
          <w:rFonts w:ascii="Cambria" w:eastAsia="Calibri" w:hAnsi="Cambria"/>
          <w:bCs/>
          <w:iCs/>
        </w:rPr>
        <w:t>regulated revenue, total revenue and transmission t</w:t>
      </w:r>
      <w:r>
        <w:rPr>
          <w:rFonts w:ascii="Cambria" w:eastAsia="Calibri" w:hAnsi="Cambria"/>
          <w:bCs/>
          <w:iCs/>
        </w:rPr>
        <w:t>ariffs for natural gas transmission</w:t>
      </w:r>
      <w:r w:rsidRPr="00411651">
        <w:rPr>
          <w:rFonts w:ascii="Cambria" w:eastAsia="Calibri" w:hAnsi="Cambria"/>
          <w:bCs/>
          <w:iCs/>
        </w:rPr>
        <w:t xml:space="preserve"> activity through the National Transmission System, published in Official Gazette n</w:t>
      </w:r>
      <w:r>
        <w:rPr>
          <w:rFonts w:ascii="Cambria" w:eastAsia="Calibri" w:hAnsi="Cambria"/>
          <w:bCs/>
          <w:iCs/>
        </w:rPr>
        <w:t>o. 617/11 A</w:t>
      </w:r>
      <w:r w:rsidRPr="00411651">
        <w:rPr>
          <w:rFonts w:ascii="Cambria" w:eastAsia="Calibri" w:hAnsi="Cambria"/>
          <w:bCs/>
          <w:iCs/>
        </w:rPr>
        <w:t>ugust 2016 Part I.</w:t>
      </w:r>
    </w:p>
    <w:p w:rsidR="00C35235" w:rsidRPr="00411651" w:rsidRDefault="00C35235" w:rsidP="00FA6EB9">
      <w:pPr>
        <w:numPr>
          <w:ilvl w:val="0"/>
          <w:numId w:val="156"/>
        </w:numPr>
        <w:spacing w:after="0" w:line="240" w:lineRule="auto"/>
        <w:ind w:hanging="540"/>
        <w:contextualSpacing/>
        <w:jc w:val="both"/>
        <w:rPr>
          <w:rFonts w:ascii="Cambria" w:eastAsia="Calibri" w:hAnsi="Cambria"/>
          <w:bCs/>
          <w:iCs/>
        </w:rPr>
      </w:pPr>
      <w:r w:rsidRPr="00411651">
        <w:rPr>
          <w:rFonts w:ascii="Cambria" w:eastAsia="Calibri" w:hAnsi="Cambria"/>
          <w:b/>
          <w:bCs/>
          <w:iCs/>
        </w:rPr>
        <w:t>ANRE Order no. 40</w:t>
      </w:r>
      <w:r w:rsidRPr="00411651">
        <w:rPr>
          <w:rFonts w:ascii="Cambria" w:eastAsia="Calibri" w:hAnsi="Cambria"/>
          <w:bCs/>
          <w:iCs/>
        </w:rPr>
        <w:t xml:space="preserve"> approvin</w:t>
      </w:r>
      <w:r>
        <w:rPr>
          <w:rFonts w:ascii="Cambria" w:eastAsia="Calibri" w:hAnsi="Cambria"/>
          <w:bCs/>
          <w:iCs/>
        </w:rPr>
        <w:t>g the total income and transmission</w:t>
      </w:r>
      <w:r w:rsidRPr="00411651">
        <w:rPr>
          <w:rFonts w:ascii="Cambria" w:eastAsia="Calibri" w:hAnsi="Cambria"/>
          <w:bCs/>
          <w:iCs/>
        </w:rPr>
        <w:t xml:space="preserve"> tariffs for the gas</w:t>
      </w:r>
      <w:r>
        <w:rPr>
          <w:rFonts w:ascii="Cambria" w:eastAsia="Calibri" w:hAnsi="Cambria"/>
          <w:bCs/>
          <w:iCs/>
        </w:rPr>
        <w:t xml:space="preserve"> transmission</w:t>
      </w:r>
      <w:r w:rsidRPr="00411651">
        <w:rPr>
          <w:rFonts w:ascii="Cambria" w:eastAsia="Calibri" w:hAnsi="Cambria"/>
          <w:bCs/>
          <w:iCs/>
        </w:rPr>
        <w:t xml:space="preserve"> </w:t>
      </w:r>
      <w:r>
        <w:rPr>
          <w:rFonts w:ascii="Cambria" w:eastAsia="Calibri" w:hAnsi="Cambria"/>
          <w:bCs/>
          <w:iCs/>
        </w:rPr>
        <w:t xml:space="preserve">through the gas transmission </w:t>
      </w:r>
      <w:r w:rsidRPr="00411651">
        <w:rPr>
          <w:rFonts w:ascii="Cambria" w:eastAsia="Calibri" w:hAnsi="Cambria"/>
          <w:bCs/>
          <w:iCs/>
        </w:rPr>
        <w:t>pipelines Isaccea 1 - Negru Voda 1 published in t</w:t>
      </w:r>
      <w:r>
        <w:rPr>
          <w:rFonts w:ascii="Cambria" w:eastAsia="Calibri" w:hAnsi="Cambria"/>
          <w:bCs/>
          <w:iCs/>
        </w:rPr>
        <w:t>he Official Gazette no. 617/11 A</w:t>
      </w:r>
      <w:r w:rsidRPr="00411651">
        <w:rPr>
          <w:rFonts w:ascii="Cambria" w:eastAsia="Calibri" w:hAnsi="Cambria"/>
          <w:bCs/>
          <w:iCs/>
        </w:rPr>
        <w:t>ugust 2016 Part I.</w:t>
      </w:r>
    </w:p>
    <w:p w:rsidR="00C35235" w:rsidRPr="00411651" w:rsidRDefault="00C35235" w:rsidP="00FA6EB9">
      <w:pPr>
        <w:numPr>
          <w:ilvl w:val="0"/>
          <w:numId w:val="156"/>
        </w:numPr>
        <w:spacing w:after="0" w:line="240" w:lineRule="auto"/>
        <w:ind w:hanging="540"/>
        <w:contextualSpacing/>
        <w:jc w:val="both"/>
        <w:rPr>
          <w:rFonts w:ascii="Cambria" w:eastAsia="Calibri" w:hAnsi="Cambria"/>
          <w:bCs/>
          <w:iCs/>
        </w:rPr>
      </w:pPr>
      <w:r w:rsidRPr="00411651">
        <w:rPr>
          <w:rFonts w:ascii="Cambria" w:eastAsia="Calibri" w:hAnsi="Cambria"/>
          <w:b/>
          <w:bCs/>
          <w:iCs/>
        </w:rPr>
        <w:t>Government Decision no. 571</w:t>
      </w:r>
      <w:r>
        <w:rPr>
          <w:rFonts w:ascii="Cambria" w:eastAsia="Calibri" w:hAnsi="Cambria"/>
          <w:bCs/>
          <w:iCs/>
        </w:rPr>
        <w:t xml:space="preserve"> for the approval of the </w:t>
      </w:r>
      <w:r w:rsidRPr="00411651">
        <w:rPr>
          <w:rFonts w:ascii="Cambria" w:eastAsia="Calibri" w:hAnsi="Cambria"/>
          <w:bCs/>
          <w:iCs/>
        </w:rPr>
        <w:t>building and construction categories wh</w:t>
      </w:r>
      <w:r>
        <w:rPr>
          <w:rFonts w:ascii="Cambria" w:eastAsia="Calibri" w:hAnsi="Cambria"/>
          <w:bCs/>
          <w:iCs/>
        </w:rPr>
        <w:t>ich are subject to approval and/</w:t>
      </w:r>
      <w:r w:rsidRPr="00411651">
        <w:rPr>
          <w:rFonts w:ascii="Cambria" w:eastAsia="Calibri" w:hAnsi="Cambria"/>
          <w:bCs/>
          <w:iCs/>
        </w:rPr>
        <w:t xml:space="preserve">or authorization </w:t>
      </w:r>
      <w:r>
        <w:rPr>
          <w:rFonts w:ascii="Cambria" w:eastAsia="Calibri" w:hAnsi="Cambria"/>
          <w:bCs/>
          <w:iCs/>
        </w:rPr>
        <w:t xml:space="preserve">related to </w:t>
      </w:r>
      <w:r w:rsidRPr="00411651">
        <w:rPr>
          <w:rFonts w:ascii="Cambria" w:eastAsia="Calibri" w:hAnsi="Cambria"/>
          <w:bCs/>
          <w:iCs/>
        </w:rPr>
        <w:t xml:space="preserve">fire safety, published in </w:t>
      </w:r>
      <w:r>
        <w:rPr>
          <w:rFonts w:ascii="Cambria" w:eastAsia="Calibri" w:hAnsi="Cambria"/>
          <w:bCs/>
          <w:iCs/>
        </w:rPr>
        <w:t>the Official Gazette no. 628/</w:t>
      </w:r>
      <w:r w:rsidRPr="00411651">
        <w:rPr>
          <w:rFonts w:ascii="Cambria" w:eastAsia="Calibri" w:hAnsi="Cambria"/>
          <w:bCs/>
          <w:iCs/>
        </w:rPr>
        <w:t>16.08.2016, Part I.</w:t>
      </w:r>
    </w:p>
    <w:p w:rsidR="00C35235" w:rsidRPr="00215A4F" w:rsidRDefault="00C35235" w:rsidP="00FA6EB9">
      <w:pPr>
        <w:numPr>
          <w:ilvl w:val="0"/>
          <w:numId w:val="156"/>
        </w:numPr>
        <w:spacing w:after="0" w:line="240" w:lineRule="auto"/>
        <w:ind w:hanging="540"/>
        <w:contextualSpacing/>
        <w:jc w:val="both"/>
        <w:rPr>
          <w:rFonts w:ascii="Cambria" w:eastAsia="Calibri" w:hAnsi="Cambria"/>
          <w:bCs/>
          <w:iCs/>
          <w:lang w:val="en-GB"/>
        </w:rPr>
      </w:pPr>
      <w:r w:rsidRPr="00411651">
        <w:rPr>
          <w:rFonts w:ascii="Cambria" w:eastAsia="Calibri" w:hAnsi="Cambria"/>
          <w:b/>
          <w:bCs/>
          <w:iCs/>
        </w:rPr>
        <w:t>ANRE Order no. 43/2016</w:t>
      </w:r>
      <w:r w:rsidRPr="00411651">
        <w:rPr>
          <w:rFonts w:ascii="Cambria" w:eastAsia="Calibri" w:hAnsi="Cambria"/>
          <w:bCs/>
          <w:iCs/>
        </w:rPr>
        <w:t xml:space="preserve"> amending ANRE Order no. 40/2016 approvin</w:t>
      </w:r>
      <w:r>
        <w:rPr>
          <w:rFonts w:ascii="Cambria" w:eastAsia="Calibri" w:hAnsi="Cambria"/>
          <w:bCs/>
          <w:iCs/>
        </w:rPr>
        <w:t>g the total income and transmission</w:t>
      </w:r>
      <w:r w:rsidRPr="00411651">
        <w:rPr>
          <w:rFonts w:ascii="Cambria" w:eastAsia="Calibri" w:hAnsi="Cambria"/>
          <w:bCs/>
          <w:iCs/>
        </w:rPr>
        <w:t xml:space="preserve"> tariffs for the gas </w:t>
      </w:r>
      <w:r>
        <w:rPr>
          <w:rFonts w:ascii="Cambria" w:eastAsia="Calibri" w:hAnsi="Cambria"/>
          <w:bCs/>
          <w:iCs/>
        </w:rPr>
        <w:t>transmission</w:t>
      </w:r>
      <w:r w:rsidRPr="00411651">
        <w:rPr>
          <w:rFonts w:ascii="Cambria" w:eastAsia="Calibri" w:hAnsi="Cambria"/>
          <w:bCs/>
          <w:iCs/>
        </w:rPr>
        <w:t xml:space="preserve"> </w:t>
      </w:r>
      <w:r>
        <w:rPr>
          <w:rFonts w:ascii="Cambria" w:eastAsia="Calibri" w:hAnsi="Cambria"/>
          <w:bCs/>
          <w:iCs/>
        </w:rPr>
        <w:t xml:space="preserve">through the gas transmission </w:t>
      </w:r>
      <w:r w:rsidRPr="00411651">
        <w:rPr>
          <w:rFonts w:ascii="Cambria" w:eastAsia="Calibri" w:hAnsi="Cambria"/>
          <w:bCs/>
          <w:iCs/>
        </w:rPr>
        <w:t>pipelines Isaccea</w:t>
      </w:r>
      <w:r>
        <w:rPr>
          <w:rFonts w:ascii="Cambria" w:eastAsia="Calibri" w:hAnsi="Cambria"/>
          <w:bCs/>
          <w:iCs/>
        </w:rPr>
        <w:t xml:space="preserve"> 1 - Negru Voda 1</w:t>
      </w:r>
      <w:r w:rsidRPr="00411651">
        <w:rPr>
          <w:rFonts w:ascii="Cambria" w:eastAsia="Calibri" w:hAnsi="Cambria"/>
          <w:bCs/>
          <w:iCs/>
        </w:rPr>
        <w:t xml:space="preserve"> published in</w:t>
      </w:r>
      <w:r>
        <w:rPr>
          <w:rFonts w:ascii="Cambria" w:eastAsia="Calibri" w:hAnsi="Cambria"/>
          <w:bCs/>
          <w:iCs/>
        </w:rPr>
        <w:t xml:space="preserve"> the Official Gazette no. 654/</w:t>
      </w:r>
      <w:r w:rsidRPr="00215A4F">
        <w:rPr>
          <w:rFonts w:ascii="Cambria" w:eastAsia="Calibri" w:hAnsi="Cambria"/>
          <w:bCs/>
          <w:iCs/>
          <w:lang w:val="en-GB"/>
        </w:rPr>
        <w:t>25.08.2016,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215A4F">
        <w:rPr>
          <w:rFonts w:ascii="Cambria" w:eastAsia="Calibri" w:hAnsi="Cambria"/>
          <w:b/>
          <w:bCs/>
          <w:iCs/>
          <w:lang w:val="en-GB"/>
        </w:rPr>
        <w:t>ANRE Order no. 44/2016</w:t>
      </w:r>
      <w:r w:rsidRPr="00215A4F">
        <w:rPr>
          <w:rFonts w:ascii="Cambria" w:eastAsia="Calibri" w:hAnsi="Cambria"/>
          <w:bCs/>
          <w:iCs/>
          <w:lang w:val="en-GB"/>
        </w:rPr>
        <w:t xml:space="preserve"> for the extension of the period referred to in Art. 1-4 Article </w:t>
      </w:r>
      <w:r>
        <w:rPr>
          <w:rFonts w:ascii="Cambria" w:eastAsia="Calibri" w:hAnsi="Cambria"/>
          <w:bCs/>
          <w:iCs/>
          <w:lang w:val="en-GB"/>
        </w:rPr>
        <w:t>10 and 11 of the ANRE President Order no.</w:t>
      </w:r>
      <w:r w:rsidRPr="00215A4F">
        <w:rPr>
          <w:rFonts w:ascii="Cambria" w:eastAsia="Calibri" w:hAnsi="Cambria"/>
          <w:bCs/>
          <w:iCs/>
          <w:lang w:val="en-GB"/>
        </w:rPr>
        <w:t xml:space="preserve"> 14/2016 on the establishment of provisional measures on implementation of the </w:t>
      </w:r>
      <w:r>
        <w:rPr>
          <w:rFonts w:ascii="Cambria" w:eastAsia="Calibri" w:hAnsi="Cambria"/>
          <w:bCs/>
          <w:iCs/>
          <w:lang w:val="en-GB"/>
        </w:rPr>
        <w:t xml:space="preserve">Network </w:t>
      </w:r>
      <w:r w:rsidRPr="00215A4F">
        <w:rPr>
          <w:rFonts w:ascii="Cambria" w:eastAsia="Calibri" w:hAnsi="Cambria"/>
          <w:bCs/>
          <w:iCs/>
          <w:lang w:val="en-GB"/>
        </w:rPr>
        <w:t xml:space="preserve">Code </w:t>
      </w:r>
      <w:r>
        <w:rPr>
          <w:rFonts w:ascii="Cambria" w:eastAsia="Calibri" w:hAnsi="Cambria"/>
          <w:bCs/>
          <w:iCs/>
          <w:lang w:val="en-GB"/>
        </w:rPr>
        <w:t xml:space="preserve">related to the </w:t>
      </w:r>
      <w:r w:rsidRPr="00215A4F">
        <w:rPr>
          <w:rFonts w:ascii="Cambria" w:eastAsia="Calibri" w:hAnsi="Cambria"/>
          <w:bCs/>
          <w:iCs/>
          <w:lang w:val="en-GB"/>
        </w:rPr>
        <w:t xml:space="preserve">national </w:t>
      </w:r>
      <w:r>
        <w:rPr>
          <w:rFonts w:ascii="Cambria" w:eastAsia="Calibri" w:hAnsi="Cambria"/>
          <w:bCs/>
          <w:iCs/>
          <w:lang w:val="en-GB"/>
        </w:rPr>
        <w:t xml:space="preserve">gas </w:t>
      </w:r>
      <w:r w:rsidRPr="00215A4F">
        <w:rPr>
          <w:rFonts w:ascii="Cambria" w:eastAsia="Calibri" w:hAnsi="Cambria"/>
          <w:bCs/>
          <w:iCs/>
          <w:lang w:val="en-GB"/>
        </w:rPr>
        <w:t>transmission network, approved by ANRE Order no. 16/2013, publis</w:t>
      </w:r>
      <w:r>
        <w:rPr>
          <w:rFonts w:ascii="Cambria" w:eastAsia="Calibri" w:hAnsi="Cambria"/>
          <w:bCs/>
          <w:iCs/>
          <w:lang w:val="en-GB"/>
        </w:rPr>
        <w:t>hed in Official Gazette no. 662/</w:t>
      </w:r>
      <w:r w:rsidRPr="00215A4F">
        <w:rPr>
          <w:rFonts w:ascii="Cambria" w:eastAsia="Calibri" w:hAnsi="Cambria"/>
          <w:bCs/>
          <w:iCs/>
          <w:lang w:val="en-GB"/>
        </w:rPr>
        <w:t>29.08.2016,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8B096E">
        <w:rPr>
          <w:rFonts w:ascii="Cambria" w:eastAsia="Calibri" w:hAnsi="Cambria"/>
          <w:b/>
          <w:bCs/>
          <w:iCs/>
          <w:lang w:val="en-GB"/>
        </w:rPr>
        <w:t>ANRE Decision no. 1423</w:t>
      </w:r>
      <w:r w:rsidRPr="00215A4F">
        <w:rPr>
          <w:rFonts w:ascii="Cambria" w:eastAsia="Calibri" w:hAnsi="Cambria"/>
          <w:bCs/>
          <w:iCs/>
          <w:lang w:val="en-GB"/>
        </w:rPr>
        <w:t xml:space="preserve"> on the designation of SC Development Networking Group S.A. to operate the natural gas distribution system in the area Zimnicea, belonging </w:t>
      </w:r>
      <w:r>
        <w:rPr>
          <w:rFonts w:ascii="Cambria" w:eastAsia="Calibri" w:hAnsi="Cambria"/>
          <w:bCs/>
          <w:iCs/>
          <w:lang w:val="en-GB"/>
        </w:rPr>
        <w:t xml:space="preserve">to the </w:t>
      </w:r>
      <w:r w:rsidRPr="00215A4F">
        <w:rPr>
          <w:rFonts w:ascii="Cambria" w:eastAsia="Calibri" w:hAnsi="Cambria"/>
          <w:bCs/>
          <w:iCs/>
          <w:lang w:val="en-GB"/>
        </w:rPr>
        <w:t>Mayoralty Zimnicea, Teleorman</w:t>
      </w:r>
      <w:r>
        <w:rPr>
          <w:rFonts w:ascii="Cambria" w:eastAsia="Calibri" w:hAnsi="Cambria"/>
          <w:bCs/>
          <w:iCs/>
          <w:lang w:val="en-GB"/>
        </w:rPr>
        <w:t xml:space="preserve"> County</w:t>
      </w:r>
      <w:r w:rsidRPr="00215A4F">
        <w:rPr>
          <w:rFonts w:ascii="Cambria" w:eastAsia="Calibri" w:hAnsi="Cambria"/>
          <w:bCs/>
          <w:iCs/>
          <w:lang w:val="en-GB"/>
        </w:rPr>
        <w:t xml:space="preserve">, published in </w:t>
      </w:r>
      <w:r>
        <w:rPr>
          <w:rFonts w:ascii="Cambria" w:eastAsia="Calibri" w:hAnsi="Cambria"/>
          <w:bCs/>
          <w:iCs/>
          <w:lang w:val="en-GB"/>
        </w:rPr>
        <w:t>the Official Gazette no. 667 /</w:t>
      </w:r>
      <w:r w:rsidRPr="00215A4F">
        <w:rPr>
          <w:rFonts w:ascii="Cambria" w:eastAsia="Calibri" w:hAnsi="Cambria"/>
          <w:bCs/>
          <w:iCs/>
          <w:lang w:val="en-GB"/>
        </w:rPr>
        <w:t>30.08.2016,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8B096E">
        <w:rPr>
          <w:rFonts w:ascii="Cambria" w:eastAsia="Calibri" w:hAnsi="Cambria"/>
          <w:b/>
          <w:bCs/>
          <w:iCs/>
          <w:lang w:val="en-GB"/>
        </w:rPr>
        <w:t>Government Emergency Ordinance no. 53/2016</w:t>
      </w:r>
      <w:r w:rsidRPr="00215A4F">
        <w:rPr>
          <w:rFonts w:ascii="Cambria" w:eastAsia="Calibri" w:hAnsi="Cambria"/>
          <w:bCs/>
          <w:iCs/>
          <w:lang w:val="en-GB"/>
        </w:rPr>
        <w:t xml:space="preserve"> amending and supplementing art. 14 of </w:t>
      </w:r>
      <w:r>
        <w:rPr>
          <w:rFonts w:ascii="Cambria" w:eastAsia="Calibri" w:hAnsi="Cambria"/>
          <w:bCs/>
          <w:iCs/>
          <w:lang w:val="en-GB"/>
        </w:rPr>
        <w:t xml:space="preserve">G. </w:t>
      </w:r>
      <w:r w:rsidRPr="00215A4F">
        <w:rPr>
          <w:rFonts w:ascii="Cambria" w:eastAsia="Calibri" w:hAnsi="Cambria"/>
          <w:bCs/>
          <w:iCs/>
          <w:lang w:val="en-GB"/>
        </w:rPr>
        <w:t xml:space="preserve">Ordinance no. 26/2013 on strengthening financial discipline at the level of economic operators where the state or administrative - territorial units are majority or sole shareholders or hold directly or indirectly a majority shareholding, published in </w:t>
      </w:r>
      <w:r>
        <w:rPr>
          <w:rFonts w:ascii="Cambria" w:eastAsia="Calibri" w:hAnsi="Cambria"/>
          <w:bCs/>
          <w:iCs/>
          <w:lang w:val="en-GB"/>
        </w:rPr>
        <w:t>the Official Gazette no. 725/</w:t>
      </w:r>
      <w:r w:rsidRPr="00215A4F">
        <w:rPr>
          <w:rFonts w:ascii="Cambria" w:eastAsia="Calibri" w:hAnsi="Cambria"/>
          <w:bCs/>
          <w:iCs/>
          <w:lang w:val="en-GB"/>
        </w:rPr>
        <w:t>20.09.2016,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8B096E">
        <w:rPr>
          <w:rFonts w:ascii="Cambria" w:eastAsia="Calibri" w:hAnsi="Cambria"/>
          <w:b/>
          <w:bCs/>
          <w:iCs/>
          <w:lang w:val="en-GB"/>
        </w:rPr>
        <w:t>Government Emergency Ordinance no. 58</w:t>
      </w:r>
      <w:r w:rsidRPr="00215A4F">
        <w:rPr>
          <w:rFonts w:ascii="Cambria" w:eastAsia="Calibri" w:hAnsi="Cambria"/>
          <w:bCs/>
          <w:iCs/>
          <w:lang w:val="en-GB"/>
        </w:rPr>
        <w:t xml:space="preserve"> amending and supplementing certain acts impacting </w:t>
      </w:r>
      <w:r>
        <w:rPr>
          <w:rFonts w:ascii="Cambria" w:eastAsia="Calibri" w:hAnsi="Cambria"/>
          <w:bCs/>
          <w:iCs/>
          <w:lang w:val="en-GB"/>
        </w:rPr>
        <w:t xml:space="preserve">the </w:t>
      </w:r>
      <w:r w:rsidRPr="00215A4F">
        <w:rPr>
          <w:rFonts w:ascii="Cambria" w:eastAsia="Calibri" w:hAnsi="Cambria"/>
          <w:bCs/>
          <w:iCs/>
          <w:lang w:val="en-GB"/>
        </w:rPr>
        <w:t>public procurement</w:t>
      </w:r>
      <w:r>
        <w:rPr>
          <w:rFonts w:ascii="Cambria" w:eastAsia="Calibri" w:hAnsi="Cambria"/>
          <w:bCs/>
          <w:iCs/>
          <w:lang w:val="en-GB"/>
        </w:rPr>
        <w:t xml:space="preserve"> field</w:t>
      </w:r>
      <w:r w:rsidRPr="00215A4F">
        <w:rPr>
          <w:rFonts w:ascii="Cambria" w:eastAsia="Calibri" w:hAnsi="Cambria"/>
          <w:bCs/>
          <w:iCs/>
          <w:lang w:val="en-GB"/>
        </w:rPr>
        <w:t xml:space="preserve"> published </w:t>
      </w:r>
      <w:r>
        <w:rPr>
          <w:rFonts w:ascii="Cambria" w:eastAsia="Calibri" w:hAnsi="Cambria"/>
          <w:bCs/>
          <w:iCs/>
          <w:lang w:val="en-GB"/>
        </w:rPr>
        <w:t>in the Official Gazette no. 738</w:t>
      </w:r>
      <w:r w:rsidRPr="00215A4F">
        <w:rPr>
          <w:rFonts w:ascii="Cambria" w:eastAsia="Calibri" w:hAnsi="Cambria"/>
          <w:bCs/>
          <w:iCs/>
          <w:lang w:val="en-GB"/>
        </w:rPr>
        <w:t>/ 22.09.2016,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8B096E">
        <w:rPr>
          <w:rFonts w:ascii="Cambria" w:eastAsia="Calibri" w:hAnsi="Cambria"/>
          <w:b/>
          <w:bCs/>
          <w:iCs/>
          <w:lang w:val="en-GB"/>
        </w:rPr>
        <w:t>ANRE Order no. 45/2016</w:t>
      </w:r>
      <w:r w:rsidRPr="00215A4F">
        <w:rPr>
          <w:rFonts w:ascii="Cambria" w:eastAsia="Calibri" w:hAnsi="Cambria"/>
          <w:bCs/>
          <w:iCs/>
          <w:lang w:val="en-GB"/>
        </w:rPr>
        <w:t xml:space="preserve"> approving the Regulation for undertakings certification t</w:t>
      </w:r>
      <w:r>
        <w:rPr>
          <w:rFonts w:ascii="Cambria" w:eastAsia="Calibri" w:hAnsi="Cambria"/>
          <w:bCs/>
          <w:iCs/>
          <w:lang w:val="en-GB"/>
        </w:rPr>
        <w:t>o design, construct and verify</w:t>
      </w:r>
      <w:r w:rsidRPr="00215A4F">
        <w:rPr>
          <w:rFonts w:ascii="Cambria" w:eastAsia="Calibri" w:hAnsi="Cambria"/>
          <w:bCs/>
          <w:iCs/>
          <w:lang w:val="en-GB"/>
        </w:rPr>
        <w:t xml:space="preserve"> electrical installations, published </w:t>
      </w:r>
      <w:r>
        <w:rPr>
          <w:rFonts w:ascii="Cambria" w:eastAsia="Calibri" w:hAnsi="Cambria"/>
          <w:bCs/>
          <w:iCs/>
          <w:lang w:val="en-GB"/>
        </w:rPr>
        <w:t>in the Official Gazette no. 730/</w:t>
      </w:r>
      <w:r w:rsidRPr="00215A4F">
        <w:rPr>
          <w:rFonts w:ascii="Cambria" w:eastAsia="Calibri" w:hAnsi="Cambria"/>
          <w:bCs/>
          <w:iCs/>
          <w:lang w:val="en-GB"/>
        </w:rPr>
        <w:t>21.09.2016, Part I.</w:t>
      </w:r>
    </w:p>
    <w:p w:rsidR="00C35235" w:rsidRPr="00215A4F" w:rsidRDefault="00C35235" w:rsidP="00FA6EB9">
      <w:pPr>
        <w:numPr>
          <w:ilvl w:val="0"/>
          <w:numId w:val="156"/>
        </w:numPr>
        <w:tabs>
          <w:tab w:val="left" w:pos="426"/>
        </w:tabs>
        <w:spacing w:after="0" w:line="240" w:lineRule="auto"/>
        <w:ind w:hanging="450"/>
        <w:contextualSpacing/>
        <w:jc w:val="both"/>
        <w:rPr>
          <w:rFonts w:ascii="Cambria" w:eastAsia="Calibri" w:hAnsi="Cambria"/>
          <w:bCs/>
          <w:iCs/>
          <w:lang w:val="en-GB"/>
        </w:rPr>
      </w:pPr>
      <w:r w:rsidRPr="00393AD7">
        <w:rPr>
          <w:rFonts w:ascii="Cambria" w:eastAsia="Calibri" w:hAnsi="Cambria"/>
          <w:b/>
          <w:bCs/>
          <w:iCs/>
          <w:lang w:val="en-GB"/>
        </w:rPr>
        <w:lastRenderedPageBreak/>
        <w:t>Law no. 10/1995</w:t>
      </w:r>
      <w:r w:rsidRPr="00215A4F">
        <w:rPr>
          <w:rFonts w:ascii="Cambria" w:eastAsia="Calibri" w:hAnsi="Cambria"/>
          <w:bCs/>
          <w:iCs/>
          <w:lang w:val="en-GB"/>
        </w:rPr>
        <w:t xml:space="preserve"> regarding quality in constructions, republished, published in </w:t>
      </w:r>
      <w:r>
        <w:rPr>
          <w:rFonts w:ascii="Cambria" w:eastAsia="Calibri" w:hAnsi="Cambria"/>
          <w:bCs/>
          <w:iCs/>
          <w:lang w:val="en-GB"/>
        </w:rPr>
        <w:t>the Official Gazette no. 765/</w:t>
      </w:r>
      <w:r w:rsidRPr="00215A4F">
        <w:rPr>
          <w:rFonts w:ascii="Cambria" w:eastAsia="Calibri" w:hAnsi="Cambria"/>
          <w:bCs/>
          <w:iCs/>
          <w:lang w:val="en-GB"/>
        </w:rPr>
        <w:t>30.09.2016, Part I.</w:t>
      </w:r>
    </w:p>
    <w:p w:rsidR="00C35235" w:rsidRPr="00393AD7" w:rsidRDefault="00C35235" w:rsidP="00FA6EB9">
      <w:pPr>
        <w:numPr>
          <w:ilvl w:val="0"/>
          <w:numId w:val="156"/>
        </w:numPr>
        <w:tabs>
          <w:tab w:val="left" w:pos="426"/>
        </w:tabs>
        <w:spacing w:after="0" w:line="240" w:lineRule="auto"/>
        <w:ind w:hanging="450"/>
        <w:contextualSpacing/>
        <w:jc w:val="both"/>
        <w:rPr>
          <w:rFonts w:ascii="Cambria" w:eastAsia="Calibri" w:hAnsi="Cambria"/>
          <w:bCs/>
          <w:iCs/>
        </w:rPr>
      </w:pPr>
      <w:r>
        <w:rPr>
          <w:rFonts w:ascii="Cambria" w:eastAsia="Calibri" w:hAnsi="Cambria"/>
          <w:bCs/>
          <w:iCs/>
        </w:rPr>
        <w:t xml:space="preserve"> </w:t>
      </w:r>
      <w:r w:rsidRPr="00B632EC">
        <w:rPr>
          <w:rFonts w:ascii="Cambria" w:eastAsia="Calibri" w:hAnsi="Cambria"/>
          <w:b/>
          <w:bCs/>
          <w:iCs/>
        </w:rPr>
        <w:t>GD no. 683/2016</w:t>
      </w:r>
      <w:r w:rsidRPr="00393AD7">
        <w:rPr>
          <w:rFonts w:ascii="Cambria" w:eastAsia="Calibri" w:hAnsi="Cambria"/>
          <w:bCs/>
          <w:iCs/>
        </w:rPr>
        <w:t xml:space="preserve"> on the designation of European Critical Infrastructure and amending GD no.301 / 2012 approving the Methodological Norms for the application of Law no. 333/2003 on the protection of objectives, goods, values ​​and persons, published </w:t>
      </w:r>
      <w:r>
        <w:rPr>
          <w:rFonts w:ascii="Cambria" w:eastAsia="Calibri" w:hAnsi="Cambria"/>
          <w:bCs/>
          <w:iCs/>
        </w:rPr>
        <w:t>in the Official Gazette no. 764/</w:t>
      </w:r>
      <w:r w:rsidRPr="00393AD7">
        <w:rPr>
          <w:rFonts w:ascii="Cambria" w:eastAsia="Calibri" w:hAnsi="Cambria"/>
          <w:bCs/>
          <w:iCs/>
        </w:rPr>
        <w:t>30.09.2016, Part I.</w:t>
      </w:r>
    </w:p>
    <w:p w:rsidR="00C35235" w:rsidRPr="00393AD7" w:rsidRDefault="00C35235" w:rsidP="00FA6EB9">
      <w:pPr>
        <w:numPr>
          <w:ilvl w:val="0"/>
          <w:numId w:val="156"/>
        </w:numPr>
        <w:tabs>
          <w:tab w:val="left" w:pos="426"/>
        </w:tabs>
        <w:spacing w:after="0" w:line="240" w:lineRule="auto"/>
        <w:ind w:hanging="450"/>
        <w:contextualSpacing/>
        <w:jc w:val="both"/>
        <w:rPr>
          <w:rFonts w:ascii="Cambria" w:eastAsia="Calibri" w:hAnsi="Cambria"/>
          <w:bCs/>
          <w:iCs/>
        </w:rPr>
      </w:pPr>
      <w:r>
        <w:rPr>
          <w:rFonts w:ascii="Cambria" w:eastAsia="Calibri" w:hAnsi="Cambria"/>
          <w:bCs/>
          <w:iCs/>
        </w:rPr>
        <w:t xml:space="preserve"> </w:t>
      </w:r>
      <w:r w:rsidRPr="00B632EC">
        <w:rPr>
          <w:rFonts w:ascii="Cambria" w:eastAsia="Calibri" w:hAnsi="Cambria"/>
          <w:b/>
          <w:bCs/>
          <w:iCs/>
        </w:rPr>
        <w:t>Government Emergency Ordinance no. 64/2016</w:t>
      </w:r>
      <w:r w:rsidRPr="00393AD7">
        <w:rPr>
          <w:rFonts w:ascii="Cambria" w:eastAsia="Calibri" w:hAnsi="Cambria"/>
          <w:bCs/>
          <w:iCs/>
        </w:rPr>
        <w:t xml:space="preserve"> amending and supplementing the Law on electricity and natural gas no. 123/2012, published in Official Gazette no. 801 / 11.10.2016, Part I.</w:t>
      </w:r>
    </w:p>
    <w:p w:rsidR="00C35235" w:rsidRPr="00393AD7" w:rsidRDefault="00C35235" w:rsidP="00FA6EB9">
      <w:pPr>
        <w:numPr>
          <w:ilvl w:val="0"/>
          <w:numId w:val="156"/>
        </w:numPr>
        <w:tabs>
          <w:tab w:val="left" w:pos="426"/>
        </w:tabs>
        <w:spacing w:after="0" w:line="240" w:lineRule="auto"/>
        <w:ind w:hanging="450"/>
        <w:contextualSpacing/>
        <w:jc w:val="both"/>
        <w:rPr>
          <w:rFonts w:ascii="Cambria" w:eastAsia="Calibri" w:hAnsi="Cambria"/>
          <w:bCs/>
          <w:iCs/>
        </w:rPr>
      </w:pPr>
      <w:r>
        <w:rPr>
          <w:rFonts w:ascii="Cambria" w:eastAsia="Calibri" w:hAnsi="Cambria"/>
          <w:bCs/>
          <w:iCs/>
        </w:rPr>
        <w:t xml:space="preserve"> </w:t>
      </w:r>
      <w:r w:rsidRPr="00B632EC">
        <w:rPr>
          <w:rFonts w:ascii="Cambria" w:eastAsia="Calibri" w:hAnsi="Cambria"/>
          <w:b/>
          <w:bCs/>
          <w:iCs/>
        </w:rPr>
        <w:t>GD no. 722/2016</w:t>
      </w:r>
      <w:r w:rsidRPr="00393AD7">
        <w:rPr>
          <w:rFonts w:ascii="Cambria" w:eastAsia="Calibri" w:hAnsi="Cambria"/>
          <w:bCs/>
          <w:iCs/>
        </w:rPr>
        <w:t xml:space="preserve"> approving the Methodological Norms for the application of certain provisions of GEO no. 109/2011 regarding corporate governance of public enterprises, published </w:t>
      </w:r>
      <w:r>
        <w:rPr>
          <w:rFonts w:ascii="Cambria" w:eastAsia="Calibri" w:hAnsi="Cambria"/>
          <w:bCs/>
          <w:iCs/>
        </w:rPr>
        <w:t>in the Official Gazette no. 803/</w:t>
      </w:r>
      <w:r w:rsidRPr="00393AD7">
        <w:rPr>
          <w:rFonts w:ascii="Cambria" w:eastAsia="Calibri" w:hAnsi="Cambria"/>
          <w:bCs/>
          <w:iCs/>
        </w:rPr>
        <w:t>12.10.2016, Part I.</w:t>
      </w:r>
    </w:p>
    <w:p w:rsidR="00C35235" w:rsidRPr="00393AD7" w:rsidRDefault="00C35235" w:rsidP="00FA6EB9">
      <w:pPr>
        <w:numPr>
          <w:ilvl w:val="0"/>
          <w:numId w:val="156"/>
        </w:numPr>
        <w:tabs>
          <w:tab w:val="left" w:pos="426"/>
        </w:tabs>
        <w:spacing w:after="0" w:line="240" w:lineRule="auto"/>
        <w:ind w:hanging="450"/>
        <w:contextualSpacing/>
        <w:jc w:val="both"/>
        <w:rPr>
          <w:rFonts w:ascii="Cambria" w:eastAsia="Calibri" w:hAnsi="Cambria"/>
          <w:bCs/>
          <w:iCs/>
        </w:rPr>
      </w:pPr>
      <w:r>
        <w:rPr>
          <w:rFonts w:ascii="Cambria" w:eastAsia="Calibri" w:hAnsi="Cambria"/>
          <w:bCs/>
          <w:iCs/>
        </w:rPr>
        <w:t xml:space="preserve"> </w:t>
      </w:r>
      <w:r w:rsidRPr="00B632EC">
        <w:rPr>
          <w:rFonts w:ascii="Cambria" w:eastAsia="Calibri" w:hAnsi="Cambria"/>
          <w:b/>
          <w:bCs/>
          <w:iCs/>
        </w:rPr>
        <w:t>Government Emergency Ordinance no. 68/2016</w:t>
      </w:r>
      <w:r w:rsidRPr="00393AD7">
        <w:rPr>
          <w:rFonts w:ascii="Cambria" w:eastAsia="Calibri" w:hAnsi="Cambria"/>
          <w:bCs/>
          <w:iCs/>
        </w:rPr>
        <w:t xml:space="preserve"> amending and supplementing Law no. 211/2011 on waste regime, publis</w:t>
      </w:r>
      <w:r>
        <w:rPr>
          <w:rFonts w:ascii="Cambria" w:eastAsia="Calibri" w:hAnsi="Cambria"/>
          <w:bCs/>
          <w:iCs/>
        </w:rPr>
        <w:t>hed in Official Gazette no. 823</w:t>
      </w:r>
      <w:r w:rsidRPr="00393AD7">
        <w:rPr>
          <w:rFonts w:ascii="Cambria" w:eastAsia="Calibri" w:hAnsi="Cambria"/>
          <w:bCs/>
          <w:iCs/>
        </w:rPr>
        <w:t>/ 18.10.2016, Part I.</w:t>
      </w:r>
    </w:p>
    <w:p w:rsidR="00C35235" w:rsidRPr="00393AD7" w:rsidRDefault="00C35235" w:rsidP="00FA6EB9">
      <w:pPr>
        <w:numPr>
          <w:ilvl w:val="0"/>
          <w:numId w:val="156"/>
        </w:numPr>
        <w:tabs>
          <w:tab w:val="left" w:pos="426"/>
        </w:tabs>
        <w:spacing w:after="0" w:line="240" w:lineRule="auto"/>
        <w:ind w:left="630" w:hanging="450"/>
        <w:contextualSpacing/>
        <w:jc w:val="both"/>
        <w:rPr>
          <w:rFonts w:ascii="Cambria" w:eastAsia="Calibri" w:hAnsi="Cambria"/>
          <w:bCs/>
          <w:iCs/>
        </w:rPr>
      </w:pPr>
      <w:r>
        <w:rPr>
          <w:rFonts w:ascii="Cambria" w:eastAsia="Calibri" w:hAnsi="Cambria"/>
          <w:bCs/>
          <w:iCs/>
        </w:rPr>
        <w:t xml:space="preserve"> </w:t>
      </w:r>
      <w:r w:rsidRPr="00E7793F">
        <w:rPr>
          <w:rFonts w:ascii="Cambria" w:eastAsia="Calibri" w:hAnsi="Cambria"/>
          <w:b/>
          <w:bCs/>
          <w:iCs/>
        </w:rPr>
        <w:t>Law no. 184/2016</w:t>
      </w:r>
      <w:r w:rsidRPr="00393AD7">
        <w:rPr>
          <w:rFonts w:ascii="Cambria" w:eastAsia="Calibri" w:hAnsi="Cambria"/>
          <w:bCs/>
          <w:iCs/>
        </w:rPr>
        <w:t xml:space="preserve"> on the establishment of a mechanism to prevent conflicts of interest in the award of public procurement contracts published i</w:t>
      </w:r>
      <w:r>
        <w:rPr>
          <w:rFonts w:ascii="Cambria" w:eastAsia="Calibri" w:hAnsi="Cambria"/>
          <w:bCs/>
          <w:iCs/>
        </w:rPr>
        <w:t>n the Official Gazette no. 831/</w:t>
      </w:r>
      <w:r w:rsidRPr="00393AD7">
        <w:rPr>
          <w:rFonts w:ascii="Cambria" w:eastAsia="Calibri" w:hAnsi="Cambria"/>
          <w:bCs/>
          <w:iCs/>
        </w:rPr>
        <w:t>20.10.2016, Part I.</w:t>
      </w:r>
    </w:p>
    <w:p w:rsidR="00C35235" w:rsidRPr="007C3D86" w:rsidRDefault="00C35235" w:rsidP="00FA6EB9">
      <w:pPr>
        <w:numPr>
          <w:ilvl w:val="0"/>
          <w:numId w:val="156"/>
        </w:numPr>
        <w:tabs>
          <w:tab w:val="left" w:pos="426"/>
        </w:tabs>
        <w:spacing w:after="0" w:line="240" w:lineRule="auto"/>
        <w:ind w:hanging="540"/>
        <w:contextualSpacing/>
        <w:jc w:val="both"/>
        <w:rPr>
          <w:rFonts w:ascii="Cambria" w:eastAsia="Calibri" w:hAnsi="Cambria"/>
          <w:bCs/>
          <w:iCs/>
        </w:rPr>
      </w:pPr>
      <w:r w:rsidRPr="007C3D86">
        <w:rPr>
          <w:rFonts w:ascii="Cambria" w:eastAsia="Calibri" w:hAnsi="Cambria"/>
          <w:b/>
          <w:bCs/>
          <w:iCs/>
        </w:rPr>
        <w:t>Law no. 185/2016</w:t>
      </w:r>
      <w:r w:rsidRPr="007C3D86">
        <w:rPr>
          <w:rFonts w:ascii="Cambria" w:eastAsia="Calibri" w:hAnsi="Cambria"/>
          <w:bCs/>
          <w:iCs/>
        </w:rPr>
        <w:t xml:space="preserve"> on certain measures necessary for the implementation of projects of national importance in the natural gas sector, published in the Official Gazette no. 848 / 10.25.2016, Part I (Law BRUA)</w:t>
      </w:r>
    </w:p>
    <w:p w:rsidR="00C35235" w:rsidRPr="007C3D86" w:rsidRDefault="00C35235" w:rsidP="00FA6EB9">
      <w:pPr>
        <w:numPr>
          <w:ilvl w:val="0"/>
          <w:numId w:val="156"/>
        </w:numPr>
        <w:tabs>
          <w:tab w:val="left" w:pos="426"/>
        </w:tabs>
        <w:spacing w:after="0" w:line="240" w:lineRule="auto"/>
        <w:ind w:hanging="540"/>
        <w:contextualSpacing/>
        <w:jc w:val="both"/>
        <w:rPr>
          <w:rFonts w:ascii="Cambria" w:eastAsia="Calibri" w:hAnsi="Cambria"/>
          <w:bCs/>
          <w:iCs/>
        </w:rPr>
      </w:pPr>
      <w:r w:rsidRPr="007C3D86">
        <w:rPr>
          <w:rFonts w:ascii="Cambria" w:eastAsia="Calibri" w:hAnsi="Cambria"/>
          <w:b/>
          <w:bCs/>
          <w:iCs/>
        </w:rPr>
        <w:t>ANRE Order no. 75/2016</w:t>
      </w:r>
      <w:r w:rsidRPr="007C3D86">
        <w:rPr>
          <w:rFonts w:ascii="Cambria" w:eastAsia="Calibri" w:hAnsi="Cambria"/>
          <w:bCs/>
          <w:iCs/>
        </w:rPr>
        <w:t xml:space="preserve"> amending and supplementing the NTS Network Code, approved by ANRE Order no. 16/2013, published </w:t>
      </w:r>
      <w:r>
        <w:rPr>
          <w:rFonts w:ascii="Cambria" w:eastAsia="Calibri" w:hAnsi="Cambria"/>
          <w:bCs/>
          <w:iCs/>
        </w:rPr>
        <w:t>in the Official Gazette no. 866</w:t>
      </w:r>
      <w:r w:rsidRPr="007C3D86">
        <w:rPr>
          <w:rFonts w:ascii="Cambria" w:eastAsia="Calibri" w:hAnsi="Cambria"/>
          <w:bCs/>
          <w:iCs/>
        </w:rPr>
        <w:t>/ 10.31.2016, Part I.</w:t>
      </w:r>
    </w:p>
    <w:p w:rsidR="00C35235" w:rsidRPr="007C3D86" w:rsidRDefault="00C35235" w:rsidP="00FA6EB9">
      <w:pPr>
        <w:numPr>
          <w:ilvl w:val="0"/>
          <w:numId w:val="156"/>
        </w:numPr>
        <w:tabs>
          <w:tab w:val="left" w:pos="426"/>
        </w:tabs>
        <w:spacing w:after="0" w:line="240" w:lineRule="auto"/>
        <w:ind w:hanging="540"/>
        <w:contextualSpacing/>
        <w:jc w:val="both"/>
        <w:rPr>
          <w:rFonts w:ascii="Cambria" w:eastAsia="Calibri" w:hAnsi="Cambria"/>
          <w:bCs/>
          <w:iCs/>
        </w:rPr>
      </w:pPr>
      <w:r w:rsidRPr="007C3D86">
        <w:rPr>
          <w:rFonts w:ascii="Cambria" w:eastAsia="Calibri" w:hAnsi="Cambria"/>
          <w:b/>
          <w:bCs/>
          <w:iCs/>
        </w:rPr>
        <w:t>Law no. 197/2016</w:t>
      </w:r>
      <w:r w:rsidRPr="007C3D86">
        <w:rPr>
          <w:rFonts w:ascii="Cambria" w:eastAsia="Calibri" w:hAnsi="Cambria"/>
          <w:bCs/>
          <w:iCs/>
        </w:rPr>
        <w:t xml:space="preserve"> approving Government Emergency Ordinance no. 22/2014 amending and supplementing Law no. 50/1991 on authorizing the execution of construction works, published in the Official Gazette no. 874 / 01.11.2016, Part I.</w:t>
      </w:r>
    </w:p>
    <w:p w:rsidR="00C35235" w:rsidRPr="007C3D86" w:rsidRDefault="00C35235" w:rsidP="00FA6EB9">
      <w:pPr>
        <w:numPr>
          <w:ilvl w:val="0"/>
          <w:numId w:val="156"/>
        </w:numPr>
        <w:tabs>
          <w:tab w:val="left" w:pos="426"/>
        </w:tabs>
        <w:spacing w:after="0" w:line="240" w:lineRule="auto"/>
        <w:ind w:hanging="540"/>
        <w:contextualSpacing/>
        <w:jc w:val="both"/>
        <w:rPr>
          <w:rFonts w:ascii="Cambria" w:eastAsia="Calibri" w:hAnsi="Cambria"/>
          <w:bCs/>
          <w:iCs/>
        </w:rPr>
      </w:pPr>
      <w:r w:rsidRPr="007C3D86">
        <w:rPr>
          <w:rFonts w:ascii="Cambria" w:eastAsia="Calibri" w:hAnsi="Cambria"/>
          <w:b/>
          <w:bCs/>
          <w:iCs/>
        </w:rPr>
        <w:t>GD no. 844/2016</w:t>
      </w:r>
      <w:r w:rsidRPr="007C3D86">
        <w:rPr>
          <w:rFonts w:ascii="Cambria" w:eastAsia="Calibri" w:hAnsi="Cambria"/>
          <w:bCs/>
          <w:iCs/>
        </w:rPr>
        <w:t xml:space="preserve"> on the approval of measures for achieving safety stocks of the national power system in relation to fuels for the cold season and volume of water in reservoirs called winter energy program to ensure safe operation and stability </w:t>
      </w:r>
      <w:r>
        <w:rPr>
          <w:rFonts w:ascii="Cambria" w:eastAsia="Calibri" w:hAnsi="Cambria"/>
          <w:bCs/>
          <w:iCs/>
        </w:rPr>
        <w:t xml:space="preserve">of the </w:t>
      </w:r>
      <w:r w:rsidRPr="007C3D86">
        <w:rPr>
          <w:rFonts w:ascii="Cambria" w:eastAsia="Calibri" w:hAnsi="Cambria"/>
          <w:bCs/>
          <w:iCs/>
        </w:rPr>
        <w:t>national power system</w:t>
      </w:r>
      <w:r>
        <w:rPr>
          <w:rFonts w:ascii="Cambria" w:eastAsia="Calibri" w:hAnsi="Cambria"/>
          <w:bCs/>
          <w:iCs/>
        </w:rPr>
        <w:t xml:space="preserve"> in the period</w:t>
      </w:r>
      <w:r w:rsidRPr="007C3D86">
        <w:rPr>
          <w:rFonts w:ascii="Cambria" w:eastAsia="Calibri" w:hAnsi="Cambria"/>
          <w:bCs/>
          <w:iCs/>
        </w:rPr>
        <w:t xml:space="preserve"> 15 November 2016-15 March 2017 and other measures regarding the safe</w:t>
      </w:r>
      <w:r>
        <w:rPr>
          <w:rFonts w:ascii="Cambria" w:eastAsia="Calibri" w:hAnsi="Cambria"/>
          <w:bCs/>
          <w:iCs/>
        </w:rPr>
        <w:t xml:space="preserve"> and secure operation of the NES</w:t>
      </w:r>
      <w:r w:rsidRPr="007C3D86">
        <w:rPr>
          <w:rFonts w:ascii="Cambria" w:eastAsia="Calibri" w:hAnsi="Cambria"/>
          <w:bCs/>
          <w:iCs/>
        </w:rPr>
        <w:t>, publishe</w:t>
      </w:r>
      <w:r>
        <w:rPr>
          <w:rFonts w:ascii="Cambria" w:eastAsia="Calibri" w:hAnsi="Cambria"/>
          <w:bCs/>
          <w:iCs/>
        </w:rPr>
        <w:t>d in Official Gazette no. 919/</w:t>
      </w:r>
      <w:r w:rsidRPr="007C3D86">
        <w:rPr>
          <w:rFonts w:ascii="Cambria" w:eastAsia="Calibri" w:hAnsi="Cambria"/>
          <w:bCs/>
          <w:iCs/>
        </w:rPr>
        <w:t>15.11.2016, Part I.</w:t>
      </w:r>
    </w:p>
    <w:p w:rsidR="00C35235" w:rsidRPr="007C3D86" w:rsidRDefault="00C35235" w:rsidP="00FA6EB9">
      <w:pPr>
        <w:numPr>
          <w:ilvl w:val="0"/>
          <w:numId w:val="156"/>
        </w:numPr>
        <w:tabs>
          <w:tab w:val="left" w:pos="426"/>
        </w:tabs>
        <w:spacing w:after="0" w:line="240" w:lineRule="auto"/>
        <w:ind w:hanging="540"/>
        <w:contextualSpacing/>
        <w:jc w:val="both"/>
        <w:rPr>
          <w:rFonts w:ascii="Cambria" w:eastAsia="Calibri" w:hAnsi="Cambria"/>
          <w:bCs/>
          <w:iCs/>
        </w:rPr>
      </w:pPr>
      <w:r w:rsidRPr="007C3D86">
        <w:rPr>
          <w:rFonts w:ascii="Cambria" w:eastAsia="Calibri" w:hAnsi="Cambria"/>
          <w:b/>
          <w:bCs/>
          <w:iCs/>
        </w:rPr>
        <w:t>Government Emergency Ordinance no. 77/2016</w:t>
      </w:r>
      <w:r w:rsidRPr="007C3D86">
        <w:rPr>
          <w:rFonts w:ascii="Cambria" w:eastAsia="Calibri" w:hAnsi="Cambria"/>
          <w:bCs/>
          <w:iCs/>
        </w:rPr>
        <w:t xml:space="preserve"> amending and supplementing Government Emergency Ordinance no. 40/2015 on the financial management of EU funds for the programming period 2014-20120, publish</w:t>
      </w:r>
      <w:r>
        <w:rPr>
          <w:rFonts w:ascii="Cambria" w:eastAsia="Calibri" w:hAnsi="Cambria"/>
          <w:bCs/>
          <w:iCs/>
        </w:rPr>
        <w:t>ed in Official Gazette no. 920/</w:t>
      </w:r>
      <w:r w:rsidRPr="007C3D86">
        <w:rPr>
          <w:rFonts w:ascii="Cambria" w:eastAsia="Calibri" w:hAnsi="Cambria"/>
          <w:bCs/>
          <w:iCs/>
        </w:rPr>
        <w:t>11.16.2016,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BA4348">
        <w:rPr>
          <w:rFonts w:ascii="Cambria" w:eastAsia="Calibri" w:hAnsi="Cambria"/>
          <w:b/>
          <w:bCs/>
          <w:iCs/>
        </w:rPr>
        <w:t>ANRE Order no. 86/2016</w:t>
      </w:r>
      <w:r w:rsidRPr="00BA4348">
        <w:rPr>
          <w:rFonts w:ascii="Cambria" w:eastAsia="Calibri" w:hAnsi="Cambria"/>
          <w:bCs/>
          <w:iCs/>
        </w:rPr>
        <w:t xml:space="preserve"> approving the Framework Convention concluded between transmission system operator and natural gas trading participants to enter the NTS, published in the Official Gazette no. 933 / 21.11.2016,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BA4348">
        <w:rPr>
          <w:rFonts w:ascii="Cambria" w:eastAsia="Calibri" w:hAnsi="Cambria"/>
          <w:b/>
          <w:bCs/>
          <w:iCs/>
        </w:rPr>
        <w:t>ANRE Order no. 88/2016</w:t>
      </w:r>
      <w:r w:rsidRPr="00BA4348">
        <w:rPr>
          <w:rFonts w:ascii="Cambria" w:eastAsia="Calibri" w:hAnsi="Cambria"/>
          <w:bCs/>
          <w:iCs/>
        </w:rPr>
        <w:t xml:space="preserve"> establishing measures for capacity booking transport interconnection points NTS in Romania natural gas transportation systems in the Member States of the European Union neighboring Romania, published in the Official Gazette no. 948 / 11.24.2016,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BA4348">
        <w:rPr>
          <w:rFonts w:ascii="Cambria" w:eastAsia="Calibri" w:hAnsi="Cambria"/>
          <w:b/>
          <w:bCs/>
          <w:iCs/>
        </w:rPr>
        <w:t>Law no. 224/2016</w:t>
      </w:r>
      <w:r w:rsidRPr="00BA4348">
        <w:rPr>
          <w:rFonts w:ascii="Cambria" w:eastAsia="Calibri" w:hAnsi="Cambria"/>
          <w:bCs/>
          <w:iCs/>
        </w:rPr>
        <w:t xml:space="preserve"> amending and supplementing Law no. 213/1998 on public property goods, published in Official Gazette no. 936 / 22.11.2016,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BA4348">
        <w:rPr>
          <w:rFonts w:ascii="Cambria" w:eastAsia="Calibri" w:hAnsi="Cambria"/>
          <w:b/>
          <w:bCs/>
          <w:iCs/>
        </w:rPr>
        <w:t>Law no. 233/2016</w:t>
      </w:r>
      <w:r w:rsidRPr="00BA4348">
        <w:rPr>
          <w:rFonts w:ascii="Cambria" w:eastAsia="Calibri" w:hAnsi="Cambria"/>
          <w:bCs/>
          <w:iCs/>
        </w:rPr>
        <w:t xml:space="preserve"> on public - private partnership, published in Official Gazette no. 954 / 11.25.2016,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sidRPr="00BA4348">
        <w:rPr>
          <w:rFonts w:ascii="Cambria" w:eastAsia="Calibri" w:hAnsi="Cambria"/>
          <w:bCs/>
          <w:iCs/>
        </w:rPr>
        <w:t xml:space="preserve"> </w:t>
      </w:r>
      <w:r w:rsidRPr="005B5CE6">
        <w:rPr>
          <w:rFonts w:ascii="Cambria" w:eastAsia="Calibri" w:hAnsi="Cambria"/>
          <w:b/>
          <w:bCs/>
          <w:iCs/>
        </w:rPr>
        <w:t>GD no. 877/2016</w:t>
      </w:r>
      <w:r w:rsidRPr="00BA4348">
        <w:rPr>
          <w:rFonts w:ascii="Cambria" w:eastAsia="Calibri" w:hAnsi="Cambria"/>
          <w:bCs/>
          <w:iCs/>
        </w:rPr>
        <w:t xml:space="preserve"> amending and supplementing Government Decision no. 500/2011 on general registry of employees and for uniform application of legal provisions, published </w:t>
      </w:r>
      <w:r>
        <w:rPr>
          <w:rFonts w:ascii="Cambria" w:eastAsia="Calibri" w:hAnsi="Cambria"/>
          <w:bCs/>
          <w:iCs/>
        </w:rPr>
        <w:t>in the Official Gazette no. 963/</w:t>
      </w:r>
      <w:r w:rsidRPr="00BA4348">
        <w:rPr>
          <w:rFonts w:ascii="Cambria" w:eastAsia="Calibri" w:hAnsi="Cambria"/>
          <w:bCs/>
          <w:iCs/>
        </w:rPr>
        <w:t>28.11.2016,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5B5CE6">
        <w:rPr>
          <w:rFonts w:ascii="Cambria" w:eastAsia="Calibri" w:hAnsi="Cambria"/>
          <w:b/>
          <w:bCs/>
          <w:iCs/>
        </w:rPr>
        <w:t>Order no. 2844/2016</w:t>
      </w:r>
      <w:r w:rsidRPr="00BA4348">
        <w:rPr>
          <w:rFonts w:ascii="Cambria" w:eastAsia="Calibri" w:hAnsi="Cambria"/>
          <w:bCs/>
          <w:iCs/>
        </w:rPr>
        <w:t xml:space="preserve"> </w:t>
      </w:r>
      <w:r w:rsidRPr="005B5CE6">
        <w:rPr>
          <w:rFonts w:ascii="Cambria" w:eastAsia="Calibri" w:hAnsi="Cambria"/>
          <w:b/>
          <w:bCs/>
          <w:iCs/>
        </w:rPr>
        <w:t xml:space="preserve">MFP </w:t>
      </w:r>
      <w:r w:rsidRPr="00BA4348">
        <w:rPr>
          <w:rFonts w:ascii="Cambria" w:eastAsia="Calibri" w:hAnsi="Cambria"/>
          <w:bCs/>
          <w:iCs/>
        </w:rPr>
        <w:t>approving Accounting Regulations compliant with IFRS Tax, published i</w:t>
      </w:r>
      <w:r>
        <w:rPr>
          <w:rFonts w:ascii="Cambria" w:eastAsia="Calibri" w:hAnsi="Cambria"/>
          <w:bCs/>
          <w:iCs/>
        </w:rPr>
        <w:t>n the Official Gazette no. 1020/</w:t>
      </w:r>
      <w:r w:rsidRPr="00BA4348">
        <w:rPr>
          <w:rFonts w:ascii="Cambria" w:eastAsia="Calibri" w:hAnsi="Cambria"/>
          <w:bCs/>
          <w:iCs/>
        </w:rPr>
        <w:t>19.12.2016,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000DD3">
        <w:rPr>
          <w:rFonts w:ascii="Cambria" w:eastAsia="Calibri" w:hAnsi="Cambria"/>
          <w:b/>
          <w:bCs/>
          <w:iCs/>
        </w:rPr>
        <w:t>Order no. 202/2016</w:t>
      </w:r>
      <w:r w:rsidRPr="00BA4348">
        <w:rPr>
          <w:rFonts w:ascii="Cambria" w:eastAsia="Calibri" w:hAnsi="Cambria"/>
          <w:bCs/>
          <w:iCs/>
        </w:rPr>
        <w:t xml:space="preserve"> </w:t>
      </w:r>
      <w:r w:rsidRPr="00000DD3">
        <w:rPr>
          <w:rFonts w:ascii="Cambria" w:eastAsia="Calibri" w:hAnsi="Cambria"/>
          <w:b/>
          <w:bCs/>
          <w:iCs/>
        </w:rPr>
        <w:t>of the Minister of Internal Affairs</w:t>
      </w:r>
      <w:r w:rsidRPr="00BA4348">
        <w:rPr>
          <w:rFonts w:ascii="Cambria" w:eastAsia="Calibri" w:hAnsi="Cambria"/>
          <w:bCs/>
          <w:iCs/>
        </w:rPr>
        <w:t xml:space="preserve"> </w:t>
      </w:r>
      <w:r>
        <w:rPr>
          <w:rFonts w:ascii="Cambria" w:eastAsia="Calibri" w:hAnsi="Cambria"/>
          <w:bCs/>
          <w:iCs/>
        </w:rPr>
        <w:t xml:space="preserve">for the approval of the </w:t>
      </w:r>
      <w:r w:rsidRPr="00BA4348">
        <w:rPr>
          <w:rFonts w:ascii="Cambria" w:eastAsia="Calibri" w:hAnsi="Cambria"/>
          <w:bCs/>
          <w:iCs/>
        </w:rPr>
        <w:t xml:space="preserve">Framework Structure </w:t>
      </w:r>
      <w:r>
        <w:rPr>
          <w:rFonts w:ascii="Cambria" w:eastAsia="Calibri" w:hAnsi="Cambria"/>
          <w:bCs/>
          <w:iCs/>
        </w:rPr>
        <w:t xml:space="preserve">of the regulation for the </w:t>
      </w:r>
      <w:r w:rsidRPr="00BA4348">
        <w:rPr>
          <w:rFonts w:ascii="Cambria" w:eastAsia="Calibri" w:hAnsi="Cambria"/>
          <w:bCs/>
          <w:iCs/>
        </w:rPr>
        <w:t xml:space="preserve">management </w:t>
      </w:r>
      <w:r>
        <w:rPr>
          <w:rFonts w:ascii="Cambria" w:eastAsia="Calibri" w:hAnsi="Cambria"/>
          <w:bCs/>
          <w:iCs/>
        </w:rPr>
        <w:t xml:space="preserve">of </w:t>
      </w:r>
      <w:r w:rsidRPr="00BA4348">
        <w:rPr>
          <w:rFonts w:ascii="Cambria" w:eastAsia="Calibri" w:hAnsi="Cambria"/>
          <w:bCs/>
          <w:iCs/>
        </w:rPr>
        <w:t>emergency</w:t>
      </w:r>
      <w:r>
        <w:rPr>
          <w:rFonts w:ascii="Cambria" w:eastAsia="Calibri" w:hAnsi="Cambria"/>
          <w:bCs/>
          <w:iCs/>
        </w:rPr>
        <w:t xml:space="preserve"> situations</w:t>
      </w:r>
      <w:r w:rsidRPr="00BA4348">
        <w:rPr>
          <w:rFonts w:ascii="Cambria" w:eastAsia="Calibri" w:hAnsi="Cambria"/>
          <w:bCs/>
          <w:iCs/>
        </w:rPr>
        <w:t>, published i</w:t>
      </w:r>
      <w:r>
        <w:rPr>
          <w:rFonts w:ascii="Cambria" w:eastAsia="Calibri" w:hAnsi="Cambria"/>
          <w:bCs/>
          <w:iCs/>
        </w:rPr>
        <w:t>n the Official Gazette no. 1033/</w:t>
      </w:r>
      <w:r w:rsidRPr="00BA4348">
        <w:rPr>
          <w:rFonts w:ascii="Cambria" w:eastAsia="Calibri" w:hAnsi="Cambria"/>
          <w:bCs/>
          <w:iCs/>
        </w:rPr>
        <w:t>22.12.2016,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lastRenderedPageBreak/>
        <w:t xml:space="preserve"> </w:t>
      </w:r>
      <w:r w:rsidRPr="00000DD3">
        <w:rPr>
          <w:rFonts w:ascii="Cambria" w:eastAsia="Calibri" w:hAnsi="Cambria"/>
          <w:b/>
          <w:bCs/>
          <w:iCs/>
        </w:rPr>
        <w:t>Order no. 103 of December 7, 2016</w:t>
      </w:r>
      <w:r w:rsidRPr="00BA4348">
        <w:rPr>
          <w:rFonts w:ascii="Cambria" w:eastAsia="Calibri" w:hAnsi="Cambria"/>
          <w:bCs/>
          <w:iCs/>
        </w:rPr>
        <w:t xml:space="preserve"> amending and supplementing Regulation </w:t>
      </w:r>
      <w:r>
        <w:rPr>
          <w:rFonts w:ascii="Cambria" w:eastAsia="Calibri" w:hAnsi="Cambria"/>
          <w:bCs/>
          <w:iCs/>
        </w:rPr>
        <w:t>for authorizing</w:t>
      </w:r>
      <w:r w:rsidRPr="00BA4348">
        <w:rPr>
          <w:rFonts w:ascii="Cambria" w:eastAsia="Calibri" w:hAnsi="Cambria"/>
          <w:bCs/>
          <w:iCs/>
        </w:rPr>
        <w:t xml:space="preserve"> the economic operators active in the natural gas sector, approved by Order of the President of the National Energy Regulatory </w:t>
      </w:r>
      <w:r>
        <w:rPr>
          <w:rFonts w:ascii="Cambria" w:eastAsia="Calibri" w:hAnsi="Cambria"/>
          <w:bCs/>
          <w:iCs/>
        </w:rPr>
        <w:t xml:space="preserve">Authority </w:t>
      </w:r>
      <w:r w:rsidRPr="00BA4348">
        <w:rPr>
          <w:rFonts w:ascii="Cambria" w:eastAsia="Calibri" w:hAnsi="Cambria"/>
          <w:bCs/>
          <w:iCs/>
        </w:rPr>
        <w:t xml:space="preserve">no. 98/2015, published in </w:t>
      </w:r>
      <w:r>
        <w:rPr>
          <w:rFonts w:ascii="Cambria" w:eastAsia="Calibri" w:hAnsi="Cambria"/>
          <w:bCs/>
          <w:iCs/>
        </w:rPr>
        <w:t xml:space="preserve">the </w:t>
      </w:r>
      <w:r w:rsidRPr="00BA4348">
        <w:rPr>
          <w:rFonts w:ascii="Cambria" w:eastAsia="Calibri" w:hAnsi="Cambria"/>
          <w:bCs/>
          <w:iCs/>
        </w:rPr>
        <w:t>Official Gazette no. 1033/2016,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bCs/>
          <w:iCs/>
        </w:rPr>
      </w:pPr>
      <w:r>
        <w:rPr>
          <w:rFonts w:ascii="Cambria" w:eastAsia="Calibri" w:hAnsi="Cambria"/>
          <w:bCs/>
          <w:iCs/>
        </w:rPr>
        <w:t xml:space="preserve"> </w:t>
      </w:r>
      <w:r w:rsidRPr="00000DD3">
        <w:rPr>
          <w:rFonts w:ascii="Cambria" w:eastAsia="Calibri" w:hAnsi="Cambria"/>
          <w:b/>
          <w:bCs/>
          <w:iCs/>
        </w:rPr>
        <w:t>Emergency Ordinance no. 100</w:t>
      </w:r>
      <w:r w:rsidRPr="00BA4348">
        <w:rPr>
          <w:rFonts w:ascii="Cambria" w:eastAsia="Calibri" w:hAnsi="Cambria"/>
          <w:bCs/>
          <w:iCs/>
        </w:rPr>
        <w:t xml:space="preserve"> of </w:t>
      </w:r>
      <w:r w:rsidRPr="00BC6C08">
        <w:rPr>
          <w:rFonts w:ascii="Cambria" w:eastAsia="Calibri" w:hAnsi="Cambria"/>
          <w:b/>
          <w:bCs/>
          <w:iCs/>
        </w:rPr>
        <w:t>15 December 2016</w:t>
      </w:r>
      <w:r w:rsidRPr="00BA4348">
        <w:rPr>
          <w:rFonts w:ascii="Cambria" w:eastAsia="Calibri" w:hAnsi="Cambria"/>
          <w:bCs/>
          <w:iCs/>
        </w:rPr>
        <w:t xml:space="preserve"> amending and supplementing </w:t>
      </w:r>
      <w:r w:rsidRPr="00BC6C08">
        <w:rPr>
          <w:rFonts w:ascii="Cambria" w:eastAsia="Calibri" w:hAnsi="Cambria"/>
          <w:bCs/>
          <w:iCs/>
          <w:u w:val="single"/>
        </w:rPr>
        <w:t>Law no. 350/2001</w:t>
      </w:r>
      <w:r w:rsidRPr="00BA4348">
        <w:rPr>
          <w:rFonts w:ascii="Cambria" w:eastAsia="Calibri" w:hAnsi="Cambria"/>
          <w:bCs/>
          <w:iCs/>
        </w:rPr>
        <w:t xml:space="preserve"> on regional planning and the </w:t>
      </w:r>
      <w:r w:rsidRPr="00BC6C08">
        <w:rPr>
          <w:rFonts w:ascii="Cambria" w:eastAsia="Calibri" w:hAnsi="Cambria"/>
          <w:bCs/>
          <w:iCs/>
          <w:u w:val="single"/>
        </w:rPr>
        <w:t>Law no. 50/1991</w:t>
      </w:r>
      <w:r w:rsidRPr="00BA4348">
        <w:rPr>
          <w:rFonts w:ascii="Cambria" w:eastAsia="Calibri" w:hAnsi="Cambria"/>
          <w:bCs/>
          <w:iCs/>
        </w:rPr>
        <w:t xml:space="preserve"> on authorizing the execution of construction works, published in </w:t>
      </w:r>
      <w:r>
        <w:rPr>
          <w:rFonts w:ascii="Cambria" w:eastAsia="Calibri" w:hAnsi="Cambria"/>
          <w:bCs/>
          <w:iCs/>
        </w:rPr>
        <w:t>the Official Gazette no. 1052/</w:t>
      </w:r>
      <w:r w:rsidRPr="00BA4348">
        <w:rPr>
          <w:rFonts w:ascii="Cambria" w:eastAsia="Calibri" w:hAnsi="Cambria"/>
          <w:bCs/>
          <w:iCs/>
        </w:rPr>
        <w:t>27.12.2016, Part I.</w:t>
      </w:r>
    </w:p>
    <w:p w:rsidR="00C35235" w:rsidRPr="00BA4348" w:rsidRDefault="00C35235" w:rsidP="00FA6EB9">
      <w:pPr>
        <w:numPr>
          <w:ilvl w:val="0"/>
          <w:numId w:val="156"/>
        </w:numPr>
        <w:tabs>
          <w:tab w:val="left" w:pos="426"/>
        </w:tabs>
        <w:spacing w:after="0" w:line="240" w:lineRule="auto"/>
        <w:contextualSpacing/>
        <w:jc w:val="both"/>
        <w:rPr>
          <w:rFonts w:ascii="Cambria" w:eastAsia="Calibri" w:hAnsi="Cambria" w:cs="Times New Roman"/>
          <w:bCs/>
          <w:iCs/>
          <w:sz w:val="24"/>
          <w:szCs w:val="24"/>
          <w:lang w:eastAsia="en-US"/>
        </w:rPr>
      </w:pPr>
      <w:r>
        <w:rPr>
          <w:rFonts w:ascii="Cambria" w:eastAsia="Calibri" w:hAnsi="Cambria"/>
          <w:bCs/>
          <w:iCs/>
        </w:rPr>
        <w:t xml:space="preserve"> </w:t>
      </w:r>
      <w:r w:rsidRPr="00BC6C08">
        <w:rPr>
          <w:rFonts w:ascii="Cambria" w:eastAsia="Calibri" w:hAnsi="Cambria"/>
          <w:b/>
          <w:bCs/>
          <w:iCs/>
        </w:rPr>
        <w:t>Decision no. 907 of November 29, 2016</w:t>
      </w:r>
      <w:r w:rsidRPr="00BA4348">
        <w:rPr>
          <w:rFonts w:ascii="Cambria" w:eastAsia="Calibri" w:hAnsi="Cambria"/>
          <w:bCs/>
          <w:iCs/>
        </w:rPr>
        <w:t xml:space="preserve"> on </w:t>
      </w:r>
      <w:r>
        <w:rPr>
          <w:rFonts w:ascii="Cambria" w:eastAsia="Calibri" w:hAnsi="Cambria"/>
          <w:bCs/>
          <w:iCs/>
        </w:rPr>
        <w:t xml:space="preserve">the stages </w:t>
      </w:r>
      <w:r w:rsidRPr="00BA4348">
        <w:rPr>
          <w:rFonts w:ascii="Cambria" w:eastAsia="Calibri" w:hAnsi="Cambria"/>
          <w:bCs/>
          <w:iCs/>
        </w:rPr>
        <w:t xml:space="preserve">of design and </w:t>
      </w:r>
      <w:r>
        <w:rPr>
          <w:rFonts w:ascii="Cambria" w:eastAsia="Calibri" w:hAnsi="Cambria"/>
          <w:bCs/>
          <w:iCs/>
        </w:rPr>
        <w:t xml:space="preserve">the </w:t>
      </w:r>
      <w:r w:rsidRPr="00BA4348">
        <w:rPr>
          <w:rFonts w:ascii="Cambria" w:eastAsia="Calibri" w:hAnsi="Cambria"/>
          <w:bCs/>
          <w:iCs/>
        </w:rPr>
        <w:t xml:space="preserve"> framework content of technical and econom</w:t>
      </w:r>
      <w:r>
        <w:rPr>
          <w:rFonts w:ascii="Cambria" w:eastAsia="Calibri" w:hAnsi="Cambria"/>
          <w:bCs/>
          <w:iCs/>
        </w:rPr>
        <w:t>ic documents related to the objectives/</w:t>
      </w:r>
      <w:r w:rsidRPr="00BA4348">
        <w:rPr>
          <w:rFonts w:ascii="Cambria" w:eastAsia="Calibri" w:hAnsi="Cambria"/>
          <w:bCs/>
          <w:iCs/>
        </w:rPr>
        <w:t xml:space="preserve">investment projects financed from public funds, published in </w:t>
      </w:r>
      <w:r>
        <w:rPr>
          <w:rFonts w:ascii="Cambria" w:eastAsia="Calibri" w:hAnsi="Cambria"/>
          <w:bCs/>
          <w:iCs/>
        </w:rPr>
        <w:t>the Official Gazette no. 1061/</w:t>
      </w:r>
      <w:r w:rsidRPr="00BA4348">
        <w:rPr>
          <w:rFonts w:ascii="Cambria" w:eastAsia="Calibri" w:hAnsi="Cambria"/>
          <w:bCs/>
          <w:iCs/>
        </w:rPr>
        <w:t>29.12. 2016, Part I.</w:t>
      </w:r>
      <w:r>
        <w:rPr>
          <w:rFonts w:ascii="Cambria" w:eastAsia="Calibri" w:hAnsi="Cambria"/>
          <w:bCs/>
          <w:iCs/>
        </w:rPr>
        <w:t xml:space="preserve"> </w:t>
      </w:r>
    </w:p>
    <w:p w:rsidR="004116D1" w:rsidRPr="00322BD0" w:rsidRDefault="00C35235" w:rsidP="00384501">
      <w:pPr>
        <w:spacing w:after="0" w:line="240" w:lineRule="auto"/>
        <w:ind w:firstLine="0"/>
        <w:contextualSpacing/>
        <w:jc w:val="both"/>
        <w:rPr>
          <w:rFonts w:asciiTheme="majorHAnsi" w:hAnsiTheme="majorHAnsi" w:cs="Arial"/>
          <w:sz w:val="24"/>
          <w:szCs w:val="24"/>
          <w:lang w:val="en-GB"/>
        </w:rPr>
      </w:pPr>
      <w:r>
        <w:rPr>
          <w:rFonts w:ascii="Cambria" w:eastAsia="Times New Roman" w:hAnsi="Cambria" w:cs="Helvetica"/>
          <w:sz w:val="24"/>
          <w:szCs w:val="24"/>
          <w:lang w:val="ro-RO"/>
        </w:rPr>
        <w:t>The situation of the amendments/legal proposals formulated in 2016 relevant for the activity of Transgaz:</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b/>
          <w:sz w:val="24"/>
          <w:szCs w:val="24"/>
          <w:u w:val="single"/>
          <w:lang w:val="ro-RO" w:eastAsia="en-US"/>
        </w:rPr>
        <w:t>Primary legislation</w:t>
      </w:r>
      <w:r w:rsidRPr="00425223">
        <w:rPr>
          <w:rFonts w:asciiTheme="majorHAnsi" w:eastAsia="Calibri" w:hAnsiTheme="majorHAnsi" w:cs="Times New Roman"/>
          <w:sz w:val="24"/>
          <w:szCs w:val="24"/>
          <w:lang w:val="ro-RO" w:eastAsia="en-US"/>
        </w:rPr>
        <w:t>:</w:t>
      </w:r>
    </w:p>
    <w:p w:rsidR="006C54DC" w:rsidRPr="00425223" w:rsidRDefault="006C54DC" w:rsidP="00FA6EB9">
      <w:pPr>
        <w:pStyle w:val="ListParagraph"/>
        <w:numPr>
          <w:ilvl w:val="0"/>
          <w:numId w:val="157"/>
        </w:numPr>
        <w:spacing w:after="0" w:line="240" w:lineRule="auto"/>
        <w:ind w:left="36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The „BRUA” bill (law)</w:t>
      </w:r>
    </w:p>
    <w:p w:rsidR="006C54DC" w:rsidRPr="00425223" w:rsidRDefault="006C54DC" w:rsidP="00425223">
      <w:pPr>
        <w:spacing w:after="0" w:line="240" w:lineRule="auto"/>
        <w:ind w:left="360"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it turned into Law no. 185/25 October 2016 on required measures for the implementation of gas projects of national importance</w:t>
      </w:r>
    </w:p>
    <w:p w:rsidR="006C54DC" w:rsidRPr="00425223" w:rsidRDefault="006C54DC" w:rsidP="00FA6EB9">
      <w:pPr>
        <w:pStyle w:val="ListParagraph"/>
        <w:numPr>
          <w:ilvl w:val="0"/>
          <w:numId w:val="157"/>
        </w:numPr>
        <w:spacing w:after="0" w:line="240" w:lineRule="auto"/>
        <w:ind w:left="36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Proposed amendments to GEO no. 22/2014 for the amendment of Law no. 50/1991 on the licensing for construction works implementation, as republished</w:t>
      </w:r>
    </w:p>
    <w:p w:rsidR="006C54DC" w:rsidRPr="00425223" w:rsidRDefault="006C54DC" w:rsidP="00425223">
      <w:pPr>
        <w:spacing w:after="0" w:line="240" w:lineRule="auto"/>
        <w:ind w:left="360"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approved by Law no. 197/2016</w:t>
      </w:r>
    </w:p>
    <w:p w:rsidR="006C54DC" w:rsidRPr="00425223" w:rsidRDefault="006C54DC" w:rsidP="00FA6EB9">
      <w:pPr>
        <w:pStyle w:val="ListParagraph"/>
        <w:numPr>
          <w:ilvl w:val="0"/>
          <w:numId w:val="157"/>
        </w:numPr>
        <w:spacing w:after="0" w:line="240" w:lineRule="auto"/>
        <w:ind w:left="36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Amendments to Power and Gas Law no. 123/2012</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the proposals were aggregated and submitted to the Commission for Industry and Services (the Chamber of Deputies).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4. Opinion for Draft emergency ordinance on measures for streamlining the implementation of trans-European infrastructure projects as well as for the amendment of various laws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It became GEO 7/2016 on measures for streamlining the implementation of trans-European infrastructure projects as well as for the amendment of various legislative acts to Law no. 50/1991 on the licensing of construction works and Order 47/2003 on the approval of the procedure for the issuance of the permit authorizing works for constructions located in the vicinity of oil and gas objectives/systems and it was endorsed by Law no. 241/29 November 2016.</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5. Draft legislative act on the arrangement of the maritime space for the transposition of Directive 2014/89/EU</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it became Ordinance no. 18 dated 29 August 2016 on the arrangement of the maritime space.</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6. Point of view on the emergency ordinance for the amendment of art. 5 and art. 51 of Government Ordinance no. 36/2006 on measures for the operation of centralized systems for the supply of thermal energy to population</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it became Emergency Ordinance no. 67/2016 for the amendment of art. 51 of Governmental Ordinance no. 36/2006 on measures for the operation of centralized systems for the supply of thermal energy to population</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 xml:space="preserve">7. Notes and proposals for the amendment of the Manual on the authorization procedure applicable to Projects of Common Interest </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the final form of the manual was perfected.</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8. Protocol of the National Agency for Cadastre and Land Registration according to Law no. 185/2016 on required measures for the implementation of gas projects of national importance</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 xml:space="preserve">Status: the final form of the protocol was negotiated and signed </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 xml:space="preserve">9. Proposals for the amendment of the Order for the approval of the simplified procedure for archaeological research and for the issuance of the relevant required licenses as well </w:t>
      </w:r>
      <w:r w:rsidRPr="00425223">
        <w:rPr>
          <w:rFonts w:asciiTheme="majorHAnsi" w:eastAsia="Calibri" w:hAnsiTheme="majorHAnsi" w:cs="Times New Roman"/>
          <w:sz w:val="24"/>
          <w:szCs w:val="24"/>
          <w:lang w:val="ro-RO" w:eastAsia="en-US"/>
        </w:rPr>
        <w:lastRenderedPageBreak/>
        <w:t>as for the issuance of the archaeological discharge certificate upon the implementation of national importance projects, issued by the Ministry of Culture</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Status: Transgaz submitted proposals in this respect.</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p>
    <w:p w:rsidR="006C54DC" w:rsidRPr="00425223" w:rsidRDefault="006C54DC" w:rsidP="00425223">
      <w:pPr>
        <w:spacing w:after="0" w:line="240" w:lineRule="auto"/>
        <w:ind w:firstLine="0"/>
        <w:jc w:val="both"/>
        <w:rPr>
          <w:rFonts w:asciiTheme="majorHAnsi" w:eastAsia="Calibri" w:hAnsiTheme="majorHAnsi" w:cs="Times New Roman"/>
          <w:b/>
          <w:sz w:val="24"/>
          <w:szCs w:val="24"/>
          <w:u w:val="single"/>
          <w:lang w:val="ro-RO" w:eastAsia="en-US"/>
        </w:rPr>
      </w:pPr>
      <w:r w:rsidRPr="00425223">
        <w:rPr>
          <w:rFonts w:asciiTheme="majorHAnsi" w:eastAsia="Calibri" w:hAnsiTheme="majorHAnsi" w:cs="Times New Roman"/>
          <w:b/>
          <w:sz w:val="24"/>
          <w:szCs w:val="24"/>
          <w:u w:val="single"/>
          <w:lang w:val="ro-RO" w:eastAsia="en-US"/>
        </w:rPr>
        <w:t>Secondary legislation (Orders of the President of the Nation</w:t>
      </w:r>
      <w:r w:rsidR="00DB552B">
        <w:rPr>
          <w:rFonts w:asciiTheme="majorHAnsi" w:eastAsia="Calibri" w:hAnsiTheme="majorHAnsi" w:cs="Times New Roman"/>
          <w:b/>
          <w:sz w:val="24"/>
          <w:szCs w:val="24"/>
          <w:u w:val="single"/>
          <w:lang w:val="ro-RO" w:eastAsia="en-US"/>
        </w:rPr>
        <w:t>al Energy Regulatory Authority)</w:t>
      </w:r>
    </w:p>
    <w:p w:rsidR="006C54DC" w:rsidRPr="00425223" w:rsidRDefault="006C54DC" w:rsidP="00425223">
      <w:pPr>
        <w:spacing w:after="0" w:line="240" w:lineRule="auto"/>
        <w:ind w:firstLine="0"/>
        <w:jc w:val="both"/>
        <w:rPr>
          <w:rFonts w:asciiTheme="majorHAnsi" w:eastAsia="Calibri" w:hAnsiTheme="majorHAnsi" w:cs="Times New Roman"/>
          <w:b/>
          <w:sz w:val="24"/>
          <w:szCs w:val="24"/>
          <w:lang w:val="ro-RO" w:eastAsia="en-US"/>
        </w:rPr>
      </w:pPr>
      <w:r w:rsidRPr="00425223">
        <w:rPr>
          <w:rFonts w:asciiTheme="majorHAnsi" w:eastAsia="Calibri" w:hAnsiTheme="majorHAnsi" w:cs="Times New Roman"/>
          <w:b/>
          <w:sz w:val="24"/>
          <w:szCs w:val="24"/>
          <w:lang w:val="ro-RO" w:eastAsia="en-US"/>
        </w:rPr>
        <w:t>Opinions and proposals for amendments were submitted within the public consultation procedure for the following legislative acts: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1. Order on the establishment of measures for the implementation of Regulation (EU) no. 984/2013 of the Commission dated 14 October 2013 for the establishment of a network code on capacity allocation mechanisms for gas transmission systems, amending Regulation (EC) no. 715/2009 of the European Parliament and of the Council;</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2. Order for the establishment of additional measures for capacity booking on the Isaccea-Negru Voda pipelines and for the approval of the tariff setting methodology for gas transmission services;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3. Order no. 34/19.07.2016 on the approval of the Methodology for capacity booking and for setting gas transmission tariffs related to Isaccea-Negru Voda pipelines;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4. Order for the approval of the Regulation on capacity booking in relation to National Gas Transmission System future entry/exit points;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5. Order for the approval of technical standards for design, construction and operation of gas supply systems;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6. Order for the approval of means of allocating production-resulted gas amounts necessary for covering the consumption of household consumers and of the thermal energy producers, only for the gas quantities used for the production of thermal energy within co-generation plants and thermal power plants, intended for population for the period 1 November 2016 – 31 March 2017;</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7. Order for the approval of the Regulation on the connections to the gas transmission system;</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8. Order for capacity booking related to entry/exit points;</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9. Order for the approval of the procedure for the change in the gas supplier by the end consumer;</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 xml:space="preserve">10. Order on the regulation for the authorization of the economic operators conducting business in the gas sector and of the framework conditions for license validity, as approved by Order no. 98/2015 of the President of the National Energy Regulatory Authority;  </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11. Order for the approval of the regulation for the accreditation of project proofers and technical experts for gas objectives/systems, as amended.</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12. Order for the approval of the regulation for the metering of the gas quantities circulated across Romania;</w:t>
      </w:r>
    </w:p>
    <w:p w:rsidR="006C54DC" w:rsidRPr="00425223" w:rsidRDefault="006C54DC" w:rsidP="00425223">
      <w:pPr>
        <w:spacing w:after="0" w:line="240" w:lineRule="auto"/>
        <w:ind w:firstLine="0"/>
        <w:jc w:val="both"/>
        <w:rPr>
          <w:rFonts w:asciiTheme="majorHAnsi" w:eastAsia="Calibri" w:hAnsiTheme="majorHAnsi" w:cs="Times New Roman"/>
          <w:sz w:val="24"/>
          <w:szCs w:val="24"/>
          <w:lang w:val="ro-RO" w:eastAsia="en-US"/>
        </w:rPr>
      </w:pPr>
      <w:r w:rsidRPr="00425223">
        <w:rPr>
          <w:rFonts w:asciiTheme="majorHAnsi" w:eastAsia="Calibri" w:hAnsiTheme="majorHAnsi" w:cs="Times New Roman"/>
          <w:sz w:val="24"/>
          <w:szCs w:val="24"/>
          <w:lang w:val="ro-RO" w:eastAsia="en-US"/>
        </w:rPr>
        <w:t xml:space="preserve">13. Order for the establishment of measures for capacity booking for the points of interconnection between the Romanian National Gas Transmission System and other EU gas transmission systems. </w:t>
      </w:r>
    </w:p>
    <w:p w:rsidR="00FE136D" w:rsidRPr="00425223" w:rsidRDefault="00FE136D" w:rsidP="00425223">
      <w:pPr>
        <w:spacing w:after="0" w:line="240" w:lineRule="auto"/>
        <w:ind w:firstLine="0"/>
        <w:jc w:val="both"/>
        <w:rPr>
          <w:rFonts w:asciiTheme="majorHAnsi" w:eastAsia="Calibri" w:hAnsiTheme="majorHAnsi" w:cs="Calibri"/>
          <w:bCs/>
          <w:sz w:val="24"/>
          <w:szCs w:val="24"/>
          <w:lang w:val="ro-RO" w:eastAsia="ro-RO"/>
        </w:rPr>
      </w:pPr>
    </w:p>
    <w:p w:rsidR="001E09B6" w:rsidRDefault="006C54DC" w:rsidP="00425223">
      <w:pPr>
        <w:spacing w:after="0" w:line="240" w:lineRule="auto"/>
        <w:ind w:firstLine="0"/>
        <w:jc w:val="both"/>
        <w:rPr>
          <w:rFonts w:asciiTheme="majorHAnsi" w:hAnsiTheme="majorHAnsi"/>
          <w:b/>
          <w:sz w:val="24"/>
        </w:rPr>
      </w:pPr>
      <w:r w:rsidRPr="00425223">
        <w:rPr>
          <w:rFonts w:asciiTheme="majorHAnsi" w:hAnsiTheme="majorHAnsi"/>
          <w:b/>
          <w:sz w:val="24"/>
        </w:rPr>
        <w:t xml:space="preserve">Activity related to the compliance with the </w:t>
      </w:r>
      <w:r w:rsidR="007C06BC" w:rsidRPr="00425223">
        <w:rPr>
          <w:rFonts w:asciiTheme="majorHAnsi" w:hAnsiTheme="majorHAnsi"/>
          <w:b/>
          <w:sz w:val="24"/>
        </w:rPr>
        <w:t xml:space="preserve">requirements of the </w:t>
      </w:r>
      <w:r w:rsidRPr="00425223">
        <w:rPr>
          <w:rFonts w:asciiTheme="majorHAnsi" w:hAnsiTheme="majorHAnsi"/>
          <w:b/>
          <w:sz w:val="24"/>
        </w:rPr>
        <w:t xml:space="preserve">European regulations </w:t>
      </w:r>
      <w:r w:rsidR="007C06BC" w:rsidRPr="00425223">
        <w:rPr>
          <w:rFonts w:asciiTheme="majorHAnsi" w:hAnsiTheme="majorHAnsi"/>
          <w:b/>
          <w:sz w:val="24"/>
        </w:rPr>
        <w:t>and to the improvement of the national regulatory framework</w:t>
      </w:r>
    </w:p>
    <w:p w:rsidR="00425223" w:rsidRDefault="00425223" w:rsidP="00425223">
      <w:pPr>
        <w:spacing w:after="0" w:line="240" w:lineRule="auto"/>
        <w:ind w:firstLine="0"/>
        <w:jc w:val="both"/>
        <w:rPr>
          <w:rFonts w:asciiTheme="majorHAnsi" w:hAnsiTheme="majorHAnsi"/>
          <w:b/>
          <w:sz w:val="24"/>
        </w:rPr>
      </w:pPr>
    </w:p>
    <w:p w:rsidR="0037604E" w:rsidRPr="0037604E" w:rsidRDefault="0037604E" w:rsidP="0037604E">
      <w:pPr>
        <w:shd w:val="clear" w:color="auto" w:fill="EAF1DD"/>
        <w:spacing w:after="0" w:line="240" w:lineRule="auto"/>
        <w:ind w:firstLine="0"/>
        <w:jc w:val="both"/>
        <w:rPr>
          <w:rFonts w:asciiTheme="majorHAnsi" w:eastAsia="Calibri" w:hAnsiTheme="majorHAnsi" w:cs="DokChampa"/>
          <w:b/>
          <w:sz w:val="24"/>
          <w:szCs w:val="24"/>
          <w:lang w:eastAsia="en-US"/>
        </w:rPr>
      </w:pPr>
      <w:r w:rsidRPr="0037604E">
        <w:rPr>
          <w:rFonts w:asciiTheme="majorHAnsi" w:hAnsiTheme="majorHAnsi"/>
          <w:b/>
          <w:sz w:val="24"/>
        </w:rPr>
        <w:t>Harmonization with European regulations and enhancement of national regulations</w:t>
      </w:r>
    </w:p>
    <w:p w:rsidR="0037604E" w:rsidRPr="0037604E" w:rsidRDefault="0037604E" w:rsidP="0037604E">
      <w:pPr>
        <w:spacing w:after="0" w:line="240" w:lineRule="auto"/>
        <w:ind w:firstLine="0"/>
        <w:jc w:val="both"/>
        <w:rPr>
          <w:rFonts w:asciiTheme="majorHAnsi" w:eastAsia="Calibri" w:hAnsiTheme="majorHAnsi" w:cs="DokChampa"/>
          <w:b/>
          <w:sz w:val="24"/>
          <w:szCs w:val="24"/>
          <w:lang w:eastAsia="en-US"/>
        </w:rPr>
      </w:pPr>
    </w:p>
    <w:p w:rsidR="0037604E" w:rsidRPr="0037604E" w:rsidRDefault="0037604E" w:rsidP="00FA6EB9">
      <w:pPr>
        <w:numPr>
          <w:ilvl w:val="0"/>
          <w:numId w:val="106"/>
        </w:numPr>
        <w:spacing w:after="0" w:line="240" w:lineRule="auto"/>
        <w:ind w:left="0" w:firstLine="0"/>
        <w:contextualSpacing/>
        <w:jc w:val="both"/>
        <w:rPr>
          <w:rFonts w:asciiTheme="majorHAnsi" w:eastAsia="Calibri" w:hAnsiTheme="majorHAnsi" w:cs="Times New Roman"/>
          <w:b/>
          <w:sz w:val="24"/>
          <w:szCs w:val="24"/>
          <w:u w:val="single"/>
          <w:lang w:val="ro-RO" w:eastAsia="en-US"/>
        </w:rPr>
      </w:pPr>
      <w:r w:rsidRPr="0037604E">
        <w:rPr>
          <w:rFonts w:asciiTheme="majorHAnsi" w:hAnsiTheme="majorHAnsi"/>
          <w:b/>
          <w:sz w:val="24"/>
          <w:u w:val="single"/>
        </w:rPr>
        <w:t>Harmonization with European regulations</w:t>
      </w:r>
    </w:p>
    <w:p w:rsidR="0037604E" w:rsidRPr="0037604E" w:rsidRDefault="0037604E" w:rsidP="0037604E">
      <w:pPr>
        <w:spacing w:after="0" w:line="240" w:lineRule="auto"/>
        <w:ind w:firstLine="0"/>
        <w:contextualSpacing/>
        <w:jc w:val="both"/>
        <w:rPr>
          <w:rFonts w:asciiTheme="majorHAnsi" w:eastAsia="Calibri" w:hAnsiTheme="majorHAnsi" w:cs="Times New Roman"/>
          <w:color w:val="FF0000"/>
          <w:lang w:val="ro-RO" w:eastAsia="en-US"/>
        </w:rPr>
      </w:pPr>
    </w:p>
    <w:p w:rsidR="0037604E" w:rsidRPr="0037604E" w:rsidRDefault="0037604E" w:rsidP="0037604E">
      <w:pPr>
        <w:spacing w:after="0" w:line="240" w:lineRule="auto"/>
        <w:ind w:firstLine="0"/>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Between 2013 and 2015 three new European regulations became applicable, completing the Third Energy Package:</w:t>
      </w:r>
    </w:p>
    <w:p w:rsidR="0037604E" w:rsidRPr="0037604E" w:rsidRDefault="0037604E" w:rsidP="0037604E">
      <w:pPr>
        <w:spacing w:after="0" w:line="240" w:lineRule="auto"/>
        <w:ind w:left="426" w:firstLine="0"/>
        <w:jc w:val="both"/>
        <w:rPr>
          <w:rFonts w:asciiTheme="majorHAnsi" w:eastAsia="Calibri" w:hAnsiTheme="majorHAnsi" w:cs="Times New Roman"/>
          <w:i/>
          <w:sz w:val="24"/>
          <w:szCs w:val="24"/>
          <w:lang w:val="ro-RO" w:eastAsia="en-US"/>
        </w:rPr>
      </w:pPr>
      <w:r w:rsidRPr="0037604E">
        <w:rPr>
          <w:rFonts w:asciiTheme="majorHAnsi" w:eastAsia="Calibri" w:hAnsiTheme="majorHAnsi" w:cs="Times New Roman"/>
          <w:i/>
          <w:sz w:val="24"/>
          <w:szCs w:val="24"/>
          <w:lang w:val="ro-RO" w:eastAsia="en-US"/>
        </w:rPr>
        <w:t xml:space="preserve">1. Regulation (EU) No. 984/2013 </w:t>
      </w:r>
      <w:r w:rsidRPr="0037604E">
        <w:rPr>
          <w:rFonts w:asciiTheme="majorHAnsi" w:hAnsiTheme="majorHAnsi"/>
          <w:i/>
          <w:sz w:val="24"/>
          <w:szCs w:val="24"/>
          <w:lang w:val="en"/>
        </w:rPr>
        <w:t>establishing a Network Code on Capacity Allocation Mechanisms in Gas Transmission Systems</w:t>
      </w:r>
      <w:r w:rsidRPr="0037604E">
        <w:rPr>
          <w:rFonts w:asciiTheme="majorHAnsi" w:eastAsia="Calibri" w:hAnsiTheme="majorHAnsi" w:cs="Times New Roman"/>
          <w:i/>
          <w:sz w:val="24"/>
          <w:szCs w:val="24"/>
          <w:lang w:val="ro-RO" w:eastAsia="en-US"/>
        </w:rPr>
        <w:t xml:space="preserve">. </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Regulation is applicable as of 1 November 2015 and refers to the EU Member States cross-border interconnection points. </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For the Csanadpalota (RO-HU) interconnection point Transgaz implemented the requirements of the REgulation from December 2014 within a pilot project on te early implementation of this regulation. </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For the Negru Vodă 1, 2 and 3 interconnection points  the Regulation implementation process will be coordinated with the existing transmission contracts valid for the transit pipelines. Thus at the moment steps are taken for the implementation of the regulation with regard to the Negru Vodă 1 and 2 points starting with the next gas year (2016 – 2017). </w:t>
      </w:r>
    </w:p>
    <w:p w:rsidR="0037604E" w:rsidRPr="0037604E" w:rsidRDefault="0037604E" w:rsidP="0037604E">
      <w:pPr>
        <w:spacing w:after="0" w:line="240" w:lineRule="auto"/>
        <w:ind w:left="426" w:firstLine="0"/>
        <w:jc w:val="both"/>
        <w:rPr>
          <w:rFonts w:asciiTheme="majorHAnsi" w:eastAsia="Calibri" w:hAnsiTheme="majorHAnsi" w:cs="Times New Roman"/>
          <w:i/>
          <w:sz w:val="24"/>
          <w:szCs w:val="24"/>
          <w:lang w:val="ro-RO" w:eastAsia="en-US"/>
        </w:rPr>
      </w:pPr>
      <w:r w:rsidRPr="0037604E">
        <w:rPr>
          <w:rFonts w:asciiTheme="majorHAnsi" w:eastAsia="Calibri" w:hAnsiTheme="majorHAnsi" w:cs="Times New Roman"/>
          <w:i/>
          <w:sz w:val="24"/>
          <w:szCs w:val="24"/>
          <w:lang w:val="ro-RO" w:eastAsia="en-US"/>
        </w:rPr>
        <w:t xml:space="preserve">2. Regulation (EU) No. 312/2014 </w:t>
      </w:r>
      <w:r w:rsidRPr="0037604E">
        <w:rPr>
          <w:rFonts w:asciiTheme="majorHAnsi" w:hAnsiTheme="majorHAnsi"/>
          <w:sz w:val="24"/>
          <w:szCs w:val="24"/>
          <w:lang w:val="en"/>
        </w:rPr>
        <w:t>establishing a Network Code on Gas Balancing of Transmission Networks</w:t>
      </w:r>
      <w:r w:rsidRPr="0037604E">
        <w:rPr>
          <w:rFonts w:asciiTheme="majorHAnsi" w:eastAsia="Calibri" w:hAnsiTheme="majorHAnsi" w:cs="Times New Roman"/>
          <w:i/>
          <w:sz w:val="24"/>
          <w:szCs w:val="24"/>
          <w:lang w:val="ro-RO" w:eastAsia="en-US"/>
        </w:rPr>
        <w:t>.</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ÎFor implementing this Regulation, Transgaz prepared the Report the application of the interim measures according to the Regulation. The Report was approved by ANRE by Decision 2296/11.11.2015 of the ANRE President. </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Report the application of the interim measures will be updated and sent for analysis to ANRE in June 2016, following to be applied in the following gas year.  </w:t>
      </w:r>
    </w:p>
    <w:p w:rsidR="0037604E" w:rsidRPr="0037604E" w:rsidRDefault="0037604E" w:rsidP="0037604E">
      <w:pPr>
        <w:spacing w:after="0" w:line="240" w:lineRule="auto"/>
        <w:ind w:left="426" w:firstLine="0"/>
        <w:jc w:val="both"/>
        <w:rPr>
          <w:rFonts w:asciiTheme="majorHAnsi" w:eastAsia="Calibri" w:hAnsiTheme="majorHAnsi" w:cs="Times New Roman"/>
          <w:i/>
          <w:sz w:val="24"/>
          <w:szCs w:val="24"/>
          <w:lang w:val="ro-RO" w:eastAsia="en-US"/>
        </w:rPr>
      </w:pPr>
      <w:r w:rsidRPr="0037604E">
        <w:rPr>
          <w:rFonts w:asciiTheme="majorHAnsi" w:eastAsia="Calibri" w:hAnsiTheme="majorHAnsi" w:cs="Times New Roman"/>
          <w:i/>
          <w:sz w:val="24"/>
          <w:szCs w:val="24"/>
          <w:lang w:val="ro-RO" w:eastAsia="en-US"/>
        </w:rPr>
        <w:t xml:space="preserve">3. Regulation (EU) No. 2015/703 </w:t>
      </w:r>
      <w:r w:rsidRPr="0037604E">
        <w:rPr>
          <w:rFonts w:asciiTheme="majorHAnsi" w:hAnsiTheme="majorHAnsi"/>
          <w:color w:val="444444"/>
          <w:sz w:val="24"/>
          <w:szCs w:val="24"/>
          <w:lang w:val="en"/>
        </w:rPr>
        <w:t>establishing a network code on interoperability and data exchange rules</w:t>
      </w:r>
      <w:r w:rsidRPr="0037604E">
        <w:rPr>
          <w:rFonts w:asciiTheme="majorHAnsi" w:eastAsia="Calibri" w:hAnsiTheme="majorHAnsi" w:cs="Times New Roman"/>
          <w:i/>
          <w:sz w:val="24"/>
          <w:szCs w:val="24"/>
          <w:lang w:val="ro-RO" w:eastAsia="en-US"/>
        </w:rPr>
        <w:t>.</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This Regulation will be applied as of 1 May 2016 at the EU Member States cross-border interconnection points.</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At the Csanadpalota (RO-HU) point the Regulation is applied since December  2015 at the same time with the conclusion of the Interconnection Agreement between Transgaz and FGSZ,  the Hungarian transmission system operator.</w:t>
      </w:r>
    </w:p>
    <w:p w:rsidR="0037604E" w:rsidRPr="0037604E" w:rsidRDefault="0037604E" w:rsidP="0037604E">
      <w:pPr>
        <w:spacing w:after="0" w:line="240" w:lineRule="auto"/>
        <w:ind w:left="426"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For the Negru Vodă 1 and 2 (RO-BG) pointsit is planned the negotiation and conclusion of the interconnection agreements until 1 May 2016.</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FA6EB9">
      <w:pPr>
        <w:numPr>
          <w:ilvl w:val="0"/>
          <w:numId w:val="106"/>
        </w:numPr>
        <w:spacing w:after="0" w:line="240" w:lineRule="auto"/>
        <w:ind w:left="0" w:firstLine="0"/>
        <w:contextualSpacing/>
        <w:jc w:val="both"/>
        <w:rPr>
          <w:rFonts w:asciiTheme="majorHAnsi" w:eastAsia="Calibri" w:hAnsiTheme="majorHAnsi" w:cs="Times New Roman"/>
          <w:b/>
          <w:sz w:val="24"/>
          <w:szCs w:val="24"/>
          <w:u w:val="single"/>
          <w:lang w:val="ro-RO" w:eastAsia="en-US"/>
        </w:rPr>
      </w:pPr>
      <w:r w:rsidRPr="0037604E">
        <w:rPr>
          <w:rFonts w:asciiTheme="majorHAnsi" w:hAnsiTheme="majorHAnsi"/>
          <w:b/>
          <w:sz w:val="24"/>
          <w:u w:val="single"/>
        </w:rPr>
        <w:t>Enhancement of national regulations</w:t>
      </w:r>
      <w:r w:rsidRPr="0037604E">
        <w:rPr>
          <w:rFonts w:asciiTheme="majorHAnsi" w:eastAsia="Calibri" w:hAnsiTheme="majorHAnsi" w:cs="Times New Roman"/>
          <w:b/>
          <w:sz w:val="24"/>
          <w:szCs w:val="24"/>
          <w:u w:val="single"/>
          <w:lang w:val="ro-RO" w:eastAsia="en-US"/>
        </w:rPr>
        <w:t xml:space="preserve"> </w:t>
      </w:r>
    </w:p>
    <w:p w:rsidR="0037604E" w:rsidRPr="0037604E" w:rsidRDefault="0037604E" w:rsidP="0037604E">
      <w:pPr>
        <w:spacing w:after="0" w:line="240" w:lineRule="auto"/>
        <w:ind w:firstLine="0"/>
        <w:contextualSpacing/>
        <w:jc w:val="both"/>
        <w:rPr>
          <w:rFonts w:asciiTheme="majorHAnsi" w:eastAsia="Calibri" w:hAnsiTheme="majorHAnsi" w:cs="Times New Roman"/>
          <w:b/>
          <w:sz w:val="24"/>
          <w:szCs w:val="24"/>
          <w:u w:val="single"/>
          <w:lang w:val="ro-RO" w:eastAsia="en-US"/>
        </w:rPr>
      </w:pPr>
    </w:p>
    <w:p w:rsidR="0037604E" w:rsidRPr="0037604E" w:rsidRDefault="0037604E" w:rsidP="00FA6EB9">
      <w:pPr>
        <w:numPr>
          <w:ilvl w:val="0"/>
          <w:numId w:val="107"/>
        </w:numPr>
        <w:spacing w:after="0" w:line="240" w:lineRule="auto"/>
        <w:contextualSpacing/>
        <w:jc w:val="both"/>
        <w:rPr>
          <w:rFonts w:asciiTheme="majorHAnsi" w:eastAsia="Calibri" w:hAnsiTheme="majorHAnsi" w:cs="Times New Roman"/>
          <w:b/>
          <w:color w:val="FF0000"/>
          <w:sz w:val="24"/>
          <w:szCs w:val="24"/>
          <w:lang w:val="ro-RO" w:eastAsia="en-US"/>
        </w:rPr>
      </w:pPr>
      <w:r w:rsidRPr="0037604E">
        <w:rPr>
          <w:rFonts w:asciiTheme="majorHAnsi" w:eastAsia="Calibri" w:hAnsiTheme="majorHAnsi" w:cs="Times New Roman"/>
          <w:b/>
          <w:sz w:val="24"/>
          <w:szCs w:val="24"/>
          <w:lang w:val="ro-RO" w:eastAsia="en-US"/>
        </w:rPr>
        <w:t>Revision of the Network Code</w:t>
      </w:r>
    </w:p>
    <w:p w:rsidR="0037604E" w:rsidRPr="0037604E" w:rsidRDefault="0037604E" w:rsidP="00FA6EB9">
      <w:pPr>
        <w:numPr>
          <w:ilvl w:val="0"/>
          <w:numId w:val="110"/>
        </w:numPr>
        <w:spacing w:after="0" w:line="240" w:lineRule="auto"/>
        <w:ind w:left="709" w:hanging="425"/>
        <w:contextualSpacing/>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Betwen 31.12.2015 and 14.01.2016 proposals and comments were sent to ANRE regarding the draft order establishing interim measures on the implementation of the Network Code.</w:t>
      </w:r>
    </w:p>
    <w:p w:rsidR="0037604E" w:rsidRPr="0037604E" w:rsidRDefault="0037604E" w:rsidP="00FA6EB9">
      <w:pPr>
        <w:numPr>
          <w:ilvl w:val="0"/>
          <w:numId w:val="108"/>
        </w:numPr>
        <w:tabs>
          <w:tab w:val="left" w:pos="-709"/>
        </w:tabs>
        <w:spacing w:after="0" w:line="240" w:lineRule="auto"/>
        <w:ind w:left="709" w:hanging="502"/>
        <w:jc w:val="both"/>
        <w:rPr>
          <w:rFonts w:asciiTheme="majorHAnsi" w:eastAsia="Calibri" w:hAnsiTheme="majorHAnsi" w:cs="Times New Roman"/>
          <w:sz w:val="24"/>
          <w:szCs w:val="24"/>
          <w:lang w:val="ro-RO" w:eastAsia="en-US"/>
        </w:rPr>
      </w:pPr>
      <w:r w:rsidRPr="0037604E">
        <w:rPr>
          <w:rFonts w:asciiTheme="majorHAnsi" w:eastAsia="SimSun" w:hAnsiTheme="majorHAnsi" w:cs="Century"/>
          <w:sz w:val="24"/>
          <w:szCs w:val="24"/>
          <w:lang w:val="ro-RO" w:eastAsia="zh-CN"/>
        </w:rPr>
        <w:t>By Letter DG.4638/01.02.2016 it was sent the detailed plan of measures and the related calendarto be implemented by Transgaz until 1 April 2016 to adapt the informational platform to the requirements of the Network Code.</w:t>
      </w:r>
    </w:p>
    <w:p w:rsidR="0037604E" w:rsidRPr="0037604E" w:rsidRDefault="0037604E" w:rsidP="00FA6EB9">
      <w:pPr>
        <w:numPr>
          <w:ilvl w:val="0"/>
          <w:numId w:val="108"/>
        </w:numPr>
        <w:tabs>
          <w:tab w:val="left" w:pos="-709"/>
        </w:tabs>
        <w:spacing w:after="0" w:line="240" w:lineRule="auto"/>
        <w:ind w:left="709" w:hanging="502"/>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By Letter DEc. 5345/05.02.2016 Transgaz submitted to ANRE the Methodology for the allocation to the network users of the difference between the costs and revenue from balancing</w:t>
      </w:r>
      <w:r w:rsidRPr="0037604E">
        <w:rPr>
          <w:rFonts w:asciiTheme="majorHAnsi" w:eastAsia="SimSun" w:hAnsiTheme="majorHAnsi" w:cs="Century"/>
          <w:sz w:val="24"/>
          <w:szCs w:val="24"/>
          <w:lang w:val="ro-RO" w:eastAsia="zh-CN"/>
        </w:rPr>
        <w:t>.</w:t>
      </w:r>
    </w:p>
    <w:p w:rsidR="0037604E" w:rsidRPr="0037604E" w:rsidRDefault="0037604E" w:rsidP="00FA6EB9">
      <w:pPr>
        <w:numPr>
          <w:ilvl w:val="0"/>
          <w:numId w:val="108"/>
        </w:numPr>
        <w:tabs>
          <w:tab w:val="left" w:pos="-709"/>
        </w:tabs>
        <w:spacing w:after="0" w:line="240" w:lineRule="auto"/>
        <w:ind w:left="709" w:hanging="502"/>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By Letter </w:t>
      </w:r>
      <w:r w:rsidRPr="0037604E">
        <w:rPr>
          <w:rFonts w:asciiTheme="majorHAnsi" w:eastAsia="SimSun" w:hAnsiTheme="majorHAnsi" w:cs="Century"/>
          <w:sz w:val="24"/>
          <w:szCs w:val="24"/>
          <w:lang w:val="ro-RO" w:eastAsia="zh-CN"/>
        </w:rPr>
        <w:t>FAX/DG/DRL.5726/08.02.2016 Transgaz sent to the regulatory authority the procedures for the determination of the following parameters:</w:t>
      </w:r>
    </w:p>
    <w:p w:rsidR="0037604E" w:rsidRPr="0037604E" w:rsidRDefault="0037604E" w:rsidP="00FA6EB9">
      <w:pPr>
        <w:numPr>
          <w:ilvl w:val="1"/>
          <w:numId w:val="111"/>
        </w:numPr>
        <w:tabs>
          <w:tab w:val="left" w:pos="-709"/>
        </w:tabs>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Energy of technological consumption gas localised - established;</w:t>
      </w:r>
    </w:p>
    <w:p w:rsidR="0037604E" w:rsidRPr="0037604E" w:rsidRDefault="0037604E" w:rsidP="00FA6EB9">
      <w:pPr>
        <w:numPr>
          <w:ilvl w:val="1"/>
          <w:numId w:val="111"/>
        </w:numPr>
        <w:tabs>
          <w:tab w:val="left" w:pos="-709"/>
        </w:tabs>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Energy of technological consumption unlocalised - estimated;</w:t>
      </w:r>
    </w:p>
    <w:p w:rsidR="0037604E" w:rsidRPr="0037604E" w:rsidRDefault="0037604E" w:rsidP="00FA6EB9">
      <w:pPr>
        <w:numPr>
          <w:ilvl w:val="1"/>
          <w:numId w:val="111"/>
        </w:numPr>
        <w:tabs>
          <w:tab w:val="left" w:pos="-709"/>
        </w:tabs>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Energy of gas related to NTS loss;</w:t>
      </w:r>
    </w:p>
    <w:p w:rsidR="0037604E" w:rsidRPr="0037604E" w:rsidRDefault="0037604E" w:rsidP="00FA6EB9">
      <w:pPr>
        <w:numPr>
          <w:ilvl w:val="1"/>
          <w:numId w:val="111"/>
        </w:numPr>
        <w:tabs>
          <w:tab w:val="left" w:pos="-709"/>
        </w:tabs>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lastRenderedPageBreak/>
        <w:t xml:space="preserve">Variation of energy of linepack. </w:t>
      </w:r>
    </w:p>
    <w:p w:rsidR="0037604E" w:rsidRPr="0037604E" w:rsidRDefault="0037604E" w:rsidP="00FA6EB9">
      <w:pPr>
        <w:numPr>
          <w:ilvl w:val="0"/>
          <w:numId w:val="108"/>
        </w:numPr>
        <w:tabs>
          <w:tab w:val="left" w:pos="-709"/>
        </w:tabs>
        <w:spacing w:after="0" w:line="240" w:lineRule="auto"/>
        <w:ind w:left="709" w:hanging="502"/>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By Letter </w:t>
      </w:r>
      <w:r w:rsidRPr="0037604E">
        <w:rPr>
          <w:rFonts w:asciiTheme="majorHAnsi" w:eastAsia="SimSun" w:hAnsiTheme="majorHAnsi" w:cs="Century"/>
          <w:sz w:val="24"/>
          <w:szCs w:val="24"/>
          <w:lang w:val="ro-RO" w:eastAsia="zh-CN"/>
        </w:rPr>
        <w:t>FAX/DG/DRL.7487/17.02.2016 Transgaz sent to the regulator a summary of the main/general aspects and of the specific provisions of the Network Coderaisinf implementation issues.</w:t>
      </w:r>
    </w:p>
    <w:p w:rsidR="0037604E" w:rsidRPr="0037604E" w:rsidRDefault="0037604E" w:rsidP="00FA6EB9">
      <w:pPr>
        <w:numPr>
          <w:ilvl w:val="0"/>
          <w:numId w:val="108"/>
        </w:numPr>
        <w:tabs>
          <w:tab w:val="left" w:pos="-709"/>
        </w:tabs>
        <w:spacing w:after="0" w:line="240" w:lineRule="auto"/>
        <w:ind w:left="709" w:hanging="502"/>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By Letter FAX/DG/DRL. 1049/07.03.2016 Transgaz sent:</w:t>
      </w:r>
    </w:p>
    <w:p w:rsidR="0037604E" w:rsidRPr="0037604E" w:rsidRDefault="0037604E" w:rsidP="00FA6EB9">
      <w:pPr>
        <w:numPr>
          <w:ilvl w:val="1"/>
          <w:numId w:val="107"/>
        </w:numPr>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A summary of the problems identified  at the analysis for the implementationof the Network Code;</w:t>
      </w:r>
    </w:p>
    <w:p w:rsidR="0037604E" w:rsidRPr="0037604E" w:rsidRDefault="0037604E" w:rsidP="00FA6EB9">
      <w:pPr>
        <w:numPr>
          <w:ilvl w:val="1"/>
          <w:numId w:val="107"/>
        </w:numPr>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A proposal for the amending of the Network Code;</w:t>
      </w:r>
    </w:p>
    <w:p w:rsidR="0037604E" w:rsidRPr="0037604E" w:rsidRDefault="0037604E" w:rsidP="00FA6EB9">
      <w:pPr>
        <w:numPr>
          <w:ilvl w:val="1"/>
          <w:numId w:val="107"/>
        </w:numPr>
        <w:tabs>
          <w:tab w:val="left" w:pos="-709"/>
        </w:tabs>
        <w:spacing w:after="0" w:line="240" w:lineRule="auto"/>
        <w:ind w:left="1418" w:hanging="425"/>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A proposal for the amending of Order 1/2016 of the ANRE President.</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FAX/DG/DRL. 11422/11.03.2016 Transgaz sent additional reasons for the proposal to amend Order 1/2016 of the ANRE President.</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On 14.03.2016 Transgaz held a market information session regarding the proposal to amend the Network Code and Order 1/2016 of the ANRE President.</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Following the opinions of the ANRE representatives and of market company representatives, Transgaz requeste ANRE by Letter FAX/DG/DRL.12485/17.03.2016, the withdrawal from the public debate of the proposal to revise the Network Code.</w:t>
      </w:r>
    </w:p>
    <w:p w:rsidR="0037604E" w:rsidRPr="0037604E" w:rsidRDefault="0037604E" w:rsidP="00FA6EB9">
      <w:pPr>
        <w:numPr>
          <w:ilvl w:val="0"/>
          <w:numId w:val="109"/>
        </w:numPr>
        <w:tabs>
          <w:tab w:val="left" w:pos="-709"/>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SimSun" w:hAnsiTheme="majorHAnsi" w:cs="Century"/>
          <w:sz w:val="24"/>
          <w:szCs w:val="24"/>
          <w:lang w:val="ro-RO" w:eastAsia="zh-CN"/>
        </w:rPr>
        <w:t xml:space="preserve">Between Aprilie and June 2016 discussions were held with the prodyucers and operators of the underground storages, especially on the allocation of gas quantities metered by NTS entry points from the production facilities and from underground storages, and on nomination matching. </w:t>
      </w:r>
    </w:p>
    <w:p w:rsidR="0037604E" w:rsidRPr="0037604E" w:rsidRDefault="0037604E" w:rsidP="00FA6EB9">
      <w:pPr>
        <w:numPr>
          <w:ilvl w:val="0"/>
          <w:numId w:val="109"/>
        </w:numPr>
        <w:tabs>
          <w:tab w:val="left" w:pos="-709"/>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Participation in the Trilateral Work Group, the Ministry of Energy-ANRE-TRANSGAZ, starting with April 2016. The aim of this work group ist o create a gas market model by revising Law 123/2012 and the Network Code.</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FAX/DG/DRL.27898/16.06.2016 it was requested the postponing of the 15.06.2016 deadline for submission of updated version of the Report on the implementation of the interim measures according to Regulation (EU) 312/2014. The new deadline requested is the end of QIII of gas year 2016-2017;</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Participation on 17.08.2016 to the bilateral meeting between ANRE and SNTGN Transgaz SA to identify the next  necssary steps, ensuring appropriate performance of nomination, matching and allocation.</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Calibri" w:hAnsiTheme="majorHAnsi" w:cs="Times New Roman"/>
          <w:sz w:val="24"/>
          <w:szCs w:val="24"/>
          <w:lang w:val="ro-RO" w:eastAsia="en-US"/>
        </w:rPr>
        <w:t>Following discussions on 22.07.2016, the management of the company decided to prepare a proposal containing three revision versions regarding the Network Code. The proposal was prepared within the OWG and was sent to ANRE by letter FAX/DG/DRL.34715/27.07.2016.</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FAX/DG/DRL.39554/29.08.2016 SNTGN Transgaz SA sent to ANRE an updated version of the third revision version of the Network Code, sent by Letter FAX/DG/DRL. 34715/27.07.2016.</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FAX/DG/DRL 44.446/27.09.2016 SNTGN Transgaz SA sent to ANRE a proposal for the amending of the Network Code ragarding gas allocation at the entru points from production facilities (Art. 66 and Art. 67).</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FAX/DG/DRL 45.109/30.09.2016 SNTGN Transgaz SA sent to ANRE a revised proposal for the amending of the Network Code ragarding gas allocation at the entru points from production facilities (Art. 66 and Art. 67).</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Following the public consultation of the draft order for the amending and supplementation of the Network Code by Letter FAX/DG/DRL 47.790/17.10.2016 SNTGN Transgaz SA sent to ANRE proposals and comments and requested a bilateral meeting with ANRE.</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Particiaption in ANRE-SNTGN Transgaz SA billateral meeting on 19.10.2016 for the analysis and clarification of the proposals regarding the draft order.</w:t>
      </w:r>
    </w:p>
    <w:p w:rsidR="0037604E" w:rsidRPr="0037604E" w:rsidRDefault="0037604E" w:rsidP="00FA6EB9">
      <w:pPr>
        <w:numPr>
          <w:ilvl w:val="0"/>
          <w:numId w:val="109"/>
        </w:numPr>
        <w:tabs>
          <w:tab w:val="left" w:pos="-709"/>
        </w:tabs>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lastRenderedPageBreak/>
        <w:t>By Letter FAX/DG/DRL 48.623/21.10.2016, SNTGN Transgaz SA sent to ANRE a new proposal for the amending and supplementing the draft order. The principles agreed within the  ANRE-Transgaz bilateral meeting of 19.10.2016 were considered at the preparation of these proposals:</w:t>
      </w:r>
    </w:p>
    <w:p w:rsidR="0037604E" w:rsidRPr="0037604E" w:rsidRDefault="0037604E" w:rsidP="0037604E">
      <w:pPr>
        <w:autoSpaceDE w:val="0"/>
        <w:autoSpaceDN w:val="0"/>
        <w:adjustRightInd w:val="0"/>
        <w:spacing w:after="0" w:line="240" w:lineRule="auto"/>
        <w:ind w:left="709" w:firstLine="0"/>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 NTS entry points gas allocation principle – identical at all points;</w:t>
      </w:r>
    </w:p>
    <w:p w:rsidR="0037604E" w:rsidRPr="0037604E" w:rsidRDefault="0037604E" w:rsidP="0037604E">
      <w:pPr>
        <w:tabs>
          <w:tab w:val="left" w:pos="-709"/>
        </w:tabs>
        <w:spacing w:after="0" w:line="240" w:lineRule="auto"/>
        <w:ind w:left="720" w:firstLine="0"/>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 the principles of receiving, processing and gathering information for approvinf nominations remain unchanged.</w:t>
      </w:r>
    </w:p>
    <w:p w:rsidR="0037604E" w:rsidRPr="0037604E" w:rsidRDefault="0037604E" w:rsidP="00FA6EB9">
      <w:pPr>
        <w:numPr>
          <w:ilvl w:val="0"/>
          <w:numId w:val="116"/>
        </w:numPr>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Participation in the 24.10.2016 meeting held by ANRE following the public consultation regardin the dratf order for amending and supplementing the Network Code.</w:t>
      </w:r>
    </w:p>
    <w:p w:rsidR="0037604E" w:rsidRPr="0037604E" w:rsidRDefault="0037604E" w:rsidP="00FA6EB9">
      <w:pPr>
        <w:numPr>
          <w:ilvl w:val="0"/>
          <w:numId w:val="116"/>
        </w:numPr>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By Letter DO/49892/28.10.2016, SNTGN Transgaz SA send to ANRE the draft agreement to be concluded between SNTGN Transgaz SA as a TSO and the participants in the gas trade which are not network users.</w:t>
      </w:r>
    </w:p>
    <w:p w:rsidR="0037604E" w:rsidRPr="0037604E" w:rsidRDefault="0037604E" w:rsidP="00FA6EB9">
      <w:pPr>
        <w:numPr>
          <w:ilvl w:val="0"/>
          <w:numId w:val="116"/>
        </w:numPr>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 xml:space="preserve">By Letter </w:t>
      </w:r>
      <w:r w:rsidRPr="0037604E">
        <w:rPr>
          <w:rFonts w:asciiTheme="majorHAnsi" w:eastAsia="Calibri" w:hAnsiTheme="majorHAnsi" w:cs="Times New Roman"/>
          <w:sz w:val="24"/>
          <w:szCs w:val="24"/>
          <w:lang w:val="ro-RO" w:eastAsia="en-US"/>
        </w:rPr>
        <w:t xml:space="preserve">DO.53321/18.11.2016, SNTGN Transgaz SA </w:t>
      </w:r>
      <w:r w:rsidRPr="0037604E">
        <w:rPr>
          <w:rFonts w:asciiTheme="majorHAnsi" w:eastAsia="SimSun" w:hAnsiTheme="majorHAnsi" w:cs="Century"/>
          <w:sz w:val="24"/>
          <w:szCs w:val="24"/>
          <w:lang w:val="ro-RO" w:eastAsia="zh-CN"/>
        </w:rPr>
        <w:t xml:space="preserve">send to </w:t>
      </w:r>
      <w:r w:rsidRPr="0037604E">
        <w:rPr>
          <w:rFonts w:asciiTheme="majorHAnsi" w:eastAsia="Calibri" w:hAnsiTheme="majorHAnsi" w:cs="Times New Roman"/>
          <w:sz w:val="24"/>
          <w:szCs w:val="24"/>
          <w:lang w:val="ro-RO" w:eastAsia="en-US"/>
        </w:rPr>
        <w:t>ANREa proposal to re-assess the calculation of the average weighted price for selling/buying gas making the object of daily imbalances recorded by network users.</w:t>
      </w:r>
    </w:p>
    <w:p w:rsidR="0037604E" w:rsidRPr="0037604E" w:rsidRDefault="0037604E" w:rsidP="00FA6EB9">
      <w:pPr>
        <w:numPr>
          <w:ilvl w:val="0"/>
          <w:numId w:val="116"/>
        </w:numPr>
        <w:spacing w:after="0" w:line="240" w:lineRule="auto"/>
        <w:contextualSpacing/>
        <w:jc w:val="both"/>
        <w:rPr>
          <w:rFonts w:asciiTheme="majorHAnsi" w:eastAsia="SimSun" w:hAnsiTheme="majorHAnsi" w:cs="Century"/>
          <w:sz w:val="24"/>
          <w:szCs w:val="24"/>
          <w:lang w:val="ro-RO" w:eastAsia="zh-CN"/>
        </w:rPr>
      </w:pPr>
      <w:r w:rsidRPr="0037604E">
        <w:rPr>
          <w:rFonts w:asciiTheme="majorHAnsi" w:eastAsia="SimSun" w:hAnsiTheme="majorHAnsi" w:cs="Century"/>
          <w:sz w:val="24"/>
          <w:szCs w:val="24"/>
          <w:lang w:val="ro-RO" w:eastAsia="zh-CN"/>
        </w:rPr>
        <w:t xml:space="preserve">By Letter </w:t>
      </w:r>
      <w:r w:rsidRPr="0037604E">
        <w:rPr>
          <w:rFonts w:asciiTheme="majorHAnsi" w:eastAsia="Calibri" w:hAnsiTheme="majorHAnsi" w:cs="Times New Roman"/>
          <w:sz w:val="24"/>
          <w:szCs w:val="24"/>
          <w:lang w:val="ro-RO" w:eastAsia="en-US"/>
        </w:rPr>
        <w:t>FAX/DG/DRL.55659/05.12.2016 SNTGN Transgaz SA sent to ANRE:</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a proposal to revise the Network Code on allocation NTS exit points to distribution systems and underground storages, considering the chain principle for those quantities not allocated by distributors, by following trades from the distributor to the NTS;</w:t>
      </w:r>
    </w:p>
    <w:p w:rsidR="0037604E" w:rsidRPr="0037604E" w:rsidRDefault="0037604E" w:rsidP="0037604E">
      <w:pPr>
        <w:spacing w:after="0" w:line="240" w:lineRule="auto"/>
        <w:ind w:left="720" w:firstLine="0"/>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additional comments on the proposal to re-assess the calculation of the average weighted price for selling/buying gas making the object of daily imbalances recorded by network users.</w:t>
      </w:r>
    </w:p>
    <w:p w:rsidR="0037604E" w:rsidRPr="0037604E" w:rsidRDefault="0037604E" w:rsidP="0037604E">
      <w:pPr>
        <w:spacing w:after="0" w:line="240" w:lineRule="auto"/>
        <w:ind w:left="426" w:firstLine="0"/>
        <w:contextualSpacing/>
        <w:jc w:val="both"/>
        <w:rPr>
          <w:rFonts w:asciiTheme="majorHAnsi" w:hAnsiTheme="majorHAnsi"/>
          <w:sz w:val="24"/>
          <w:lang w:val="ro-RO"/>
        </w:rPr>
      </w:pPr>
    </w:p>
    <w:p w:rsidR="0037604E" w:rsidRPr="0037604E" w:rsidRDefault="0037604E" w:rsidP="00FA6EB9">
      <w:pPr>
        <w:numPr>
          <w:ilvl w:val="0"/>
          <w:numId w:val="107"/>
        </w:numPr>
        <w:spacing w:after="0" w:line="240" w:lineRule="auto"/>
        <w:contextualSpacing/>
        <w:jc w:val="both"/>
        <w:rPr>
          <w:rFonts w:asciiTheme="majorHAnsi" w:eastAsia="Calibri" w:hAnsiTheme="majorHAnsi" w:cs="Times New Roman"/>
          <w:b/>
          <w:sz w:val="24"/>
          <w:szCs w:val="24"/>
          <w:lang w:val="ro-RO" w:eastAsia="en-US"/>
        </w:rPr>
      </w:pPr>
      <w:r w:rsidRPr="0037604E">
        <w:rPr>
          <w:rFonts w:asciiTheme="majorHAnsi" w:hAnsiTheme="majorHAnsi"/>
          <w:b/>
          <w:sz w:val="24"/>
          <w:lang w:val="ro-RO"/>
        </w:rPr>
        <w:t xml:space="preserve">Management of internal consultations for the preparation of the opinion of the company on the draft normative acts initiated by </w:t>
      </w:r>
      <w:r w:rsidRPr="0037604E">
        <w:rPr>
          <w:rFonts w:asciiTheme="majorHAnsi" w:eastAsia="Calibri" w:hAnsiTheme="majorHAnsi" w:cs="Times New Roman"/>
          <w:b/>
          <w:sz w:val="24"/>
          <w:szCs w:val="24"/>
          <w:lang w:val="ro-RO" w:eastAsia="en-US"/>
        </w:rPr>
        <w:t>ANRE and other relevant authorities for the improvement of the national regulatory framework</w:t>
      </w:r>
    </w:p>
    <w:p w:rsidR="0037604E" w:rsidRPr="0037604E" w:rsidRDefault="0037604E" w:rsidP="00FA6EB9">
      <w:pPr>
        <w:numPr>
          <w:ilvl w:val="0"/>
          <w:numId w:val="112"/>
        </w:numPr>
        <w:spacing w:after="0" w:line="240" w:lineRule="auto"/>
        <w:ind w:left="709"/>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Review of the Regulation on natural gas supply to final customers - 2nd phase of public consultation.</w:t>
      </w:r>
    </w:p>
    <w:p w:rsidR="0037604E" w:rsidRPr="0037604E" w:rsidRDefault="0037604E" w:rsidP="0037604E">
      <w:pPr>
        <w:spacing w:after="0" w:line="240" w:lineRule="auto"/>
        <w:ind w:left="705" w:firstLine="0"/>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The document was sent to public consultation on ANRE website between 03.02 and 19.02.2016. Transgaz submitted proposals and comments on 19.2.2016.</w:t>
      </w:r>
      <w:r w:rsidRPr="0037604E">
        <w:rPr>
          <w:rFonts w:asciiTheme="majorHAnsi" w:hAnsiTheme="majorHAnsi" w:cs="Arial"/>
          <w:sz w:val="24"/>
          <w:szCs w:val="24"/>
          <w:lang w:val="en"/>
        </w:rPr>
        <w:br/>
        <w:t>The regulation was published in the Official Journal (ANRE Order no. 29 / 06.28.2016).</w:t>
      </w:r>
    </w:p>
    <w:p w:rsidR="0037604E" w:rsidRPr="0037604E" w:rsidRDefault="0037604E" w:rsidP="00FA6EB9">
      <w:pPr>
        <w:numPr>
          <w:ilvl w:val="0"/>
          <w:numId w:val="112"/>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The draft 2016-2018 ANRE Regulatory Multiannual Plan. </w:t>
      </w:r>
    </w:p>
    <w:p w:rsidR="0037604E" w:rsidRPr="0037604E" w:rsidRDefault="0037604E" w:rsidP="0037604E">
      <w:pPr>
        <w:spacing w:after="0" w:line="240" w:lineRule="auto"/>
        <w:ind w:left="709" w:firstLine="0"/>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The document was sent to public consultation on ANRE website between 26.02-11.03.2016. </w:t>
      </w:r>
    </w:p>
    <w:p w:rsidR="0037604E" w:rsidRPr="0037604E" w:rsidRDefault="0037604E" w:rsidP="0037604E">
      <w:pPr>
        <w:spacing w:after="0" w:line="240" w:lineRule="auto"/>
        <w:ind w:firstLine="709"/>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Transgaz sent proposals  </w:t>
      </w:r>
      <w:r w:rsidRPr="0037604E">
        <w:rPr>
          <w:rFonts w:asciiTheme="majorHAnsi" w:hAnsiTheme="majorHAnsi" w:cs="Arial"/>
          <w:sz w:val="24"/>
          <w:szCs w:val="24"/>
          <w:lang w:val="en"/>
        </w:rPr>
        <w:t>and comments on 10.3.2016</w:t>
      </w:r>
      <w:r w:rsidRPr="0037604E">
        <w:rPr>
          <w:rFonts w:asciiTheme="majorHAnsi" w:eastAsia="Times New Roman" w:hAnsiTheme="majorHAnsi" w:cs="Times New Roman"/>
          <w:sz w:val="24"/>
          <w:szCs w:val="24"/>
          <w:lang w:val="ro-RO" w:eastAsia="en-US"/>
        </w:rPr>
        <w:t>.</w:t>
      </w:r>
    </w:p>
    <w:p w:rsidR="0037604E" w:rsidRPr="0037604E" w:rsidRDefault="0037604E" w:rsidP="0037604E">
      <w:pPr>
        <w:spacing w:after="0" w:line="240" w:lineRule="auto"/>
        <w:ind w:left="709" w:firstLine="0"/>
        <w:contextualSpacing/>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The </w:t>
      </w:r>
      <w:r w:rsidRPr="0037604E">
        <w:rPr>
          <w:rFonts w:asciiTheme="majorHAnsi" w:hAnsiTheme="majorHAnsi" w:cs="Arial"/>
          <w:sz w:val="24"/>
          <w:szCs w:val="24"/>
          <w:lang w:val="en"/>
        </w:rPr>
        <w:t>2016-2018 ANRE Regulatory Multiannual Plan</w:t>
      </w:r>
      <w:r w:rsidRPr="0037604E">
        <w:rPr>
          <w:rFonts w:asciiTheme="majorHAnsi" w:eastAsia="Times New Roman" w:hAnsiTheme="majorHAnsi" w:cs="Times New Roman"/>
          <w:sz w:val="24"/>
          <w:szCs w:val="24"/>
          <w:lang w:val="ro-RO" w:eastAsia="en-US"/>
        </w:rPr>
        <w:t xml:space="preserve"> </w:t>
      </w:r>
      <w:r w:rsidRPr="0037604E">
        <w:rPr>
          <w:rFonts w:asciiTheme="majorHAnsi" w:hAnsiTheme="majorHAnsi" w:cs="Arial"/>
          <w:sz w:val="24"/>
          <w:szCs w:val="24"/>
          <w:lang w:val="en"/>
        </w:rPr>
        <w:t>was sent to public consultation on ANRE website on</w:t>
      </w:r>
      <w:r w:rsidRPr="0037604E">
        <w:rPr>
          <w:rFonts w:asciiTheme="majorHAnsi" w:eastAsia="Times New Roman" w:hAnsiTheme="majorHAnsi" w:cs="Times New Roman"/>
          <w:sz w:val="24"/>
          <w:szCs w:val="24"/>
          <w:lang w:val="ro-RO" w:eastAsia="en-US"/>
        </w:rPr>
        <w:t xml:space="preserve"> 01.04.2016.</w:t>
      </w:r>
    </w:p>
    <w:p w:rsidR="0037604E" w:rsidRPr="0037604E" w:rsidRDefault="0037604E" w:rsidP="00FA6EB9">
      <w:pPr>
        <w:numPr>
          <w:ilvl w:val="0"/>
          <w:numId w:val="112"/>
        </w:numPr>
        <w:spacing w:after="0" w:line="240" w:lineRule="auto"/>
        <w:ind w:left="709"/>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The draft Regulation on capacity booking at future entry/exit points.</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preparation of this project was within the TRANSGAZ – EXXON – OMV PETROM joint working group. </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draft Regulation was submitted to ANRE in December 2015. Following Transgaz Letter FAX / DG / DRL. 10749 /08.03.2016 whereby we asked for support for starting in March 2016 the public consultation on the draft regulation, it was  sent to public consultation on ANRE website between </w:t>
      </w:r>
      <w:r w:rsidRPr="0037604E">
        <w:rPr>
          <w:rFonts w:asciiTheme="majorHAnsi" w:eastAsia="Calibri" w:hAnsiTheme="majorHAnsi" w:cs="Times New Roman"/>
          <w:sz w:val="24"/>
          <w:szCs w:val="24"/>
          <w:lang w:val="ro-RO" w:eastAsia="en-US"/>
        </w:rPr>
        <w:t>30.03.2016 – 29.04.2016</w:t>
      </w:r>
      <w:r w:rsidRPr="0037604E">
        <w:rPr>
          <w:rFonts w:asciiTheme="majorHAnsi" w:hAnsiTheme="majorHAnsi" w:cs="Arial"/>
          <w:sz w:val="24"/>
          <w:szCs w:val="24"/>
          <w:lang w:val="en"/>
        </w:rPr>
        <w:t xml:space="preserve">. By Letter FAX/DG / DRL. 50 096 / 31. 10.2016 it was sent a new version of the draft Regulation (version that includes ANRE`s request communicated by Letter no. 69.791/30.09.2016 and the requests resulting from the discussions that took place during the debate held om 18.08.2016). Transgaz, </w:t>
      </w:r>
      <w:r w:rsidRPr="0037604E">
        <w:rPr>
          <w:rFonts w:asciiTheme="majorHAnsi" w:hAnsiTheme="majorHAnsi" w:cs="Arial"/>
          <w:sz w:val="24"/>
          <w:szCs w:val="24"/>
          <w:lang w:val="en"/>
        </w:rPr>
        <w:lastRenderedPageBreak/>
        <w:t>by Letter no. FAX.DG/DRL. 56.897/12.12.2016 referred to the letter above, by which it requested ANRE to communicate the approving stage for the submitted documents. Up to now no response was receved from ANRE. The Regulation has not been published in the Official Journal.</w:t>
      </w:r>
    </w:p>
    <w:p w:rsidR="0037604E" w:rsidRPr="0037604E" w:rsidRDefault="0037604E" w:rsidP="00FA6EB9">
      <w:pPr>
        <w:numPr>
          <w:ilvl w:val="0"/>
          <w:numId w:val="118"/>
        </w:numPr>
        <w:spacing w:after="0" w:line="240" w:lineRule="auto"/>
        <w:ind w:left="709"/>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draft methodology for allocation of gas quantities resulting from the production activity needed to cover domestic consumption and thermal energy producers, only for  the amount of natural gas used to produce heat in cogeneration plants and heating plants, intended for household consumption </w:t>
      </w:r>
    </w:p>
    <w:p w:rsidR="0037604E" w:rsidRPr="0037604E" w:rsidRDefault="0037604E" w:rsidP="0037604E">
      <w:pPr>
        <w:spacing w:after="0" w:line="240" w:lineRule="auto"/>
        <w:ind w:left="709" w:firstLine="0"/>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The document was sent to public consultation on ANRE website between </w:t>
      </w:r>
      <w:r w:rsidRPr="0037604E">
        <w:rPr>
          <w:rFonts w:asciiTheme="majorHAnsi" w:eastAsia="Times New Roman" w:hAnsiTheme="majorHAnsi" w:cs="Times New Roman"/>
          <w:sz w:val="24"/>
          <w:szCs w:val="24"/>
          <w:lang w:val="ro-RO" w:eastAsia="en-US"/>
        </w:rPr>
        <w:t xml:space="preserve"> 07.06.2016 – 16.06.2016. </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Transgaz made  </w:t>
      </w:r>
      <w:r w:rsidRPr="0037604E">
        <w:rPr>
          <w:rFonts w:asciiTheme="majorHAnsi" w:hAnsiTheme="majorHAnsi" w:cs="Arial"/>
          <w:sz w:val="24"/>
          <w:szCs w:val="24"/>
          <w:lang w:val="en"/>
        </w:rPr>
        <w:t>proposals and comments on 16.6.2016. The regulation has not yet been published in the Official Journal</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13"/>
        </w:numPr>
        <w:spacing w:after="0" w:line="240" w:lineRule="auto"/>
        <w:ind w:left="709"/>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Rules on NTS access and connection</w:t>
      </w:r>
      <w:r w:rsidRPr="0037604E">
        <w:rPr>
          <w:rFonts w:asciiTheme="majorHAnsi" w:eastAsia="Calibri" w:hAnsiTheme="majorHAnsi" w:cs="Times New Roman"/>
          <w:sz w:val="24"/>
          <w:szCs w:val="24"/>
          <w:lang w:val="ro-RO" w:eastAsia="en-US"/>
        </w:rPr>
        <w:t xml:space="preserve"> </w:t>
      </w:r>
    </w:p>
    <w:p w:rsidR="0037604E" w:rsidRPr="0037604E" w:rsidRDefault="0037604E" w:rsidP="0037604E">
      <w:pPr>
        <w:spacing w:after="0" w:line="240" w:lineRule="auto"/>
        <w:ind w:left="709"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Transgaz prepared at its own initiative the draft rules to review existing regulation by considering Law 123/2012</w:t>
      </w:r>
      <w:r w:rsidRPr="0037604E">
        <w:rPr>
          <w:rFonts w:asciiTheme="majorHAnsi" w:eastAsia="Times New Roman" w:hAnsiTheme="majorHAnsi" w:cs="Times New Roman"/>
          <w:sz w:val="24"/>
          <w:szCs w:val="24"/>
          <w:lang w:val="ro-RO" w:eastAsia="en-US"/>
        </w:rPr>
        <w:t>.</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ab/>
        <w:t xml:space="preserve">The draft </w:t>
      </w:r>
      <w:r w:rsidRPr="0037604E">
        <w:rPr>
          <w:rFonts w:asciiTheme="majorHAnsi" w:hAnsiTheme="majorHAnsi" w:cs="Arial"/>
          <w:sz w:val="24"/>
          <w:szCs w:val="24"/>
          <w:lang w:val="en"/>
        </w:rPr>
        <w:t xml:space="preserve">was submitted to ANRE on </w:t>
      </w:r>
      <w:r w:rsidRPr="0037604E">
        <w:rPr>
          <w:rFonts w:asciiTheme="majorHAnsi" w:eastAsia="Times New Roman" w:hAnsiTheme="majorHAnsi" w:cs="Times New Roman"/>
          <w:sz w:val="24"/>
          <w:szCs w:val="24"/>
          <w:lang w:val="ro-RO" w:eastAsia="en-US"/>
        </w:rPr>
        <w:t>23.11.2015.</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In 2016 the draft regulation </w:t>
      </w:r>
      <w:r w:rsidRPr="0037604E">
        <w:rPr>
          <w:rFonts w:asciiTheme="majorHAnsi" w:hAnsiTheme="majorHAnsi" w:cs="Arial"/>
          <w:sz w:val="24"/>
          <w:szCs w:val="24"/>
          <w:lang w:val="en"/>
        </w:rPr>
        <w:t>was sent to public consultation in</w:t>
      </w:r>
      <w:r w:rsidRPr="0037604E">
        <w:rPr>
          <w:rFonts w:asciiTheme="majorHAnsi" w:eastAsia="Calibri" w:hAnsiTheme="majorHAnsi" w:cs="Times New Roman"/>
          <w:sz w:val="24"/>
          <w:szCs w:val="24"/>
          <w:lang w:val="ro-RO" w:eastAsia="en-US"/>
        </w:rPr>
        <w:t xml:space="preserve"> 2 stages (13.10.2016-12.11.2016 and 29.11.2016-09.12.2016).</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Transgaz made proposals and comments by Letters</w:t>
      </w:r>
      <w:r w:rsidRPr="0037604E">
        <w:rPr>
          <w:rFonts w:asciiTheme="majorHAnsi" w:eastAsia="Calibri" w:hAnsiTheme="majorHAnsi" w:cs="Times New Roman"/>
          <w:sz w:val="24"/>
          <w:szCs w:val="24"/>
          <w:lang w:val="ro-RO" w:eastAsia="en-US"/>
        </w:rPr>
        <w:t xml:space="preserve"> FAX/DG/DRL. 52.691/14.11.2016 și nr. FAX/DG/DRL. 56.722/09.12.2016. </w:t>
      </w:r>
      <w:r w:rsidRPr="0037604E">
        <w:rPr>
          <w:rFonts w:asciiTheme="majorHAnsi" w:hAnsiTheme="majorHAnsi" w:cs="Arial"/>
          <w:sz w:val="24"/>
          <w:szCs w:val="24"/>
          <w:lang w:val="en"/>
        </w:rPr>
        <w:t xml:space="preserve">Additionally, by Letter </w:t>
      </w:r>
      <w:r w:rsidRPr="0037604E">
        <w:rPr>
          <w:rFonts w:asciiTheme="majorHAnsi" w:eastAsia="Calibri" w:hAnsiTheme="majorHAnsi" w:cs="Times New Roman"/>
          <w:sz w:val="24"/>
          <w:szCs w:val="24"/>
          <w:lang w:val="ro-RO" w:eastAsia="en-US"/>
        </w:rPr>
        <w:t xml:space="preserve">FAX/DG/DRL. 58.015/19.12.2016 </w:t>
      </w:r>
      <w:r w:rsidRPr="0037604E">
        <w:rPr>
          <w:rFonts w:asciiTheme="majorHAnsi" w:hAnsiTheme="majorHAnsi" w:cs="Arial"/>
          <w:sz w:val="24"/>
          <w:szCs w:val="24"/>
          <w:lang w:val="en"/>
        </w:rPr>
        <w:t>several new proposals / comments to amend the regulation (which were received</w:t>
      </w:r>
      <w:r w:rsidRPr="0037604E">
        <w:rPr>
          <w:rFonts w:asciiTheme="majorHAnsi" w:eastAsia="Calibri" w:hAnsiTheme="majorHAnsi" w:cs="Times New Roman"/>
          <w:sz w:val="24"/>
          <w:szCs w:val="24"/>
          <w:lang w:val="ro-RO" w:eastAsia="en-US"/>
        </w:rPr>
        <w:t xml:space="preserve"> after the public consultation, from the Operating department) were sent. The regulation </w:t>
      </w:r>
      <w:r w:rsidRPr="0037604E">
        <w:rPr>
          <w:rFonts w:asciiTheme="majorHAnsi" w:hAnsiTheme="majorHAnsi" w:cs="Arial"/>
          <w:sz w:val="24"/>
          <w:szCs w:val="24"/>
          <w:lang w:val="en"/>
        </w:rPr>
        <w:t>has not yet been published in the Official Journal.</w:t>
      </w:r>
    </w:p>
    <w:p w:rsidR="0037604E" w:rsidRPr="0037604E" w:rsidRDefault="0037604E" w:rsidP="00FA6EB9">
      <w:pPr>
        <w:numPr>
          <w:ilvl w:val="0"/>
          <w:numId w:val="114"/>
        </w:numPr>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color w:val="222222"/>
          <w:sz w:val="24"/>
          <w:szCs w:val="24"/>
          <w:lang w:val="en"/>
        </w:rPr>
        <w:t xml:space="preserve">Draft GR </w:t>
      </w:r>
      <w:r w:rsidRPr="0037604E">
        <w:rPr>
          <w:rFonts w:asciiTheme="majorHAnsi" w:hAnsiTheme="majorHAnsi" w:cs="Arial"/>
          <w:sz w:val="24"/>
          <w:szCs w:val="24"/>
          <w:lang w:val="en"/>
        </w:rPr>
        <w:t>repealing Regulation on NTS access</w:t>
      </w:r>
    </w:p>
    <w:p w:rsidR="0037604E" w:rsidRPr="0037604E" w:rsidRDefault="0037604E" w:rsidP="0037604E">
      <w:pPr>
        <w:spacing w:after="0" w:line="240" w:lineRule="auto"/>
        <w:ind w:left="720" w:firstLine="0"/>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The document </w:t>
      </w:r>
      <w:r w:rsidRPr="0037604E">
        <w:rPr>
          <w:rFonts w:asciiTheme="majorHAnsi" w:hAnsiTheme="majorHAnsi" w:cs="Arial"/>
          <w:sz w:val="24"/>
          <w:szCs w:val="24"/>
          <w:lang w:val="en"/>
        </w:rPr>
        <w:t>was sent to public consultation on the website of the Ministry of Energy between</w:t>
      </w:r>
      <w:r w:rsidRPr="0037604E">
        <w:rPr>
          <w:rFonts w:asciiTheme="majorHAnsi" w:eastAsia="Times New Roman" w:hAnsiTheme="majorHAnsi" w:cs="Times New Roman"/>
          <w:sz w:val="24"/>
          <w:szCs w:val="24"/>
          <w:lang w:val="ro-RO" w:eastAsia="en-US"/>
        </w:rPr>
        <w:t xml:space="preserve"> 14.06 – 24.06.2016.</w:t>
      </w:r>
    </w:p>
    <w:p w:rsidR="0037604E" w:rsidRPr="0037604E" w:rsidRDefault="0037604E" w:rsidP="0037604E">
      <w:pPr>
        <w:spacing w:after="0" w:line="240" w:lineRule="auto"/>
        <w:ind w:left="720" w:firstLine="0"/>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On 24.06.2016 Transgaz sent a letter to the Ministry of Energy  recommmending consideration matching of regulation repealling calendar with the calendar for the approva of a new regulation;</w:t>
      </w:r>
    </w:p>
    <w:p w:rsidR="0037604E" w:rsidRPr="0037604E" w:rsidRDefault="0037604E" w:rsidP="00FA6EB9">
      <w:pPr>
        <w:numPr>
          <w:ilvl w:val="0"/>
          <w:numId w:val="113"/>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By Letter FAX/DG/DRL.34388/25.07.2016 SNTGN Transgaz SA sent to </w:t>
      </w:r>
      <w:r w:rsidRPr="0037604E">
        <w:rPr>
          <w:rFonts w:asciiTheme="majorHAnsi" w:eastAsia="Times New Roman" w:hAnsiTheme="majorHAnsi" w:cs="Times New Roman"/>
          <w:sz w:val="24"/>
          <w:szCs w:val="24"/>
          <w:lang w:val="ro-RO" w:eastAsia="en-US"/>
        </w:rPr>
        <w:t xml:space="preserve">the Ministry of Energy  and </w:t>
      </w:r>
      <w:r w:rsidRPr="0037604E">
        <w:rPr>
          <w:rFonts w:asciiTheme="majorHAnsi" w:eastAsia="Calibri" w:hAnsiTheme="majorHAnsi" w:cs="Times New Roman"/>
          <w:sz w:val="24"/>
          <w:szCs w:val="24"/>
          <w:lang w:val="ro-RO" w:eastAsia="en-US"/>
        </w:rPr>
        <w:t xml:space="preserve">ANRE the proposal on a </w:t>
      </w:r>
      <w:r w:rsidRPr="0037604E">
        <w:rPr>
          <w:rFonts w:asciiTheme="majorHAnsi" w:hAnsiTheme="majorHAnsi" w:cs="Arial"/>
          <w:sz w:val="24"/>
          <w:szCs w:val="24"/>
          <w:lang w:val="en"/>
        </w:rPr>
        <w:t xml:space="preserve">minimum set of principles according to which the amending of Law  </w:t>
      </w:r>
      <w:r w:rsidRPr="0037604E">
        <w:rPr>
          <w:rFonts w:asciiTheme="majorHAnsi" w:eastAsia="Calibri" w:hAnsiTheme="majorHAnsi" w:cs="Times New Roman"/>
          <w:sz w:val="24"/>
          <w:szCs w:val="24"/>
          <w:lang w:val="ro-RO" w:eastAsia="en-US"/>
        </w:rPr>
        <w:t xml:space="preserve">123/2012 </w:t>
      </w:r>
      <w:r w:rsidRPr="0037604E">
        <w:rPr>
          <w:rFonts w:asciiTheme="majorHAnsi" w:hAnsiTheme="majorHAnsi" w:cs="Arial"/>
          <w:sz w:val="24"/>
          <w:szCs w:val="24"/>
          <w:lang w:val="en"/>
        </w:rPr>
        <w:t>should be configured</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
        </w:rPr>
        <w:t>in order to implement in Romania the VTP entry-exit market</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
        </w:rPr>
        <w:t>model</w:t>
      </w:r>
      <w:r w:rsidRPr="0037604E">
        <w:rPr>
          <w:rFonts w:asciiTheme="majorHAnsi" w:eastAsia="Calibri" w:hAnsiTheme="majorHAnsi" w:cs="Times New Roman"/>
          <w:sz w:val="24"/>
          <w:szCs w:val="24"/>
          <w:lang w:val="ro-RO" w:eastAsia="en-US"/>
        </w:rPr>
        <w:t>.</w:t>
      </w:r>
      <w:r w:rsidRPr="0037604E">
        <w:rPr>
          <w:rFonts w:asciiTheme="majorHAnsi" w:eastAsia="Times New Roman" w:hAnsiTheme="majorHAnsi" w:cs="Times New Roman"/>
          <w:sz w:val="24"/>
          <w:szCs w:val="24"/>
          <w:lang w:val="ro-RO" w:eastAsia="en-US"/>
        </w:rPr>
        <w:t xml:space="preserve"> </w:t>
      </w:r>
    </w:p>
    <w:p w:rsidR="0037604E" w:rsidRPr="0037604E" w:rsidRDefault="0037604E" w:rsidP="00FA6EB9">
      <w:pPr>
        <w:numPr>
          <w:ilvl w:val="0"/>
          <w:numId w:val="113"/>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Technical rules for the design and implementation of natural gas transmission pipelines (review).</w:t>
      </w:r>
    </w:p>
    <w:p w:rsidR="0037604E" w:rsidRPr="0037604E" w:rsidRDefault="0037604E" w:rsidP="0037604E">
      <w:pPr>
        <w:spacing w:after="0" w:line="240" w:lineRule="auto"/>
        <w:ind w:left="709" w:firstLine="0"/>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The document was sent to public consultation on ANRE website between </w:t>
      </w:r>
      <w:r w:rsidRPr="0037604E">
        <w:rPr>
          <w:rFonts w:asciiTheme="majorHAnsi" w:eastAsia="Times New Roman" w:hAnsiTheme="majorHAnsi" w:cs="Times New Roman"/>
          <w:sz w:val="24"/>
          <w:szCs w:val="24"/>
          <w:lang w:val="ro-RO" w:eastAsia="en-US"/>
        </w:rPr>
        <w:t xml:space="preserve"> 12.07.2016 – 11.08.2016. </w:t>
      </w:r>
      <w:r w:rsidRPr="0037604E">
        <w:rPr>
          <w:rFonts w:asciiTheme="majorHAnsi" w:hAnsiTheme="majorHAnsi" w:cs="Arial"/>
          <w:sz w:val="24"/>
          <w:szCs w:val="24"/>
          <w:lang w:val="en"/>
        </w:rPr>
        <w:t xml:space="preserve">Transgaz submitted proposals and comments on </w:t>
      </w:r>
      <w:r w:rsidRPr="0037604E">
        <w:rPr>
          <w:rFonts w:asciiTheme="majorHAnsi" w:eastAsia="Times New Roman" w:hAnsiTheme="majorHAnsi" w:cs="Times New Roman"/>
          <w:sz w:val="24"/>
          <w:szCs w:val="24"/>
          <w:lang w:val="ro-RO" w:eastAsia="en-US"/>
        </w:rPr>
        <w:t xml:space="preserve">11.08.2016. </w:t>
      </w:r>
      <w:r w:rsidRPr="0037604E">
        <w:rPr>
          <w:rFonts w:asciiTheme="majorHAnsi" w:hAnsiTheme="majorHAnsi" w:cs="Arial"/>
          <w:sz w:val="24"/>
          <w:szCs w:val="24"/>
          <w:lang w:val="en"/>
        </w:rPr>
        <w:t>The regulation has not yet been published in the Official Journal</w:t>
      </w:r>
      <w:r w:rsidRPr="0037604E">
        <w:rPr>
          <w:rFonts w:asciiTheme="majorHAnsi" w:eastAsia="Calibri" w:hAnsiTheme="majorHAnsi" w:cs="Times New Roman"/>
          <w:sz w:val="24"/>
          <w:szCs w:val="24"/>
          <w:lang w:val="ro-RO" w:eastAsia="en-US"/>
        </w:rPr>
        <w:t xml:space="preserve"> </w:t>
      </w:r>
    </w:p>
    <w:p w:rsidR="0037604E" w:rsidRPr="0037604E" w:rsidRDefault="0037604E" w:rsidP="00FA6EB9">
      <w:pPr>
        <w:numPr>
          <w:ilvl w:val="0"/>
          <w:numId w:val="117"/>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Draft order approving </w:t>
      </w:r>
      <w:r w:rsidRPr="0037604E">
        <w:rPr>
          <w:rFonts w:asciiTheme="majorHAnsi" w:eastAsia="Times New Roman" w:hAnsiTheme="majorHAnsi" w:cs="Times New Roman"/>
          <w:sz w:val="24"/>
          <w:szCs w:val="24"/>
          <w:lang w:val="ro-RO" w:eastAsia="en-US"/>
        </w:rPr>
        <w:t xml:space="preserve">the validity conditions for the operating licence of the gas transmission system – phase 2 </w:t>
      </w:r>
    </w:p>
    <w:p w:rsidR="0037604E" w:rsidRPr="0037604E" w:rsidRDefault="0037604E" w:rsidP="0037604E">
      <w:pPr>
        <w:spacing w:after="0" w:line="240" w:lineRule="auto"/>
        <w:ind w:left="709"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The document was sent to public consultation on ANRE website between </w:t>
      </w:r>
      <w:r w:rsidRPr="0037604E">
        <w:rPr>
          <w:rFonts w:asciiTheme="majorHAnsi" w:eastAsia="Times New Roman" w:hAnsiTheme="majorHAnsi" w:cs="Times New Roman"/>
          <w:sz w:val="24"/>
          <w:szCs w:val="24"/>
          <w:lang w:val="ro-RO" w:eastAsia="en-US"/>
        </w:rPr>
        <w:t>30.09.2016 – 30.10.2016.</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The opinion of Transgaz </w:t>
      </w:r>
      <w:r w:rsidRPr="0037604E">
        <w:rPr>
          <w:rFonts w:asciiTheme="majorHAnsi" w:hAnsiTheme="majorHAnsi" w:cs="Arial"/>
          <w:sz w:val="24"/>
          <w:szCs w:val="24"/>
          <w:lang w:val="en"/>
        </w:rPr>
        <w:t>was sent by Letter</w:t>
      </w:r>
      <w:r w:rsidRPr="0037604E">
        <w:rPr>
          <w:rFonts w:asciiTheme="majorHAnsi" w:eastAsia="Times New Roman" w:hAnsiTheme="majorHAnsi" w:cs="Times New Roman"/>
          <w:sz w:val="24"/>
          <w:szCs w:val="24"/>
          <w:lang w:val="ro-RO" w:eastAsia="en-US"/>
        </w:rPr>
        <w:t xml:space="preserve"> FAX/DG/DRL. 50.007/31.10.2016. </w:t>
      </w:r>
      <w:r w:rsidRPr="0037604E">
        <w:rPr>
          <w:rFonts w:asciiTheme="majorHAnsi" w:hAnsiTheme="majorHAnsi" w:cs="Arial"/>
          <w:sz w:val="24"/>
          <w:szCs w:val="24"/>
          <w:lang w:val="en"/>
        </w:rPr>
        <w:t>The regulation has not yet been published in the Official Journal.</w:t>
      </w:r>
    </w:p>
    <w:p w:rsidR="0037604E" w:rsidRPr="0037604E" w:rsidRDefault="0037604E" w:rsidP="00FA6EB9">
      <w:pPr>
        <w:numPr>
          <w:ilvl w:val="0"/>
          <w:numId w:val="117"/>
        </w:numPr>
        <w:spacing w:after="0" w:line="240" w:lineRule="auto"/>
        <w:ind w:left="709" w:hanging="239"/>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order for approval of allocation of gas quantities resulting from the production activity needed to cover domestic consumption and thermal energy producers, only for  the amount of natural gas used to produce heat in cogeneration plants and heating plants, intended for household consumption </w:t>
      </w:r>
      <w:r w:rsidRPr="0037604E">
        <w:rPr>
          <w:rFonts w:asciiTheme="majorHAnsi" w:eastAsia="SimSun" w:hAnsiTheme="majorHAnsi" w:cs="Calibri"/>
          <w:sz w:val="24"/>
          <w:szCs w:val="24"/>
          <w:lang w:val="ro-RO" w:eastAsia="zh-CN"/>
        </w:rPr>
        <w:t>for 1 November 2016 – 31 March 2017</w:t>
      </w:r>
    </w:p>
    <w:p w:rsidR="0037604E" w:rsidRPr="0037604E" w:rsidRDefault="0037604E" w:rsidP="0037604E">
      <w:pPr>
        <w:spacing w:after="0" w:line="240" w:lineRule="auto"/>
        <w:ind w:left="709"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lastRenderedPageBreak/>
        <w:t>The document was sent to public consultation on ANRE website between</w:t>
      </w:r>
      <w:r w:rsidRPr="0037604E">
        <w:rPr>
          <w:rFonts w:asciiTheme="majorHAnsi" w:eastAsia="Times New Roman" w:hAnsiTheme="majorHAnsi" w:cs="Times New Roman"/>
          <w:sz w:val="24"/>
          <w:szCs w:val="24"/>
          <w:lang w:val="ro-RO" w:eastAsia="en-US"/>
        </w:rPr>
        <w:t xml:space="preserve"> 12.10.2016 – 21.10.2016.</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The opinion of Transgaz </w:t>
      </w:r>
      <w:r w:rsidRPr="0037604E">
        <w:rPr>
          <w:rFonts w:asciiTheme="majorHAnsi" w:hAnsiTheme="majorHAnsi" w:cs="Arial"/>
          <w:sz w:val="24"/>
          <w:szCs w:val="24"/>
          <w:lang w:val="en"/>
        </w:rPr>
        <w:t>was sent by Letter</w:t>
      </w:r>
      <w:r w:rsidRPr="0037604E">
        <w:rPr>
          <w:rFonts w:asciiTheme="majorHAnsi" w:eastAsia="Times New Roman" w:hAnsiTheme="majorHAnsi" w:cs="Times New Roman"/>
          <w:sz w:val="24"/>
          <w:szCs w:val="24"/>
          <w:lang w:val="ro-RO" w:eastAsia="en-US"/>
        </w:rPr>
        <w:t xml:space="preserve"> FAX/DG/DRL. 48.596/21.10.2016. </w:t>
      </w:r>
      <w:r w:rsidRPr="0037604E">
        <w:rPr>
          <w:rFonts w:asciiTheme="majorHAnsi" w:hAnsiTheme="majorHAnsi" w:cs="Arial"/>
          <w:sz w:val="24"/>
          <w:szCs w:val="24"/>
          <w:lang w:val="en"/>
        </w:rPr>
        <w:t>The regulation</w:t>
      </w:r>
      <w:r w:rsidRPr="0037604E">
        <w:rPr>
          <w:rFonts w:asciiTheme="majorHAnsi" w:eastAsia="Calibri" w:hAnsiTheme="majorHAnsi" w:cs="Times New Roman"/>
          <w:sz w:val="24"/>
          <w:szCs w:val="24"/>
          <w:lang w:val="ro-RO" w:eastAsia="en-US"/>
        </w:rPr>
        <w:t xml:space="preserve"> was published </w:t>
      </w:r>
      <w:r w:rsidRPr="0037604E">
        <w:rPr>
          <w:rFonts w:asciiTheme="majorHAnsi" w:hAnsiTheme="majorHAnsi" w:cs="Arial"/>
          <w:sz w:val="24"/>
          <w:szCs w:val="24"/>
          <w:lang w:val="en"/>
        </w:rPr>
        <w:t>in the Official Journal</w:t>
      </w:r>
      <w:r w:rsidRPr="0037604E">
        <w:rPr>
          <w:rFonts w:asciiTheme="majorHAnsi" w:eastAsia="Calibri" w:hAnsiTheme="majorHAnsi" w:cs="Times New Roman"/>
          <w:sz w:val="24"/>
          <w:szCs w:val="24"/>
          <w:lang w:val="ro-RO" w:eastAsia="en-US"/>
        </w:rPr>
        <w:t xml:space="preserve"> (Order 74/2016 of the ANRE President).</w:t>
      </w:r>
    </w:p>
    <w:p w:rsidR="0037604E" w:rsidRPr="0037604E" w:rsidRDefault="0037604E" w:rsidP="00FA6EB9">
      <w:pPr>
        <w:numPr>
          <w:ilvl w:val="0"/>
          <w:numId w:val="117"/>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Order approving the Regulation for measuring the quantities of gas circulating in Romania</w:t>
      </w:r>
      <w:r w:rsidRPr="0037604E">
        <w:rPr>
          <w:rFonts w:asciiTheme="majorHAnsi" w:eastAsia="Times New Roman" w:hAnsiTheme="majorHAnsi" w:cs="Times New Roman"/>
          <w:sz w:val="24"/>
          <w:szCs w:val="24"/>
          <w:lang w:val="ro-RO" w:eastAsia="en-US"/>
        </w:rPr>
        <w:t xml:space="preserve"> </w:t>
      </w:r>
    </w:p>
    <w:p w:rsidR="0037604E" w:rsidRPr="0037604E" w:rsidRDefault="0037604E" w:rsidP="0037604E">
      <w:pPr>
        <w:spacing w:after="0" w:line="240" w:lineRule="auto"/>
        <w:ind w:left="709"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The document was sent to public consultation on ANRE website betwee</w:t>
      </w:r>
      <w:r w:rsidRPr="0037604E">
        <w:rPr>
          <w:rFonts w:asciiTheme="majorHAnsi" w:eastAsia="Times New Roman" w:hAnsiTheme="majorHAnsi" w:cs="Times New Roman"/>
          <w:sz w:val="24"/>
          <w:szCs w:val="24"/>
          <w:lang w:val="ro-RO" w:eastAsia="en-US"/>
        </w:rPr>
        <w:t xml:space="preserve"> 27.10.2016 –  26.11.2016. </w:t>
      </w:r>
    </w:p>
    <w:p w:rsidR="0037604E" w:rsidRPr="0037604E" w:rsidRDefault="0037604E" w:rsidP="0037604E">
      <w:pPr>
        <w:spacing w:after="0" w:line="240" w:lineRule="auto"/>
        <w:ind w:left="709"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Transgaz submitted proposals and comments on </w:t>
      </w:r>
      <w:r w:rsidRPr="0037604E">
        <w:rPr>
          <w:rFonts w:asciiTheme="majorHAnsi" w:eastAsia="Times New Roman" w:hAnsiTheme="majorHAnsi" w:cs="Times New Roman"/>
          <w:sz w:val="24"/>
          <w:szCs w:val="24"/>
          <w:lang w:val="ro-RO" w:eastAsia="en-US"/>
        </w:rPr>
        <w:t xml:space="preserve">25.11.2016. </w:t>
      </w:r>
      <w:r w:rsidRPr="0037604E">
        <w:rPr>
          <w:rFonts w:asciiTheme="majorHAnsi" w:hAnsiTheme="majorHAnsi" w:cs="Arial"/>
          <w:sz w:val="24"/>
          <w:szCs w:val="24"/>
          <w:lang w:val="en"/>
        </w:rPr>
        <w:t>The regulation has not yet been published in the Official Journal</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17"/>
        </w:numPr>
        <w:spacing w:after="0" w:line="240" w:lineRule="auto"/>
        <w:ind w:left="709"/>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Draft order amending Order </w:t>
      </w:r>
      <w:r w:rsidRPr="0037604E">
        <w:rPr>
          <w:rFonts w:asciiTheme="majorHAnsi" w:eastAsia="Times New Roman" w:hAnsiTheme="majorHAnsi" w:cs="Times New Roman"/>
          <w:sz w:val="24"/>
          <w:szCs w:val="24"/>
          <w:lang w:val="ro-RO" w:eastAsia="en-US"/>
        </w:rPr>
        <w:t xml:space="preserve">162/19.12.2014 of the ANRE Presiden on </w:t>
      </w:r>
      <w:r w:rsidRPr="0037604E">
        <w:rPr>
          <w:rFonts w:asciiTheme="majorHAnsi" w:hAnsiTheme="majorHAnsi" w:cs="Arial"/>
          <w:sz w:val="24"/>
          <w:szCs w:val="24"/>
          <w:lang w:val="en"/>
        </w:rPr>
        <w:t>the approval of NTS relevant points</w:t>
      </w:r>
      <w:r w:rsidRPr="0037604E">
        <w:rPr>
          <w:rFonts w:asciiTheme="majorHAnsi" w:eastAsia="Times New Roman" w:hAnsiTheme="majorHAnsi" w:cs="Times New Roman"/>
          <w:sz w:val="24"/>
          <w:szCs w:val="24"/>
          <w:lang w:val="ro-RO" w:eastAsia="en-US"/>
        </w:rPr>
        <w:t>.</w:t>
      </w:r>
    </w:p>
    <w:p w:rsidR="0037604E" w:rsidRPr="0037604E" w:rsidRDefault="0037604E" w:rsidP="0037604E">
      <w:pPr>
        <w:spacing w:after="0" w:line="240" w:lineRule="auto"/>
        <w:ind w:left="709" w:firstLine="0"/>
        <w:contextualSpacing/>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The document was sent to public consultation on ANRE website betwee</w:t>
      </w:r>
      <w:r w:rsidRPr="0037604E">
        <w:rPr>
          <w:rFonts w:asciiTheme="majorHAnsi" w:eastAsia="Times New Roman" w:hAnsiTheme="majorHAnsi" w:cs="Times New Roman"/>
          <w:sz w:val="24"/>
          <w:szCs w:val="24"/>
          <w:lang w:val="ro-RO" w:eastAsia="en-US"/>
        </w:rPr>
        <w:t xml:space="preserve">09.11.2016 –    09.12.2016. </w:t>
      </w:r>
    </w:p>
    <w:p w:rsidR="0037604E" w:rsidRPr="0037604E" w:rsidRDefault="0037604E" w:rsidP="0037604E">
      <w:pPr>
        <w:spacing w:after="0" w:line="240" w:lineRule="auto"/>
        <w:ind w:left="709" w:hanging="283"/>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 xml:space="preserve">     </w:t>
      </w:r>
      <w:r w:rsidRPr="0037604E">
        <w:rPr>
          <w:rFonts w:asciiTheme="majorHAnsi" w:hAnsiTheme="majorHAnsi" w:cs="Arial"/>
          <w:sz w:val="24"/>
          <w:szCs w:val="24"/>
          <w:lang w:val="en"/>
        </w:rPr>
        <w:t xml:space="preserve">Transgaz submitted proposals and comments on </w:t>
      </w:r>
      <w:r w:rsidRPr="0037604E">
        <w:rPr>
          <w:rFonts w:asciiTheme="majorHAnsi" w:eastAsia="Times New Roman" w:hAnsiTheme="majorHAnsi" w:cs="Times New Roman"/>
          <w:sz w:val="24"/>
          <w:szCs w:val="24"/>
          <w:lang w:val="ro-RO" w:eastAsia="en-US"/>
        </w:rPr>
        <w:t>06.12.2016.</w:t>
      </w:r>
    </w:p>
    <w:p w:rsidR="0037604E" w:rsidRPr="0037604E" w:rsidRDefault="0037604E" w:rsidP="0037604E">
      <w:pPr>
        <w:spacing w:after="0" w:line="240" w:lineRule="auto"/>
        <w:ind w:left="709" w:hanging="283"/>
        <w:jc w:val="both"/>
        <w:rPr>
          <w:rFonts w:asciiTheme="majorHAnsi" w:eastAsia="Times New Roman" w:hAnsiTheme="majorHAnsi" w:cs="Times New Roman"/>
          <w:sz w:val="24"/>
          <w:szCs w:val="24"/>
          <w:lang w:val="ro-RO" w:eastAsia="en-US"/>
        </w:rPr>
      </w:pPr>
    </w:p>
    <w:p w:rsidR="0037604E" w:rsidRPr="0037604E" w:rsidRDefault="0037604E" w:rsidP="00FA6EB9">
      <w:pPr>
        <w:numPr>
          <w:ilvl w:val="0"/>
          <w:numId w:val="107"/>
        </w:numPr>
        <w:spacing w:after="0" w:line="240" w:lineRule="auto"/>
        <w:contextualSpacing/>
        <w:jc w:val="both"/>
        <w:rPr>
          <w:rFonts w:asciiTheme="majorHAnsi" w:eastAsia="Calibri" w:hAnsiTheme="majorHAnsi" w:cs="Times New Roman"/>
          <w:b/>
          <w:sz w:val="24"/>
          <w:szCs w:val="24"/>
          <w:lang w:val="ro-RO" w:eastAsia="en-US"/>
        </w:rPr>
      </w:pPr>
      <w:r w:rsidRPr="0037604E">
        <w:rPr>
          <w:rFonts w:asciiTheme="majorHAnsi" w:hAnsiTheme="majorHAnsi" w:cs="Arial"/>
          <w:b/>
          <w:sz w:val="24"/>
          <w:szCs w:val="24"/>
          <w:lang w:val="en"/>
        </w:rPr>
        <w:t>Management of authorization / re-authorization of the technical staff of the company that owns/will own the status of authorized installer for natural gas:</w:t>
      </w:r>
      <w:r w:rsidRPr="0037604E">
        <w:rPr>
          <w:rFonts w:asciiTheme="majorHAnsi" w:hAnsiTheme="majorHAnsi" w:cs="Arial"/>
          <w:sz w:val="24"/>
          <w:szCs w:val="24"/>
          <w:lang w:val="en"/>
        </w:rPr>
        <w:t xml:space="preserve"> </w:t>
      </w:r>
    </w:p>
    <w:p w:rsidR="0037604E" w:rsidRPr="0037604E" w:rsidRDefault="0037604E" w:rsidP="00FA6EB9">
      <w:pPr>
        <w:numPr>
          <w:ilvl w:val="0"/>
          <w:numId w:val="115"/>
        </w:numPr>
        <w:tabs>
          <w:tab w:val="left" w:pos="284"/>
        </w:tabs>
        <w:spacing w:after="0" w:line="240" w:lineRule="auto"/>
        <w:ind w:left="709" w:hanging="425"/>
        <w:jc w:val="both"/>
        <w:rPr>
          <w:rFonts w:asciiTheme="majorHAnsi" w:eastAsia="Calibri" w:hAnsiTheme="majorHAnsi" w:cs="Calibri"/>
          <w:sz w:val="24"/>
          <w:szCs w:val="24"/>
          <w:lang w:val="ro-RO" w:eastAsia="en-US"/>
        </w:rPr>
      </w:pPr>
      <w:r w:rsidRPr="0037604E">
        <w:rPr>
          <w:rFonts w:asciiTheme="majorHAnsi" w:hAnsiTheme="majorHAnsi" w:cs="Arial"/>
          <w:sz w:val="24"/>
          <w:szCs w:val="24"/>
          <w:lang w:val="en"/>
        </w:rPr>
        <w:t>Preparation and submission to ANRE of</w:t>
      </w:r>
      <w:r w:rsidRPr="0037604E">
        <w:rPr>
          <w:rFonts w:asciiTheme="majorHAnsi" w:eastAsia="Calibri" w:hAnsiTheme="majorHAnsi" w:cs="Calibri"/>
          <w:sz w:val="24"/>
          <w:szCs w:val="24"/>
          <w:lang w:val="ro-RO" w:eastAsia="en-US"/>
        </w:rPr>
        <w:t xml:space="preserve"> 78 files for </w:t>
      </w:r>
      <w:r w:rsidRPr="0037604E">
        <w:rPr>
          <w:rFonts w:asciiTheme="majorHAnsi" w:hAnsiTheme="majorHAnsi" w:cs="Arial"/>
          <w:sz w:val="24"/>
          <w:szCs w:val="24"/>
          <w:lang w:val="en"/>
        </w:rPr>
        <w:t>authorized installer examination</w:t>
      </w:r>
      <w:r w:rsidRPr="0037604E">
        <w:rPr>
          <w:rFonts w:asciiTheme="majorHAnsi" w:eastAsia="Calibri" w:hAnsiTheme="majorHAnsi" w:cs="Calibri"/>
          <w:sz w:val="24"/>
          <w:szCs w:val="24"/>
          <w:lang w:val="ro-RO" w:eastAsia="en-US"/>
        </w:rPr>
        <w:t xml:space="preserve"> </w:t>
      </w:r>
      <w:r w:rsidRPr="0037604E">
        <w:rPr>
          <w:rFonts w:asciiTheme="majorHAnsi" w:hAnsiTheme="majorHAnsi" w:cs="Arial"/>
          <w:sz w:val="24"/>
          <w:szCs w:val="24"/>
          <w:lang w:val="en"/>
        </w:rPr>
        <w:t xml:space="preserve">to obtain </w:t>
      </w:r>
      <w:r w:rsidRPr="0037604E">
        <w:rPr>
          <w:rFonts w:asciiTheme="majorHAnsi" w:eastAsia="Calibri" w:hAnsiTheme="majorHAnsi" w:cs="Calibri"/>
          <w:sz w:val="24"/>
          <w:szCs w:val="24"/>
          <w:lang w:val="ro-RO" w:eastAsia="en-US"/>
        </w:rPr>
        <w:t>79 cards.</w:t>
      </w:r>
    </w:p>
    <w:p w:rsidR="0037604E" w:rsidRPr="0037604E" w:rsidRDefault="0037604E" w:rsidP="00FA6EB9">
      <w:pPr>
        <w:numPr>
          <w:ilvl w:val="0"/>
          <w:numId w:val="115"/>
        </w:numPr>
        <w:tabs>
          <w:tab w:val="left" w:pos="284"/>
        </w:tabs>
        <w:spacing w:after="0" w:line="240" w:lineRule="auto"/>
        <w:ind w:left="709" w:hanging="425"/>
        <w:jc w:val="both"/>
        <w:rPr>
          <w:rFonts w:asciiTheme="majorHAnsi" w:eastAsia="Calibri" w:hAnsiTheme="majorHAnsi" w:cs="Calibri"/>
          <w:sz w:val="24"/>
          <w:szCs w:val="24"/>
          <w:lang w:val="ro-RO" w:eastAsia="en-US"/>
        </w:rPr>
      </w:pPr>
      <w:r w:rsidRPr="0037604E">
        <w:rPr>
          <w:rFonts w:asciiTheme="majorHAnsi" w:hAnsiTheme="majorHAnsi" w:cs="Arial"/>
          <w:sz w:val="24"/>
          <w:szCs w:val="24"/>
          <w:lang w:val="en"/>
        </w:rPr>
        <w:t>Preparation and submission to ANRE of</w:t>
      </w:r>
      <w:r w:rsidRPr="0037604E">
        <w:rPr>
          <w:rFonts w:asciiTheme="majorHAnsi" w:eastAsia="Calibri" w:hAnsiTheme="majorHAnsi" w:cs="Calibri"/>
          <w:sz w:val="24"/>
          <w:szCs w:val="24"/>
          <w:lang w:val="ro-RO" w:eastAsia="en-US"/>
        </w:rPr>
        <w:t xml:space="preserve"> 117 files for </w:t>
      </w:r>
      <w:r w:rsidRPr="0037604E">
        <w:rPr>
          <w:rFonts w:asciiTheme="majorHAnsi" w:hAnsiTheme="majorHAnsi" w:cs="Arial"/>
          <w:sz w:val="24"/>
          <w:szCs w:val="24"/>
          <w:lang w:val="en"/>
        </w:rPr>
        <w:t>equivalence/extension of</w:t>
      </w:r>
      <w:r w:rsidRPr="0037604E">
        <w:rPr>
          <w:rFonts w:asciiTheme="majorHAnsi" w:eastAsia="Calibri" w:hAnsiTheme="majorHAnsi" w:cs="Calibri"/>
          <w:sz w:val="24"/>
          <w:szCs w:val="24"/>
          <w:lang w:val="ro-RO" w:eastAsia="en-US"/>
        </w:rPr>
        <w:t xml:space="preserve"> 144 de cards.</w:t>
      </w:r>
    </w:p>
    <w:p w:rsidR="0037604E" w:rsidRPr="0037604E" w:rsidRDefault="0037604E" w:rsidP="00FA6EB9">
      <w:pPr>
        <w:numPr>
          <w:ilvl w:val="0"/>
          <w:numId w:val="115"/>
        </w:numPr>
        <w:tabs>
          <w:tab w:val="left" w:pos="284"/>
        </w:tabs>
        <w:spacing w:after="0" w:line="240" w:lineRule="auto"/>
        <w:ind w:left="709" w:hanging="425"/>
        <w:jc w:val="both"/>
        <w:rPr>
          <w:rFonts w:asciiTheme="majorHAnsi" w:eastAsia="Calibri" w:hAnsiTheme="majorHAnsi" w:cs="Calibri"/>
          <w:sz w:val="24"/>
          <w:szCs w:val="24"/>
          <w:lang w:val="ro-RO" w:eastAsia="en-US"/>
        </w:rPr>
      </w:pPr>
      <w:r w:rsidRPr="0037604E">
        <w:rPr>
          <w:rFonts w:asciiTheme="majorHAnsi" w:eastAsia="Calibri" w:hAnsiTheme="majorHAnsi" w:cs="Calibri"/>
          <w:sz w:val="24"/>
          <w:szCs w:val="24"/>
          <w:lang w:val="ro-RO" w:eastAsia="en-US"/>
        </w:rPr>
        <w:t xml:space="preserve">Receiving 85 </w:t>
      </w:r>
      <w:r w:rsidRPr="0037604E">
        <w:rPr>
          <w:rFonts w:asciiTheme="majorHAnsi" w:hAnsiTheme="majorHAnsi" w:cs="Arial"/>
          <w:sz w:val="24"/>
          <w:szCs w:val="24"/>
          <w:lang w:val="en"/>
        </w:rPr>
        <w:t xml:space="preserve">authorized installer cards for </w:t>
      </w:r>
      <w:r w:rsidRPr="0037604E">
        <w:rPr>
          <w:rFonts w:asciiTheme="majorHAnsi" w:eastAsia="Calibri" w:hAnsiTheme="majorHAnsi" w:cs="Calibri"/>
          <w:sz w:val="24"/>
          <w:szCs w:val="24"/>
          <w:lang w:val="ro-RO" w:eastAsia="en-US"/>
        </w:rPr>
        <w:t>2013-2015.</w:t>
      </w:r>
    </w:p>
    <w:p w:rsidR="0037604E" w:rsidRPr="0037604E" w:rsidRDefault="0037604E" w:rsidP="00FA6EB9">
      <w:pPr>
        <w:numPr>
          <w:ilvl w:val="0"/>
          <w:numId w:val="115"/>
        </w:numPr>
        <w:tabs>
          <w:tab w:val="left" w:pos="284"/>
        </w:tabs>
        <w:spacing w:after="0" w:line="240" w:lineRule="auto"/>
        <w:ind w:left="709" w:hanging="425"/>
        <w:jc w:val="both"/>
        <w:rPr>
          <w:rFonts w:asciiTheme="majorHAnsi" w:hAnsiTheme="majorHAnsi"/>
          <w:sz w:val="24"/>
          <w:szCs w:val="24"/>
          <w:lang w:val="ro-RO"/>
        </w:rPr>
      </w:pPr>
      <w:r w:rsidRPr="0037604E">
        <w:rPr>
          <w:rFonts w:asciiTheme="majorHAnsi" w:hAnsiTheme="majorHAnsi" w:cs="Arial"/>
          <w:sz w:val="24"/>
          <w:szCs w:val="24"/>
          <w:lang w:val="en"/>
        </w:rPr>
        <w:t xml:space="preserve">Permanent update of authorized </w:t>
      </w:r>
      <w:r w:rsidR="00C64DB9" w:rsidRPr="0037604E">
        <w:rPr>
          <w:rFonts w:asciiTheme="majorHAnsi" w:hAnsiTheme="majorHAnsi" w:cs="Arial"/>
          <w:sz w:val="24"/>
          <w:szCs w:val="24"/>
          <w:lang w:val="en"/>
        </w:rPr>
        <w:t>installers’</w:t>
      </w:r>
      <w:r w:rsidRPr="0037604E">
        <w:rPr>
          <w:rFonts w:asciiTheme="majorHAnsi" w:hAnsiTheme="majorHAnsi" w:cs="Arial"/>
          <w:sz w:val="24"/>
          <w:szCs w:val="24"/>
          <w:lang w:val="en"/>
        </w:rPr>
        <w:t xml:space="preserve"> database at the company level</w:t>
      </w:r>
      <w:r w:rsidRPr="0037604E">
        <w:rPr>
          <w:rFonts w:asciiTheme="majorHAnsi" w:hAnsiTheme="majorHAnsi"/>
          <w:sz w:val="24"/>
          <w:szCs w:val="24"/>
          <w:lang w:val="ro-RO"/>
        </w:rPr>
        <w:t>.</w:t>
      </w:r>
    </w:p>
    <w:p w:rsidR="0037604E" w:rsidRPr="0037604E" w:rsidRDefault="0037604E" w:rsidP="0037604E">
      <w:pPr>
        <w:tabs>
          <w:tab w:val="left" w:pos="284"/>
        </w:tabs>
        <w:spacing w:after="0" w:line="240" w:lineRule="auto"/>
        <w:ind w:left="709" w:firstLine="0"/>
        <w:jc w:val="both"/>
        <w:rPr>
          <w:rFonts w:asciiTheme="majorHAnsi" w:hAnsiTheme="majorHAnsi"/>
          <w:sz w:val="24"/>
          <w:szCs w:val="24"/>
          <w:lang w:val="ro-RO"/>
        </w:rPr>
      </w:pPr>
    </w:p>
    <w:p w:rsidR="0037604E" w:rsidRPr="0037604E" w:rsidRDefault="0037604E" w:rsidP="00FA6EB9">
      <w:pPr>
        <w:numPr>
          <w:ilvl w:val="0"/>
          <w:numId w:val="107"/>
        </w:numPr>
        <w:spacing w:after="0" w:line="240" w:lineRule="auto"/>
        <w:contextualSpacing/>
        <w:jc w:val="both"/>
        <w:rPr>
          <w:rFonts w:asciiTheme="majorHAnsi" w:eastAsia="Calibri" w:hAnsiTheme="majorHAnsi" w:cs="Times New Roman"/>
          <w:b/>
          <w:sz w:val="24"/>
          <w:szCs w:val="24"/>
          <w:lang w:val="ro-RO" w:eastAsia="en-US"/>
        </w:rPr>
      </w:pPr>
      <w:r w:rsidRPr="0037604E">
        <w:rPr>
          <w:rFonts w:asciiTheme="majorHAnsi" w:hAnsiTheme="majorHAnsi" w:cs="Arial"/>
          <w:b/>
          <w:sz w:val="24"/>
          <w:szCs w:val="24"/>
          <w:lang w:val="en"/>
        </w:rPr>
        <w:t>Authorization</w:t>
      </w:r>
      <w:r w:rsidR="00C64DB9">
        <w:rPr>
          <w:rFonts w:asciiTheme="majorHAnsi" w:hAnsiTheme="majorHAnsi" w:cs="Arial"/>
          <w:b/>
          <w:sz w:val="24"/>
          <w:szCs w:val="24"/>
          <w:lang w:val="en"/>
        </w:rPr>
        <w:t xml:space="preserve"> and licensing in the gas field</w:t>
      </w:r>
    </w:p>
    <w:p w:rsidR="0037604E" w:rsidRPr="0037604E" w:rsidRDefault="0037604E" w:rsidP="00FA6EB9">
      <w:pPr>
        <w:numPr>
          <w:ilvl w:val="0"/>
          <w:numId w:val="119"/>
        </w:numPr>
        <w:tabs>
          <w:tab w:val="left" w:pos="-709"/>
        </w:tabs>
        <w:spacing w:after="0" w:line="240" w:lineRule="auto"/>
        <w:ind w:left="709"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Granting PDSB and PDIB authorizations:</w:t>
      </w:r>
    </w:p>
    <w:p w:rsidR="0037604E" w:rsidRPr="0037604E" w:rsidRDefault="0037604E" w:rsidP="00FA6EB9">
      <w:pPr>
        <w:numPr>
          <w:ilvl w:val="0"/>
          <w:numId w:val="120"/>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authorizations were granted by Decision no. </w:t>
      </w:r>
      <w:r w:rsidRPr="0037604E">
        <w:rPr>
          <w:rFonts w:asciiTheme="majorHAnsi" w:eastAsia="Calibri" w:hAnsiTheme="majorHAnsi" w:cs="Times New Roman"/>
          <w:sz w:val="24"/>
          <w:szCs w:val="24"/>
          <w:lang w:val="ro-RO" w:eastAsia="en-US"/>
        </w:rPr>
        <w:t xml:space="preserve">82/22.01.2016 of the </w:t>
      </w:r>
      <w:r w:rsidRPr="0037604E">
        <w:rPr>
          <w:rFonts w:asciiTheme="majorHAnsi" w:hAnsiTheme="majorHAnsi" w:cs="Arial"/>
          <w:sz w:val="24"/>
          <w:szCs w:val="24"/>
          <w:lang w:val="en"/>
        </w:rPr>
        <w:t xml:space="preserve">ANRE President and are valid until </w:t>
      </w:r>
      <w:r w:rsidRPr="0037604E">
        <w:rPr>
          <w:rFonts w:asciiTheme="majorHAnsi" w:eastAsia="Calibri" w:hAnsiTheme="majorHAnsi" w:cs="Times New Roman"/>
          <w:sz w:val="24"/>
          <w:szCs w:val="24"/>
          <w:lang w:val="ro-RO" w:eastAsia="en-US"/>
        </w:rPr>
        <w:t>22.01.2021.</w:t>
      </w:r>
    </w:p>
    <w:p w:rsidR="0037604E" w:rsidRPr="0037604E" w:rsidRDefault="0037604E" w:rsidP="00FA6EB9">
      <w:pPr>
        <w:numPr>
          <w:ilvl w:val="0"/>
          <w:numId w:val="119"/>
        </w:numPr>
        <w:tabs>
          <w:tab w:val="left" w:pos="-709"/>
        </w:tabs>
        <w:spacing w:after="0" w:line="240" w:lineRule="auto"/>
        <w:ind w:left="709"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Granting ET authorization:</w:t>
      </w:r>
    </w:p>
    <w:p w:rsidR="0037604E" w:rsidRPr="0037604E" w:rsidRDefault="0037604E" w:rsidP="00FA6EB9">
      <w:pPr>
        <w:numPr>
          <w:ilvl w:val="0"/>
          <w:numId w:val="121"/>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authorization was granted by Decision no. </w:t>
      </w:r>
      <w:r w:rsidRPr="0037604E">
        <w:rPr>
          <w:rFonts w:asciiTheme="majorHAnsi" w:eastAsia="Calibri" w:hAnsiTheme="majorHAnsi" w:cs="Times New Roman"/>
          <w:sz w:val="24"/>
          <w:szCs w:val="24"/>
          <w:lang w:val="ro-RO" w:eastAsia="en-US"/>
        </w:rPr>
        <w:t xml:space="preserve">1558/30.09.2016 of the </w:t>
      </w:r>
      <w:r w:rsidRPr="0037604E">
        <w:rPr>
          <w:rFonts w:asciiTheme="majorHAnsi" w:hAnsiTheme="majorHAnsi" w:cs="Arial"/>
          <w:sz w:val="24"/>
          <w:szCs w:val="24"/>
          <w:lang w:val="en"/>
        </w:rPr>
        <w:t>ANRE President and is valid until</w:t>
      </w:r>
      <w:r w:rsidRPr="0037604E">
        <w:rPr>
          <w:rFonts w:asciiTheme="majorHAnsi" w:eastAsia="Calibri" w:hAnsiTheme="majorHAnsi" w:cs="Times New Roman"/>
          <w:sz w:val="24"/>
          <w:szCs w:val="24"/>
          <w:lang w:val="ro-RO" w:eastAsia="en-US"/>
        </w:rPr>
        <w:t xml:space="preserve"> 29.09.2021.</w:t>
      </w:r>
    </w:p>
    <w:p w:rsidR="0037604E" w:rsidRPr="0037604E" w:rsidRDefault="0037604E" w:rsidP="00FA6EB9">
      <w:pPr>
        <w:numPr>
          <w:ilvl w:val="0"/>
          <w:numId w:val="119"/>
        </w:numPr>
        <w:tabs>
          <w:tab w:val="left" w:pos="-709"/>
        </w:tabs>
        <w:spacing w:after="0" w:line="240" w:lineRule="auto"/>
        <w:ind w:left="709"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Request to grant PPI and PT authorizations:</w:t>
      </w:r>
    </w:p>
    <w:p w:rsidR="0037604E" w:rsidRPr="0037604E" w:rsidRDefault="0037604E" w:rsidP="00FA6EB9">
      <w:pPr>
        <w:numPr>
          <w:ilvl w:val="0"/>
          <w:numId w:val="122"/>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On 08.12.2016 the file for the granting of the authorizations was sent to ANRE.</w:t>
      </w:r>
    </w:p>
    <w:p w:rsidR="0037604E" w:rsidRPr="0037604E" w:rsidRDefault="0037604E" w:rsidP="00FA6EB9">
      <w:pPr>
        <w:numPr>
          <w:ilvl w:val="0"/>
          <w:numId w:val="122"/>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By Letter 91.316/30.12.2016 ANRE requested the documentation submitted to be supplemented. </w:t>
      </w:r>
    </w:p>
    <w:p w:rsidR="0037604E" w:rsidRPr="0037604E" w:rsidRDefault="0037604E" w:rsidP="00FA6EB9">
      <w:pPr>
        <w:numPr>
          <w:ilvl w:val="0"/>
          <w:numId w:val="122"/>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On 06.01.2016 the supplementations requested by the authority were submitted.</w:t>
      </w:r>
    </w:p>
    <w:p w:rsidR="0037604E" w:rsidRPr="0037604E" w:rsidRDefault="0037604E" w:rsidP="00FA6EB9">
      <w:pPr>
        <w:numPr>
          <w:ilvl w:val="0"/>
          <w:numId w:val="119"/>
        </w:numPr>
        <w:tabs>
          <w:tab w:val="left" w:pos="-709"/>
        </w:tabs>
        <w:spacing w:after="0" w:line="240" w:lineRule="auto"/>
        <w:ind w:left="709"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Request to change Licence 1933/2013 regarding the updating of the technical features of the facilities at 31.12.2015:</w:t>
      </w:r>
    </w:p>
    <w:p w:rsidR="0037604E" w:rsidRPr="0037604E" w:rsidRDefault="0037604E" w:rsidP="00FA6EB9">
      <w:pPr>
        <w:numPr>
          <w:ilvl w:val="0"/>
          <w:numId w:val="123"/>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On 02.11.2016 the file for the changinf of the authorizations was sent to ANRE.</w:t>
      </w:r>
    </w:p>
    <w:p w:rsidR="0037604E" w:rsidRPr="0037604E" w:rsidRDefault="0037604E" w:rsidP="00FA6EB9">
      <w:pPr>
        <w:numPr>
          <w:ilvl w:val="0"/>
          <w:numId w:val="123"/>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By Letter 83.083/23.11.2016 ANRE requested the documentation submitted to be supplemented.</w:t>
      </w:r>
    </w:p>
    <w:p w:rsidR="0037604E" w:rsidRPr="0037604E" w:rsidRDefault="0037604E" w:rsidP="00FA6EB9">
      <w:pPr>
        <w:numPr>
          <w:ilvl w:val="0"/>
          <w:numId w:val="123"/>
        </w:numPr>
        <w:tabs>
          <w:tab w:val="left" w:pos="-709"/>
        </w:tabs>
        <w:spacing w:after="0" w:line="240" w:lineRule="auto"/>
        <w:ind w:left="1134"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On 15.12.2016 the supplementations requested by the authority were submitted.</w:t>
      </w:r>
    </w:p>
    <w:p w:rsidR="0037604E" w:rsidRPr="0037604E" w:rsidRDefault="0037604E" w:rsidP="0037604E">
      <w:pPr>
        <w:spacing w:after="0" w:line="240" w:lineRule="auto"/>
        <w:ind w:firstLine="0"/>
        <w:contextualSpacing/>
        <w:jc w:val="both"/>
        <w:rPr>
          <w:rFonts w:ascii="Cambria" w:eastAsia="Times New Roman" w:hAnsi="Cambria" w:cs="Times New Roman"/>
          <w:sz w:val="24"/>
          <w:szCs w:val="24"/>
          <w:lang w:val="en-GB"/>
        </w:rPr>
      </w:pPr>
      <w:r w:rsidRPr="0037604E">
        <w:rPr>
          <w:rFonts w:ascii="Arial" w:hAnsi="Arial" w:cs="Arial"/>
          <w:color w:val="222222"/>
          <w:lang w:val="en"/>
        </w:rPr>
        <w:br/>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r w:rsidRPr="0037604E">
        <w:rPr>
          <w:rFonts w:asciiTheme="majorHAnsi" w:hAnsiTheme="majorHAnsi" w:cs="Arial"/>
          <w:sz w:val="24"/>
          <w:szCs w:val="24"/>
          <w:lang w:val="en-GB"/>
        </w:rPr>
        <w:t>In accordance with the rules of organization and operation of the Company, the Licences and Regulations Unit from its establishing in July 2015 and to date has focused its efforts towards achieving the objectives set out in the 2013-2017 Management Plan of Transgaz.</w:t>
      </w:r>
      <w:r w:rsidRPr="0037604E">
        <w:rPr>
          <w:rFonts w:asciiTheme="majorHAnsi" w:hAnsiTheme="majorHAnsi" w:cs="Arial"/>
          <w:sz w:val="24"/>
          <w:szCs w:val="24"/>
          <w:lang w:val="en-GB"/>
        </w:rPr>
        <w:br/>
      </w:r>
      <w:r w:rsidRPr="0037604E">
        <w:rPr>
          <w:rFonts w:asciiTheme="majorHAnsi" w:hAnsiTheme="majorHAnsi" w:cs="Arial"/>
          <w:sz w:val="24"/>
          <w:szCs w:val="24"/>
          <w:lang w:val="en-GB"/>
        </w:rPr>
        <w:lastRenderedPageBreak/>
        <w:br/>
        <w:t>The main directions of action of the Licences and Regulations Unit were:</w:t>
      </w:r>
    </w:p>
    <w:p w:rsidR="0037604E" w:rsidRPr="0037604E" w:rsidRDefault="0037604E" w:rsidP="00FA6EB9">
      <w:pPr>
        <w:numPr>
          <w:ilvl w:val="0"/>
          <w:numId w:val="32"/>
        </w:numPr>
        <w:tabs>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hAnsiTheme="majorHAnsi" w:cs="Arial"/>
          <w:sz w:val="24"/>
          <w:szCs w:val="24"/>
          <w:lang w:val="en"/>
        </w:rPr>
        <w:t>Participating in activities concerning the revision of the Network Code</w:t>
      </w:r>
      <w:r w:rsidRPr="0037604E">
        <w:rPr>
          <w:rFonts w:asciiTheme="majorHAnsi" w:eastAsia="MS Mincho" w:hAnsiTheme="majorHAnsi" w:cs="Times New Roman"/>
          <w:sz w:val="24"/>
          <w:szCs w:val="24"/>
          <w:lang w:val="ro-RO"/>
        </w:rPr>
        <w:t>;</w:t>
      </w:r>
      <w:r w:rsidRPr="0037604E">
        <w:rPr>
          <w:rFonts w:asciiTheme="majorHAnsi" w:hAnsiTheme="majorHAnsi" w:cs="Arial"/>
          <w:sz w:val="24"/>
          <w:szCs w:val="24"/>
          <w:lang w:val="en"/>
        </w:rPr>
        <w:t xml:space="preserve"> </w:t>
      </w:r>
    </w:p>
    <w:p w:rsidR="0037604E" w:rsidRPr="0037604E" w:rsidRDefault="0037604E" w:rsidP="00FA6EB9">
      <w:pPr>
        <w:numPr>
          <w:ilvl w:val="0"/>
          <w:numId w:val="32"/>
        </w:numPr>
        <w:tabs>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hAnsiTheme="majorHAnsi" w:cs="Arial"/>
          <w:sz w:val="24"/>
          <w:szCs w:val="24"/>
          <w:lang w:val="en"/>
        </w:rPr>
        <w:t>Manage internal consultations in order to prepare the opinion of the company on the draft nomative acts initiated by ANRE and other relevant authorities to improve the national regulatory framework</w:t>
      </w:r>
      <w:r w:rsidRPr="0037604E">
        <w:rPr>
          <w:rFonts w:asciiTheme="majorHAnsi" w:eastAsia="Calibri" w:hAnsiTheme="majorHAnsi" w:cs="Times New Roman"/>
          <w:sz w:val="24"/>
          <w:szCs w:val="24"/>
          <w:lang w:val="ro-RO"/>
        </w:rPr>
        <w:t>;</w:t>
      </w:r>
    </w:p>
    <w:p w:rsidR="0037604E" w:rsidRPr="0037604E" w:rsidRDefault="0037604E" w:rsidP="00FA6EB9">
      <w:pPr>
        <w:numPr>
          <w:ilvl w:val="0"/>
          <w:numId w:val="32"/>
        </w:numPr>
        <w:tabs>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hAnsiTheme="majorHAnsi" w:cs="Arial"/>
          <w:sz w:val="24"/>
          <w:szCs w:val="24"/>
          <w:lang w:val="en"/>
        </w:rPr>
        <w:t>Manage the authorization/re-authorization of the technical staff of the company that owns/will own the status of authorized gas installer</w:t>
      </w:r>
      <w:r w:rsidRPr="0037604E">
        <w:rPr>
          <w:rFonts w:asciiTheme="majorHAnsi" w:eastAsia="Times New Roman" w:hAnsiTheme="majorHAnsi" w:cs="Times New Roman"/>
          <w:sz w:val="24"/>
          <w:szCs w:val="24"/>
          <w:lang w:val="ro-RO"/>
        </w:rPr>
        <w:t>;</w:t>
      </w:r>
    </w:p>
    <w:p w:rsidR="0037604E" w:rsidRPr="0037604E" w:rsidRDefault="0037604E" w:rsidP="00FA6EB9">
      <w:pPr>
        <w:numPr>
          <w:ilvl w:val="0"/>
          <w:numId w:val="32"/>
        </w:numPr>
        <w:tabs>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hAnsiTheme="majorHAnsi" w:cs="Arial"/>
          <w:sz w:val="24"/>
          <w:szCs w:val="24"/>
          <w:lang w:val="en"/>
        </w:rPr>
        <w:t>Authorization and licensing in the gas domain</w:t>
      </w:r>
      <w:r w:rsidRPr="0037604E">
        <w:rPr>
          <w:rFonts w:asciiTheme="majorHAnsi" w:eastAsia="Times New Roman" w:hAnsiTheme="majorHAnsi" w:cs="Times New Roman"/>
          <w:sz w:val="24"/>
          <w:szCs w:val="24"/>
          <w:lang w:val="ro-RO"/>
        </w:rPr>
        <w:t>;</w:t>
      </w:r>
    </w:p>
    <w:p w:rsidR="0037604E" w:rsidRPr="0037604E" w:rsidRDefault="0037604E" w:rsidP="00FA6EB9">
      <w:pPr>
        <w:numPr>
          <w:ilvl w:val="0"/>
          <w:numId w:val="32"/>
        </w:numPr>
        <w:tabs>
          <w:tab w:val="left" w:pos="0"/>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hAnsiTheme="majorHAnsi" w:cs="Arial"/>
          <w:sz w:val="24"/>
          <w:szCs w:val="24"/>
          <w:lang w:val="en"/>
        </w:rPr>
        <w:t>Draft order on the approval of the methodology for transmission capacity booking and tariff setting for the gas transmission services through the  Isaccea - Negru Voda pipelines</w:t>
      </w:r>
      <w:r w:rsidRPr="0037604E">
        <w:rPr>
          <w:rFonts w:asciiTheme="majorHAnsi" w:hAnsiTheme="majorHAnsi"/>
          <w:sz w:val="24"/>
          <w:szCs w:val="24"/>
          <w:lang w:val="ro-RO"/>
        </w:rPr>
        <w:t>;</w:t>
      </w:r>
    </w:p>
    <w:p w:rsidR="0037604E" w:rsidRPr="0037604E" w:rsidRDefault="0037604E" w:rsidP="00FA6EB9">
      <w:pPr>
        <w:numPr>
          <w:ilvl w:val="0"/>
          <w:numId w:val="32"/>
        </w:numPr>
        <w:tabs>
          <w:tab w:val="left" w:pos="0"/>
          <w:tab w:val="left" w:pos="426"/>
        </w:tabs>
        <w:spacing w:after="0" w:line="240" w:lineRule="auto"/>
        <w:contextualSpacing/>
        <w:jc w:val="both"/>
        <w:rPr>
          <w:rFonts w:ascii="Cambria" w:eastAsia="Times New Roman" w:hAnsi="Cambria" w:cs="Times New Roman"/>
          <w:b/>
          <w:sz w:val="24"/>
          <w:szCs w:val="24"/>
          <w:lang w:val="en-GB"/>
        </w:rPr>
      </w:pPr>
      <w:r w:rsidRPr="0037604E">
        <w:rPr>
          <w:rFonts w:asciiTheme="majorHAnsi" w:eastAsia="MS Mincho" w:hAnsiTheme="majorHAnsi" w:cs="Times New Roman"/>
          <w:sz w:val="24"/>
          <w:szCs w:val="24"/>
          <w:lang w:val="ro-RO"/>
        </w:rPr>
        <w:t>Negotiation of the interconnection agreements with</w:t>
      </w:r>
      <w:r w:rsidRPr="0037604E">
        <w:rPr>
          <w:rFonts w:asciiTheme="majorHAnsi" w:hAnsiTheme="majorHAnsi" w:cs="Arial"/>
          <w:sz w:val="24"/>
          <w:szCs w:val="24"/>
          <w:lang w:val="en-GB"/>
        </w:rPr>
        <w:t xml:space="preserve"> Ukrtransgaz for the interconnection points between the Romanian and Ukrainian transmission systems;</w:t>
      </w:r>
    </w:p>
    <w:p w:rsidR="0037604E" w:rsidRPr="0037604E" w:rsidRDefault="0037604E" w:rsidP="00FA6EB9">
      <w:pPr>
        <w:numPr>
          <w:ilvl w:val="0"/>
          <w:numId w:val="32"/>
        </w:numPr>
        <w:spacing w:after="0" w:line="240" w:lineRule="auto"/>
        <w:contextualSpacing/>
        <w:jc w:val="both"/>
        <w:rPr>
          <w:rFonts w:asciiTheme="majorHAnsi" w:eastAsia="Times New Roman" w:hAnsiTheme="majorHAnsi" w:cs="Times New Roman"/>
          <w:b/>
          <w:sz w:val="24"/>
          <w:szCs w:val="24"/>
          <w:lang w:val="en-GB"/>
        </w:rPr>
      </w:pPr>
      <w:r w:rsidRPr="0037604E">
        <w:rPr>
          <w:rFonts w:asciiTheme="majorHAnsi" w:hAnsiTheme="majorHAnsi" w:cs="Arial"/>
          <w:sz w:val="24"/>
          <w:szCs w:val="24"/>
          <w:lang w:val="en-GB"/>
        </w:rPr>
        <w:t>Negotiation of interconnection agreements with Bulgartansgaz for the interconnection points between the Romanian and the Bulgarian systems.</w:t>
      </w:r>
    </w:p>
    <w:p w:rsidR="0037604E" w:rsidRPr="0037604E" w:rsidRDefault="0037604E" w:rsidP="00FA6EB9">
      <w:pPr>
        <w:numPr>
          <w:ilvl w:val="0"/>
          <w:numId w:val="32"/>
        </w:numPr>
        <w:tabs>
          <w:tab w:val="left" w:pos="0"/>
        </w:tabs>
        <w:spacing w:after="0" w:line="240" w:lineRule="auto"/>
        <w:jc w:val="both"/>
        <w:rPr>
          <w:rFonts w:asciiTheme="majorHAnsi" w:eastAsia="MS Mincho" w:hAnsiTheme="majorHAnsi" w:cs="Times New Roman"/>
          <w:sz w:val="24"/>
          <w:szCs w:val="24"/>
          <w:lang w:val="ro-RO"/>
        </w:rPr>
      </w:pPr>
      <w:r w:rsidRPr="0037604E">
        <w:rPr>
          <w:rFonts w:asciiTheme="majorHAnsi" w:eastAsia="MS Mincho" w:hAnsiTheme="majorHAnsi" w:cs="Times New Roman"/>
          <w:sz w:val="24"/>
          <w:szCs w:val="24"/>
          <w:lang w:val="ro-RO"/>
        </w:rPr>
        <w:t>Preparation of regulatory frameworkfor trading the transmission capacities of the Tranzit 1 and Tranzit 2 pipelines, according to the European regulatory framework, starting with gas year 2016/2017;</w:t>
      </w:r>
    </w:p>
    <w:p w:rsidR="0037604E" w:rsidRPr="0037604E" w:rsidRDefault="0037604E" w:rsidP="00FA6EB9">
      <w:pPr>
        <w:numPr>
          <w:ilvl w:val="0"/>
          <w:numId w:val="32"/>
        </w:numPr>
        <w:spacing w:after="0" w:line="240" w:lineRule="auto"/>
        <w:contextualSpacing/>
        <w:jc w:val="both"/>
        <w:rPr>
          <w:rFonts w:asciiTheme="majorHAnsi" w:eastAsia="MS Mincho" w:hAnsiTheme="majorHAnsi" w:cs="Times New Roman"/>
          <w:sz w:val="24"/>
          <w:szCs w:val="24"/>
          <w:lang w:val="ro-RO"/>
        </w:rPr>
      </w:pPr>
      <w:r w:rsidRPr="0037604E">
        <w:rPr>
          <w:rFonts w:asciiTheme="majorHAnsi" w:eastAsia="MS Mincho" w:hAnsiTheme="majorHAnsi" w:cs="Times New Roman"/>
          <w:sz w:val="24"/>
          <w:szCs w:val="24"/>
          <w:lang w:val="ro-RO"/>
        </w:rPr>
        <w:t>Supplementation of RBP servicesvprocured based on the TSO membership Agreement no. 570/09.11.2015 concluded between Transgaz and FGSZ Zrt., Hungary;</w:t>
      </w:r>
    </w:p>
    <w:p w:rsidR="0037604E" w:rsidRPr="0037604E" w:rsidRDefault="0037604E" w:rsidP="00FA6EB9">
      <w:pPr>
        <w:numPr>
          <w:ilvl w:val="0"/>
          <w:numId w:val="32"/>
        </w:numPr>
        <w:spacing w:after="0" w:line="240" w:lineRule="auto"/>
        <w:contextualSpacing/>
        <w:jc w:val="both"/>
        <w:rPr>
          <w:rFonts w:asciiTheme="majorHAnsi" w:eastAsia="MS Mincho" w:hAnsiTheme="majorHAnsi" w:cs="Times New Roman"/>
          <w:sz w:val="24"/>
          <w:szCs w:val="24"/>
          <w:lang w:val="ro-RO"/>
        </w:rPr>
      </w:pPr>
      <w:r w:rsidRPr="0037604E">
        <w:rPr>
          <w:rFonts w:asciiTheme="majorHAnsi" w:eastAsia="MS Mincho" w:hAnsiTheme="majorHAnsi" w:cs="Times New Roman"/>
          <w:sz w:val="24"/>
          <w:szCs w:val="24"/>
          <w:lang w:val="ro-RO"/>
        </w:rPr>
        <w:t xml:space="preserve">Proposal on the harmonization of the secondary laws for complete harmonization of capacity allocation processes at all interconnction points with Member States. </w:t>
      </w:r>
    </w:p>
    <w:p w:rsidR="0037604E" w:rsidRPr="0037604E" w:rsidRDefault="0037604E" w:rsidP="00FA6EB9">
      <w:pPr>
        <w:numPr>
          <w:ilvl w:val="0"/>
          <w:numId w:val="32"/>
        </w:numPr>
        <w:tabs>
          <w:tab w:val="left" w:pos="0"/>
        </w:tabs>
        <w:spacing w:after="0" w:line="240" w:lineRule="auto"/>
        <w:jc w:val="both"/>
        <w:rPr>
          <w:rFonts w:asciiTheme="majorHAnsi" w:eastAsia="MS Mincho" w:hAnsiTheme="majorHAnsi" w:cs="Times New Roman"/>
          <w:sz w:val="24"/>
          <w:szCs w:val="24"/>
          <w:lang w:val="ro-RO"/>
        </w:rPr>
      </w:pPr>
      <w:r w:rsidRPr="0037604E">
        <w:rPr>
          <w:rFonts w:asciiTheme="majorHAnsi" w:eastAsia="Calibri" w:hAnsiTheme="majorHAnsi" w:cs="Times New Roman"/>
          <w:sz w:val="24"/>
          <w:szCs w:val="24"/>
          <w:lang w:val="ro-RO"/>
        </w:rPr>
        <w:t>Implementation of Regulation (EU) No. 1227/2011 on the integrity and transparency of the wholesale energy market, and Regulation (EU) No. 1348/2014 on data reporting implementing Article 8(2) and Article 8(6) of Regulation (EU) No 1227/2011, in cooperation with the Operating Division, ITC Division and SCADA;</w:t>
      </w:r>
      <w:r w:rsidRPr="0037604E">
        <w:t xml:space="preserve"> </w:t>
      </w:r>
    </w:p>
    <w:p w:rsidR="0037604E" w:rsidRPr="0037604E" w:rsidRDefault="0037604E" w:rsidP="00FA6EB9">
      <w:pPr>
        <w:numPr>
          <w:ilvl w:val="0"/>
          <w:numId w:val="32"/>
        </w:numPr>
        <w:tabs>
          <w:tab w:val="left" w:pos="0"/>
        </w:tabs>
        <w:spacing w:after="0" w:line="240" w:lineRule="auto"/>
        <w:jc w:val="both"/>
        <w:rPr>
          <w:rFonts w:asciiTheme="majorHAnsi" w:eastAsia="MS Mincho" w:hAnsiTheme="majorHAnsi" w:cs="Times New Roman"/>
          <w:sz w:val="24"/>
          <w:szCs w:val="24"/>
          <w:lang w:val="ro-RO"/>
        </w:rPr>
      </w:pPr>
      <w:r w:rsidRPr="0037604E">
        <w:rPr>
          <w:rFonts w:asciiTheme="majorHAnsi" w:eastAsia="Calibri" w:hAnsiTheme="majorHAnsi" w:cs="Calibri"/>
          <w:sz w:val="24"/>
          <w:szCs w:val="24"/>
          <w:lang w:val="ro-RO"/>
        </w:rPr>
        <w:t>Actions connected with cooperation with ENTSOG.</w:t>
      </w:r>
    </w:p>
    <w:p w:rsidR="0037604E" w:rsidRPr="0037604E" w:rsidRDefault="0037604E" w:rsidP="0037604E">
      <w:pPr>
        <w:spacing w:after="0" w:line="240" w:lineRule="auto"/>
        <w:ind w:firstLine="0"/>
        <w:jc w:val="both"/>
        <w:rPr>
          <w:rFonts w:asciiTheme="majorHAnsi" w:hAnsiTheme="majorHAnsi" w:cs="Arial"/>
          <w:sz w:val="24"/>
          <w:szCs w:val="24"/>
          <w:lang w:val="en-GB"/>
        </w:rPr>
      </w:pPr>
    </w:p>
    <w:p w:rsidR="0037604E" w:rsidRPr="0037604E" w:rsidRDefault="0037604E" w:rsidP="0037604E">
      <w:pPr>
        <w:spacing w:after="0" w:line="240" w:lineRule="auto"/>
        <w:ind w:firstLine="0"/>
        <w:jc w:val="both"/>
        <w:rPr>
          <w:rFonts w:asciiTheme="majorHAnsi" w:eastAsia="Times New Roman" w:hAnsiTheme="majorHAnsi" w:cs="Times New Roman"/>
          <w:b/>
          <w:sz w:val="24"/>
          <w:szCs w:val="24"/>
          <w:lang w:val="en-GB"/>
        </w:rPr>
      </w:pPr>
      <w:r w:rsidRPr="0037604E">
        <w:rPr>
          <w:rFonts w:asciiTheme="majorHAnsi" w:hAnsiTheme="majorHAnsi" w:cs="Arial"/>
          <w:b/>
          <w:sz w:val="24"/>
          <w:szCs w:val="24"/>
          <w:lang w:val="en-GB"/>
        </w:rPr>
        <w:t>Other relevant actions carried out by the Licences and Regulations Unit:</w:t>
      </w:r>
      <w:r w:rsidRPr="0037604E">
        <w:rPr>
          <w:rFonts w:asciiTheme="majorHAnsi" w:hAnsiTheme="majorHAnsi" w:cs="Arial"/>
          <w:b/>
          <w:sz w:val="24"/>
          <w:szCs w:val="24"/>
          <w:lang w:val="en-GB"/>
        </w:rPr>
        <w:br/>
      </w:r>
    </w:p>
    <w:p w:rsidR="0037604E" w:rsidRPr="0037604E" w:rsidRDefault="0037604E" w:rsidP="00FA6EB9">
      <w:pPr>
        <w:numPr>
          <w:ilvl w:val="0"/>
          <w:numId w:val="124"/>
        </w:numPr>
        <w:tabs>
          <w:tab w:val="left" w:pos="0"/>
        </w:tabs>
        <w:spacing w:after="0" w:line="240" w:lineRule="auto"/>
        <w:ind w:left="270" w:hanging="270"/>
        <w:jc w:val="both"/>
        <w:rPr>
          <w:rFonts w:asciiTheme="majorHAnsi" w:hAnsiTheme="majorHAnsi"/>
          <w:b/>
          <w:sz w:val="24"/>
          <w:lang w:val="ro-RO"/>
        </w:rPr>
      </w:pPr>
      <w:r w:rsidRPr="0037604E">
        <w:rPr>
          <w:rFonts w:asciiTheme="majorHAnsi" w:eastAsia="MS Mincho" w:hAnsiTheme="majorHAnsi" w:cs="Times New Roman"/>
          <w:b/>
          <w:color w:val="000000"/>
          <w:sz w:val="24"/>
          <w:szCs w:val="24"/>
          <w:lang w:val="ro-RO"/>
        </w:rPr>
        <w:t xml:space="preserve">Draft order for the approval of the Methodology for transmission capacity booking and tariff setting for natural gas transmission services through the </w:t>
      </w:r>
      <w:r w:rsidRPr="0037604E">
        <w:rPr>
          <w:rFonts w:asciiTheme="majorHAnsi" w:hAnsiTheme="majorHAnsi"/>
          <w:b/>
          <w:color w:val="000000"/>
          <w:sz w:val="24"/>
          <w:lang w:val="ro-RO"/>
        </w:rPr>
        <w:t xml:space="preserve"> </w:t>
      </w:r>
      <w:r w:rsidRPr="0037604E">
        <w:rPr>
          <w:rFonts w:asciiTheme="majorHAnsi" w:eastAsia="MS Mincho" w:hAnsiTheme="majorHAnsi" w:cs="Times New Roman"/>
          <w:b/>
          <w:color w:val="000000"/>
          <w:sz w:val="24"/>
          <w:szCs w:val="24"/>
          <w:lang w:val="ro-RO"/>
        </w:rPr>
        <w:t>Isaccea</w:t>
      </w:r>
      <w:r w:rsidRPr="0037604E">
        <w:rPr>
          <w:rFonts w:asciiTheme="majorHAnsi" w:eastAsia="MS Mincho" w:hAnsiTheme="majorHAnsi" w:cs="Times New Roman"/>
          <w:b/>
          <w:sz w:val="24"/>
          <w:szCs w:val="24"/>
          <w:lang w:val="ro-RO"/>
        </w:rPr>
        <w:t xml:space="preserve"> – Negru Vodă gas transmission pipelines</w:t>
      </w:r>
    </w:p>
    <w:p w:rsidR="0037604E" w:rsidRPr="0037604E" w:rsidRDefault="0037604E" w:rsidP="0037604E">
      <w:pPr>
        <w:spacing w:after="0" w:line="240" w:lineRule="auto"/>
        <w:ind w:firstLine="0"/>
        <w:jc w:val="both"/>
        <w:rPr>
          <w:rFonts w:asciiTheme="majorHAnsi" w:eastAsia="Times New Roman" w:hAnsiTheme="majorHAnsi" w:cs="Times New Roman"/>
          <w:b/>
          <w:sz w:val="24"/>
          <w:szCs w:val="24"/>
          <w:lang w:val="en-GB"/>
        </w:rPr>
      </w:pPr>
    </w:p>
    <w:p w:rsidR="0037604E" w:rsidRPr="0037604E" w:rsidRDefault="0037604E" w:rsidP="00FA6EB9">
      <w:pPr>
        <w:numPr>
          <w:ilvl w:val="0"/>
          <w:numId w:val="33"/>
        </w:numPr>
        <w:spacing w:after="0" w:line="240" w:lineRule="auto"/>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The draft order was prepared by Transgaz and sent to</w:t>
      </w:r>
      <w:r w:rsidRPr="0037604E">
        <w:rPr>
          <w:rFonts w:asciiTheme="majorHAnsi" w:hAnsiTheme="majorHAnsi"/>
          <w:sz w:val="24"/>
          <w:lang w:val="ro-RO"/>
        </w:rPr>
        <w:t xml:space="preserve"> ANRE on </w:t>
      </w:r>
      <w:r w:rsidRPr="0037604E">
        <w:rPr>
          <w:rFonts w:asciiTheme="majorHAnsi" w:eastAsia="Calibri" w:hAnsiTheme="majorHAnsi" w:cs="Times New Roman"/>
          <w:sz w:val="24"/>
          <w:szCs w:val="24"/>
          <w:lang w:val="ro-RO"/>
        </w:rPr>
        <w:t>07.06.2016.</w:t>
      </w:r>
    </w:p>
    <w:p w:rsidR="0037604E" w:rsidRPr="0037604E" w:rsidRDefault="0037604E" w:rsidP="00FA6EB9">
      <w:pPr>
        <w:numPr>
          <w:ilvl w:val="0"/>
          <w:numId w:val="33"/>
        </w:numPr>
        <w:spacing w:after="0" w:line="240" w:lineRule="auto"/>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The document was sendt to public consultation on the ANRE website between 24.06 – 04.07.2016.</w:t>
      </w:r>
    </w:p>
    <w:p w:rsidR="0037604E" w:rsidRPr="0037604E" w:rsidRDefault="0037604E" w:rsidP="00FA6EB9">
      <w:pPr>
        <w:numPr>
          <w:ilvl w:val="0"/>
          <w:numId w:val="33"/>
        </w:numPr>
        <w:spacing w:after="0" w:line="240" w:lineRule="auto"/>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The Order was published in the Official Journal (Order 34/July 2016 of the ANRE President).</w:t>
      </w:r>
    </w:p>
    <w:p w:rsidR="0037604E" w:rsidRPr="0037604E" w:rsidRDefault="0037604E" w:rsidP="0037604E">
      <w:pPr>
        <w:spacing w:after="0" w:line="240" w:lineRule="auto"/>
        <w:contextualSpacing/>
        <w:jc w:val="both"/>
        <w:rPr>
          <w:rFonts w:asciiTheme="majorHAnsi" w:eastAsia="Calibri" w:hAnsiTheme="majorHAnsi" w:cs="Times New Roman"/>
          <w:sz w:val="24"/>
          <w:szCs w:val="24"/>
          <w:lang w:val="ro-RO"/>
        </w:rPr>
      </w:pPr>
    </w:p>
    <w:p w:rsidR="0037604E" w:rsidRPr="0037604E" w:rsidRDefault="0037604E" w:rsidP="00FA6EB9">
      <w:pPr>
        <w:numPr>
          <w:ilvl w:val="0"/>
          <w:numId w:val="127"/>
        </w:numPr>
        <w:spacing w:after="0" w:line="240" w:lineRule="auto"/>
        <w:ind w:left="274" w:hanging="274"/>
        <w:jc w:val="both"/>
        <w:rPr>
          <w:rFonts w:asciiTheme="majorHAnsi" w:eastAsia="MS Mincho" w:hAnsiTheme="majorHAnsi" w:cs="Times New Roman"/>
          <w:b/>
          <w:sz w:val="24"/>
          <w:szCs w:val="24"/>
          <w:u w:val="single"/>
          <w:lang w:val="ro-RO"/>
        </w:rPr>
      </w:pPr>
      <w:r w:rsidRPr="0037604E">
        <w:rPr>
          <w:rFonts w:asciiTheme="majorHAnsi" w:eastAsia="MS Mincho" w:hAnsiTheme="majorHAnsi" w:cs="Times New Roman"/>
          <w:b/>
          <w:sz w:val="24"/>
          <w:szCs w:val="24"/>
          <w:u w:val="single"/>
          <w:lang w:val="ro-RO"/>
        </w:rPr>
        <w:t>Negotiation of the interconnection agreements with Ukrtransgaz for the interconnection points between the Romanian and the Ukrainian gas transmission systems</w:t>
      </w:r>
    </w:p>
    <w:p w:rsidR="0037604E" w:rsidRPr="0037604E" w:rsidRDefault="0037604E" w:rsidP="0037604E">
      <w:pPr>
        <w:spacing w:after="0" w:line="240" w:lineRule="auto"/>
        <w:ind w:left="274"/>
        <w:jc w:val="both"/>
        <w:rPr>
          <w:rFonts w:asciiTheme="majorHAnsi" w:eastAsia="MS Mincho" w:hAnsiTheme="majorHAnsi" w:cs="Times New Roman"/>
          <w:b/>
          <w:sz w:val="24"/>
          <w:szCs w:val="24"/>
          <w:u w:val="single"/>
          <w:lang w:val="ro-RO"/>
        </w:rPr>
      </w:pPr>
    </w:p>
    <w:p w:rsidR="0037604E" w:rsidRPr="0037604E" w:rsidRDefault="0037604E" w:rsidP="00FA6EB9">
      <w:pPr>
        <w:numPr>
          <w:ilvl w:val="0"/>
          <w:numId w:val="128"/>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Transgaz prepared the draft IAs for Isaccea 1 and Isaccea 2, 3, whiach are at present under analyisi at Ukrtransgaz.</w:t>
      </w:r>
    </w:p>
    <w:p w:rsidR="0037604E" w:rsidRPr="0037604E" w:rsidRDefault="0037604E" w:rsidP="00FA6EB9">
      <w:pPr>
        <w:numPr>
          <w:ilvl w:val="0"/>
          <w:numId w:val="128"/>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A series of Isaccea 1 draft IA  provisions were agreed within video calls.</w:t>
      </w:r>
    </w:p>
    <w:p w:rsidR="0037604E" w:rsidRPr="0037604E" w:rsidRDefault="0037604E" w:rsidP="00FA6EB9">
      <w:pPr>
        <w:numPr>
          <w:ilvl w:val="0"/>
          <w:numId w:val="128"/>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lastRenderedPageBreak/>
        <w:t>The Parties completed agreement of Isaccea 1 IA provisions.</w:t>
      </w:r>
    </w:p>
    <w:p w:rsidR="0037604E" w:rsidRPr="0037604E" w:rsidRDefault="0037604E" w:rsidP="00FA6EB9">
      <w:pPr>
        <w:numPr>
          <w:ilvl w:val="0"/>
          <w:numId w:val="128"/>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The IA of the Isaccea 1 IP was signed on 9 Juy 2017. The IA for the Isaccea 1 IP was later amended by Adendum 1 concluded on 26.09.2016.</w:t>
      </w:r>
    </w:p>
    <w:p w:rsidR="0037604E" w:rsidRPr="0037604E" w:rsidRDefault="0037604E" w:rsidP="00FA6EB9">
      <w:pPr>
        <w:numPr>
          <w:ilvl w:val="0"/>
          <w:numId w:val="128"/>
        </w:numPr>
        <w:spacing w:after="0" w:line="240" w:lineRule="auto"/>
        <w:ind w:left="993" w:hanging="284"/>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Consideringt the necessity to match the provisions pof the Interconnection Agreement for Isaccea 2,3 IP with the existing contract concluded with  Gazprom Export for the  Transit 3 pipeline and the correspondence with Gazprom Export by which we were notified on their non-cceptance of changing of current arrangements at Isaccea, we sent to Ukrtransgaz an interconnectio  agreement version that takes into account the contract signed with Gazprom.</w:t>
      </w:r>
    </w:p>
    <w:p w:rsidR="0037604E" w:rsidRPr="0037604E" w:rsidRDefault="0037604E" w:rsidP="00FA6EB9">
      <w:pPr>
        <w:numPr>
          <w:ilvl w:val="0"/>
          <w:numId w:val="128"/>
        </w:numPr>
        <w:spacing w:after="0" w:line="240" w:lineRule="auto"/>
        <w:ind w:left="993" w:hanging="284"/>
        <w:contextualSpacing/>
        <w:jc w:val="both"/>
        <w:rPr>
          <w:rFonts w:asciiTheme="majorHAnsi" w:hAnsiTheme="majorHAnsi"/>
          <w:sz w:val="24"/>
          <w:lang w:val="ro-RO"/>
        </w:rPr>
      </w:pPr>
      <w:r w:rsidRPr="0037604E">
        <w:rPr>
          <w:rFonts w:asciiTheme="majorHAnsi" w:eastAsia="Calibri" w:hAnsiTheme="majorHAnsi" w:cs="Times New Roman"/>
          <w:sz w:val="24"/>
          <w:szCs w:val="24"/>
          <w:lang w:val="ro-RO"/>
        </w:rPr>
        <w:t>This version was rejected. The negotiations failed from objctive reasons. Therefore, the European Commission agreed to extend the existing contract signed with Gazprom Export for the Transit 2 pipeline for another year</w:t>
      </w:r>
      <w:r w:rsidRPr="0037604E">
        <w:rPr>
          <w:rFonts w:asciiTheme="majorHAnsi" w:hAnsiTheme="majorHAnsi"/>
          <w:sz w:val="24"/>
          <w:lang w:val="ro-RO"/>
        </w:rPr>
        <w:t>.</w:t>
      </w:r>
    </w:p>
    <w:p w:rsidR="0037604E" w:rsidRPr="0037604E" w:rsidRDefault="0037604E" w:rsidP="0037604E">
      <w:pPr>
        <w:spacing w:after="0" w:line="240" w:lineRule="auto"/>
        <w:ind w:left="993"/>
        <w:contextualSpacing/>
        <w:rPr>
          <w:rFonts w:asciiTheme="majorHAnsi" w:eastAsia="Calibri" w:hAnsiTheme="majorHAnsi" w:cs="Times New Roman"/>
          <w:sz w:val="24"/>
          <w:szCs w:val="24"/>
          <w:lang w:val="ro-RO"/>
        </w:rPr>
      </w:pPr>
    </w:p>
    <w:p w:rsidR="0037604E" w:rsidRPr="0037604E" w:rsidRDefault="0037604E" w:rsidP="00FA6EB9">
      <w:pPr>
        <w:numPr>
          <w:ilvl w:val="0"/>
          <w:numId w:val="125"/>
        </w:numPr>
        <w:tabs>
          <w:tab w:val="left" w:pos="0"/>
        </w:tabs>
        <w:spacing w:after="0" w:line="240" w:lineRule="auto"/>
        <w:ind w:left="284" w:hanging="284"/>
        <w:contextualSpacing/>
        <w:jc w:val="both"/>
        <w:rPr>
          <w:rFonts w:asciiTheme="majorHAnsi" w:eastAsia="MS Mincho" w:hAnsiTheme="majorHAnsi" w:cs="Times New Roman"/>
          <w:b/>
          <w:sz w:val="24"/>
          <w:szCs w:val="24"/>
          <w:u w:val="single"/>
          <w:lang w:val="ro-RO"/>
        </w:rPr>
      </w:pPr>
      <w:r w:rsidRPr="0037604E">
        <w:rPr>
          <w:rFonts w:asciiTheme="majorHAnsi" w:eastAsia="MS Mincho" w:hAnsiTheme="majorHAnsi" w:cs="Times New Roman"/>
          <w:b/>
          <w:sz w:val="24"/>
          <w:szCs w:val="24"/>
          <w:u w:val="single"/>
          <w:lang w:val="ro-RO"/>
        </w:rPr>
        <w:t>Negotiation the interconnection agreements with Bulgartransgaz for the interconnection points between the Romanian and the Bulgarian gas transmission systems</w:t>
      </w:r>
    </w:p>
    <w:p w:rsidR="0037604E" w:rsidRPr="0037604E" w:rsidRDefault="0037604E" w:rsidP="0037604E">
      <w:pPr>
        <w:tabs>
          <w:tab w:val="left" w:pos="0"/>
        </w:tabs>
        <w:spacing w:after="0" w:line="240" w:lineRule="auto"/>
        <w:ind w:left="284"/>
        <w:contextualSpacing/>
        <w:jc w:val="both"/>
        <w:rPr>
          <w:rFonts w:asciiTheme="majorHAnsi" w:hAnsiTheme="majorHAnsi"/>
          <w:sz w:val="24"/>
          <w:lang w:val="ro-RO"/>
        </w:rPr>
      </w:pPr>
    </w:p>
    <w:p w:rsidR="0037604E" w:rsidRPr="0037604E" w:rsidRDefault="0037604E" w:rsidP="00FA6EB9">
      <w:pPr>
        <w:numPr>
          <w:ilvl w:val="0"/>
          <w:numId w:val="129"/>
        </w:numPr>
        <w:spacing w:after="0" w:line="240" w:lineRule="auto"/>
        <w:ind w:left="993" w:hanging="284"/>
        <w:contextualSpacing/>
        <w:rPr>
          <w:rFonts w:asciiTheme="majorHAnsi" w:hAnsiTheme="majorHAnsi"/>
          <w:sz w:val="24"/>
          <w:lang w:val="ro-RO"/>
        </w:rPr>
      </w:pPr>
      <w:r w:rsidRPr="0037604E">
        <w:rPr>
          <w:rFonts w:asciiTheme="majorHAnsi" w:hAnsiTheme="majorHAnsi"/>
          <w:sz w:val="24"/>
          <w:lang w:val="ro-RO"/>
        </w:rPr>
        <w:t xml:space="preserve">The parties conclued the Interconnection Agreement for the </w:t>
      </w:r>
      <w:r w:rsidRPr="0037604E">
        <w:rPr>
          <w:rFonts w:asciiTheme="majorHAnsi" w:eastAsia="Calibri" w:hAnsiTheme="majorHAnsi" w:cs="Times New Roman"/>
          <w:sz w:val="24"/>
          <w:szCs w:val="24"/>
          <w:lang w:val="ro-RO"/>
        </w:rPr>
        <w:t>Negru Vodă 1</w:t>
      </w:r>
      <w:r w:rsidRPr="0037604E">
        <w:rPr>
          <w:rFonts w:asciiTheme="majorHAnsi" w:hAnsiTheme="majorHAnsi"/>
          <w:sz w:val="24"/>
          <w:lang w:val="ro-RO"/>
        </w:rPr>
        <w:t xml:space="preserve"> IP on </w:t>
      </w:r>
      <w:r w:rsidRPr="0037604E">
        <w:rPr>
          <w:rFonts w:asciiTheme="majorHAnsi" w:eastAsia="Calibri" w:hAnsiTheme="majorHAnsi" w:cs="Times New Roman"/>
          <w:sz w:val="24"/>
          <w:szCs w:val="24"/>
          <w:lang w:val="ro-RO"/>
        </w:rPr>
        <w:t xml:space="preserve">19.05.2016 . </w:t>
      </w:r>
      <w:r w:rsidRPr="0037604E">
        <w:rPr>
          <w:rFonts w:asciiTheme="majorHAnsi" w:hAnsiTheme="majorHAnsi"/>
          <w:sz w:val="24"/>
          <w:lang w:val="ro-RO"/>
        </w:rPr>
        <w:t xml:space="preserve">the Interconnection Agreement for the </w:t>
      </w:r>
      <w:r w:rsidRPr="0037604E">
        <w:rPr>
          <w:rFonts w:asciiTheme="majorHAnsi" w:eastAsia="Calibri" w:hAnsiTheme="majorHAnsi" w:cs="Times New Roman"/>
          <w:sz w:val="24"/>
          <w:szCs w:val="24"/>
          <w:lang w:val="ro-RO"/>
        </w:rPr>
        <w:t>Negru Vodă 1</w:t>
      </w:r>
      <w:r w:rsidRPr="0037604E">
        <w:rPr>
          <w:rFonts w:asciiTheme="majorHAnsi" w:hAnsiTheme="majorHAnsi"/>
          <w:sz w:val="24"/>
          <w:lang w:val="ro-RO"/>
        </w:rPr>
        <w:t xml:space="preserve"> </w:t>
      </w:r>
      <w:r w:rsidRPr="0037604E">
        <w:rPr>
          <w:rFonts w:asciiTheme="majorHAnsi" w:eastAsia="Calibri" w:hAnsiTheme="majorHAnsi" w:cs="Times New Roman"/>
          <w:sz w:val="24"/>
          <w:szCs w:val="24"/>
          <w:lang w:val="ro-RO"/>
        </w:rPr>
        <w:t xml:space="preserve"> was later amended by Adendum 1</w:t>
      </w:r>
      <w:r w:rsidRPr="0037604E">
        <w:rPr>
          <w:rFonts w:asciiTheme="majorHAnsi" w:hAnsiTheme="majorHAnsi"/>
          <w:sz w:val="24"/>
          <w:lang w:val="ro-RO"/>
        </w:rPr>
        <w:t xml:space="preserve"> in force since </w:t>
      </w:r>
      <w:r w:rsidRPr="0037604E">
        <w:rPr>
          <w:rFonts w:asciiTheme="majorHAnsi" w:eastAsia="Calibri" w:hAnsiTheme="majorHAnsi" w:cs="Times New Roman"/>
          <w:sz w:val="24"/>
          <w:szCs w:val="24"/>
          <w:lang w:val="ro-RO"/>
        </w:rPr>
        <w:t>1.10.2016</w:t>
      </w:r>
      <w:r w:rsidRPr="0037604E">
        <w:rPr>
          <w:rFonts w:asciiTheme="majorHAnsi" w:hAnsiTheme="majorHAnsi"/>
          <w:sz w:val="24"/>
          <w:lang w:val="ro-RO"/>
        </w:rPr>
        <w:t>.</w:t>
      </w:r>
    </w:p>
    <w:p w:rsidR="0037604E" w:rsidRPr="0037604E" w:rsidRDefault="0037604E" w:rsidP="00FA6EB9">
      <w:pPr>
        <w:numPr>
          <w:ilvl w:val="0"/>
          <w:numId w:val="129"/>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hAnsiTheme="majorHAnsi"/>
          <w:sz w:val="24"/>
          <w:lang w:val="ro-RO"/>
        </w:rPr>
        <w:t xml:space="preserve">The parties conclued the Interconnection Agreement for the </w:t>
      </w:r>
      <w:r w:rsidRPr="0037604E">
        <w:rPr>
          <w:rFonts w:asciiTheme="majorHAnsi" w:eastAsia="Calibri" w:hAnsiTheme="majorHAnsi" w:cs="Times New Roman"/>
          <w:sz w:val="24"/>
          <w:szCs w:val="24"/>
          <w:lang w:val="ro-RO"/>
        </w:rPr>
        <w:t>Ruse – Giurgiu IP on 22.12.2017;</w:t>
      </w:r>
    </w:p>
    <w:p w:rsidR="0037604E" w:rsidRPr="0037604E" w:rsidRDefault="0037604E" w:rsidP="00FA6EB9">
      <w:pPr>
        <w:numPr>
          <w:ilvl w:val="0"/>
          <w:numId w:val="129"/>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hAnsiTheme="majorHAnsi"/>
          <w:sz w:val="24"/>
          <w:lang w:val="ro-RO"/>
        </w:rPr>
        <w:t xml:space="preserve">The Interconnection Agreement for </w:t>
      </w:r>
      <w:r w:rsidRPr="0037604E">
        <w:rPr>
          <w:rFonts w:asciiTheme="majorHAnsi" w:eastAsia="Calibri" w:hAnsiTheme="majorHAnsi" w:cs="Times New Roman"/>
          <w:sz w:val="24"/>
          <w:szCs w:val="24"/>
          <w:lang w:val="ro-RO"/>
        </w:rPr>
        <w:t>Negru Vodă 2,3 cannot be concluded as long as theer is no corrsponing agreement related to the Isaccea 2,3 IP.</w:t>
      </w:r>
    </w:p>
    <w:p w:rsidR="0037604E" w:rsidRPr="0037604E" w:rsidRDefault="0037604E" w:rsidP="0037604E">
      <w:pPr>
        <w:spacing w:after="0" w:line="240" w:lineRule="auto"/>
        <w:ind w:left="993"/>
        <w:contextualSpacing/>
        <w:rPr>
          <w:rFonts w:asciiTheme="majorHAnsi" w:eastAsia="Calibri" w:hAnsiTheme="majorHAnsi" w:cs="Times New Roman"/>
          <w:sz w:val="24"/>
          <w:szCs w:val="24"/>
          <w:lang w:val="ro-RO"/>
        </w:rPr>
      </w:pPr>
    </w:p>
    <w:p w:rsidR="0037604E" w:rsidRPr="0037604E" w:rsidRDefault="0037604E" w:rsidP="00FA6EB9">
      <w:pPr>
        <w:numPr>
          <w:ilvl w:val="0"/>
          <w:numId w:val="127"/>
        </w:numPr>
        <w:spacing w:after="0" w:line="240" w:lineRule="auto"/>
        <w:ind w:left="284" w:hanging="284"/>
        <w:contextualSpacing/>
        <w:jc w:val="both"/>
        <w:rPr>
          <w:rFonts w:asciiTheme="majorHAnsi" w:eastAsia="MS Mincho" w:hAnsiTheme="majorHAnsi" w:cs="Times New Roman"/>
          <w:b/>
          <w:sz w:val="24"/>
          <w:szCs w:val="24"/>
          <w:lang w:val="ro-RO"/>
        </w:rPr>
      </w:pPr>
      <w:r w:rsidRPr="0037604E">
        <w:rPr>
          <w:rFonts w:asciiTheme="majorHAnsi" w:eastAsia="MS Mincho" w:hAnsiTheme="majorHAnsi" w:cs="Times New Roman"/>
          <w:b/>
          <w:sz w:val="24"/>
          <w:szCs w:val="24"/>
          <w:u w:val="single"/>
          <w:lang w:val="ro-RO"/>
        </w:rPr>
        <w:t>Preparation of regulatory frameworkfor trading the transmission capacities of the Tranzit 1 and Tranzit 2 pipelines, according to the European regulatory framework, starting with gas year 2016/2017</w:t>
      </w:r>
    </w:p>
    <w:p w:rsidR="0037604E" w:rsidRPr="0037604E" w:rsidRDefault="0037604E" w:rsidP="0037604E">
      <w:pPr>
        <w:tabs>
          <w:tab w:val="left" w:pos="0"/>
        </w:tabs>
        <w:spacing w:after="0" w:line="240" w:lineRule="auto"/>
        <w:ind w:left="274"/>
        <w:jc w:val="both"/>
        <w:rPr>
          <w:rFonts w:asciiTheme="majorHAnsi" w:eastAsia="MS Mincho" w:hAnsiTheme="majorHAnsi" w:cs="Times New Roman"/>
          <w:b/>
          <w:color w:val="FF0000"/>
          <w:sz w:val="24"/>
          <w:szCs w:val="24"/>
          <w:u w:val="single"/>
          <w:lang w:val="ro-RO"/>
        </w:rPr>
      </w:pPr>
    </w:p>
    <w:p w:rsidR="0037604E" w:rsidRPr="0037604E" w:rsidRDefault="0037604E" w:rsidP="0037604E">
      <w:pPr>
        <w:tabs>
          <w:tab w:val="left" w:pos="0"/>
        </w:tabs>
        <w:spacing w:after="0" w:line="240" w:lineRule="auto"/>
        <w:ind w:left="274"/>
        <w:jc w:val="both"/>
        <w:rPr>
          <w:rFonts w:asciiTheme="majorHAnsi" w:eastAsia="MS Mincho" w:hAnsiTheme="majorHAnsi" w:cs="Times New Roman"/>
          <w:sz w:val="24"/>
          <w:szCs w:val="24"/>
          <w:lang w:val="ro-RO"/>
        </w:rPr>
      </w:pPr>
      <w:r w:rsidRPr="0037604E">
        <w:rPr>
          <w:rFonts w:asciiTheme="majorHAnsi" w:eastAsia="MS Mincho" w:hAnsiTheme="majorHAnsi" w:cs="Times New Roman"/>
          <w:sz w:val="24"/>
          <w:szCs w:val="24"/>
          <w:lang w:val="ro-RO"/>
        </w:rPr>
        <w:t>The following were achieved:</w:t>
      </w:r>
    </w:p>
    <w:p w:rsidR="0037604E" w:rsidRPr="0037604E" w:rsidRDefault="0037604E" w:rsidP="00FA6EB9">
      <w:pPr>
        <w:numPr>
          <w:ilvl w:val="0"/>
          <w:numId w:val="130"/>
        </w:numPr>
        <w:spacing w:after="0" w:line="240" w:lineRule="auto"/>
        <w:ind w:left="993" w:hanging="284"/>
        <w:contextualSpacing/>
        <w:jc w:val="both"/>
        <w:rPr>
          <w:rFonts w:asciiTheme="majorHAnsi" w:hAnsiTheme="majorHAnsi"/>
          <w:sz w:val="24"/>
          <w:lang w:val="ro-RO"/>
        </w:rPr>
      </w:pPr>
      <w:r w:rsidRPr="0037604E">
        <w:rPr>
          <w:rFonts w:asciiTheme="majorHAnsi" w:eastAsia="Calibri" w:hAnsiTheme="majorHAnsi" w:cs="Times New Roman"/>
          <w:sz w:val="24"/>
          <w:szCs w:val="24"/>
          <w:lang w:val="ro-RO"/>
        </w:rPr>
        <w:t>Meeting with Bulgargaz EAD for shortening the tranzit contract for the T1 pipeline. Considering  the efforts to ensure the regulatory framework for trading capacities starting with the new gas year, that is from 01.10.2016, the parties agreed to shorten the validity of the contract by the conclusion of an addendum in this respect</w:t>
      </w:r>
      <w:r w:rsidRPr="0037604E">
        <w:rPr>
          <w:rFonts w:asciiTheme="majorHAnsi" w:hAnsiTheme="majorHAnsi"/>
          <w:sz w:val="24"/>
          <w:lang w:val="ro-RO"/>
        </w:rPr>
        <w:t>.</w:t>
      </w:r>
    </w:p>
    <w:p w:rsidR="0037604E" w:rsidRPr="0037604E" w:rsidRDefault="0037604E" w:rsidP="00FA6EB9">
      <w:pPr>
        <w:numPr>
          <w:ilvl w:val="0"/>
          <w:numId w:val="130"/>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It was prepared joint approach solution regarding the T2 and T3 tranzit pipelines.</w:t>
      </w:r>
    </w:p>
    <w:p w:rsidR="0037604E" w:rsidRPr="0037604E" w:rsidRDefault="0037604E" w:rsidP="00FA6EB9">
      <w:pPr>
        <w:numPr>
          <w:ilvl w:val="0"/>
          <w:numId w:val="130"/>
        </w:numPr>
        <w:spacing w:after="0" w:line="240" w:lineRule="auto"/>
        <w:ind w:left="993" w:hanging="284"/>
        <w:contextualSpacing/>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Discussions with Gazprom Export for matching the imterconnection agreements with the tranzit contract for T3 pipeline.</w:t>
      </w:r>
    </w:p>
    <w:p w:rsidR="0037604E" w:rsidRPr="0037604E" w:rsidRDefault="0037604E" w:rsidP="00FA6EB9">
      <w:pPr>
        <w:numPr>
          <w:ilvl w:val="0"/>
          <w:numId w:val="130"/>
        </w:numPr>
        <w:spacing w:after="0" w:line="240" w:lineRule="auto"/>
        <w:ind w:left="993" w:hanging="284"/>
        <w:contextualSpacing/>
        <w:jc w:val="both"/>
        <w:rPr>
          <w:rFonts w:asciiTheme="majorHAnsi" w:eastAsia="Calibri" w:hAnsiTheme="majorHAnsi" w:cs="Times New Roman"/>
          <w:sz w:val="24"/>
          <w:szCs w:val="24"/>
          <w:lang w:val="ro-RO"/>
        </w:rPr>
      </w:pPr>
      <w:r w:rsidRPr="0037604E">
        <w:rPr>
          <w:rFonts w:asciiTheme="majorHAnsi" w:hAnsiTheme="majorHAnsi" w:cs="Arial"/>
          <w:sz w:val="24"/>
          <w:szCs w:val="24"/>
          <w:lang w:val="en"/>
        </w:rPr>
        <w:t>For trading capacity, Transgaz promoted to ANRE the draft Order approving the Methodology for transmission capacity booking and the tariff seting for gas transmission through the Isaccea - Negru Voda gas transmission pipelines, representing the national regulatory framework necessary for the application of CAM –NC for the Isaccea - Negru Voda IPs;</w:t>
      </w:r>
    </w:p>
    <w:p w:rsidR="0037604E" w:rsidRPr="0037604E" w:rsidRDefault="0037604E" w:rsidP="00FA6EB9">
      <w:pPr>
        <w:numPr>
          <w:ilvl w:val="0"/>
          <w:numId w:val="130"/>
        </w:numPr>
        <w:spacing w:after="0" w:line="240" w:lineRule="auto"/>
        <w:ind w:left="993" w:hanging="284"/>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The Order was published in the Official Journal (Order 34/July 2016 of the ANRE President).</w:t>
      </w:r>
    </w:p>
    <w:p w:rsidR="0037604E" w:rsidRPr="0037604E" w:rsidRDefault="0037604E" w:rsidP="0037604E">
      <w:pPr>
        <w:spacing w:after="0" w:line="240" w:lineRule="auto"/>
        <w:ind w:left="993"/>
        <w:contextualSpacing/>
        <w:jc w:val="both"/>
        <w:rPr>
          <w:rFonts w:asciiTheme="majorHAnsi" w:eastAsia="Calibri" w:hAnsiTheme="majorHAnsi" w:cs="Times New Roman"/>
          <w:color w:val="FF0000"/>
          <w:sz w:val="24"/>
          <w:szCs w:val="24"/>
          <w:lang w:val="ro-RO"/>
        </w:rPr>
      </w:pPr>
    </w:p>
    <w:p w:rsidR="0037604E" w:rsidRPr="0037604E" w:rsidRDefault="0037604E" w:rsidP="00FA6EB9">
      <w:pPr>
        <w:numPr>
          <w:ilvl w:val="0"/>
          <w:numId w:val="127"/>
        </w:numPr>
        <w:spacing w:after="0" w:line="240" w:lineRule="auto"/>
        <w:ind w:left="284" w:hanging="284"/>
        <w:contextualSpacing/>
        <w:jc w:val="both"/>
        <w:rPr>
          <w:rFonts w:asciiTheme="majorHAnsi" w:eastAsia="MS Mincho" w:hAnsiTheme="majorHAnsi" w:cs="Times New Roman"/>
          <w:sz w:val="24"/>
          <w:szCs w:val="24"/>
          <w:lang w:val="ro-RO"/>
        </w:rPr>
      </w:pPr>
      <w:r w:rsidRPr="0037604E">
        <w:rPr>
          <w:rFonts w:asciiTheme="majorHAnsi" w:eastAsia="MS Mincho" w:hAnsiTheme="majorHAnsi" w:cs="Times New Roman"/>
          <w:sz w:val="24"/>
          <w:szCs w:val="24"/>
          <w:lang w:val="ro-RO"/>
        </w:rPr>
        <w:t xml:space="preserve">Supplementation of RBP services procured based on the TSO membership Agreement no. 570/09.11.2015 concluded between Transgaz and FGSZ Zrt., Hungary </w:t>
      </w:r>
    </w:p>
    <w:p w:rsidR="0037604E" w:rsidRPr="0037604E" w:rsidRDefault="0037604E" w:rsidP="00FA6EB9">
      <w:pPr>
        <w:numPr>
          <w:ilvl w:val="0"/>
          <w:numId w:val="130"/>
        </w:numPr>
        <w:spacing w:after="0" w:line="240" w:lineRule="auto"/>
        <w:ind w:left="993" w:hanging="284"/>
        <w:contextualSpacing/>
        <w:jc w:val="both"/>
        <w:rPr>
          <w:rFonts w:asciiTheme="majorHAnsi" w:hAnsiTheme="majorHAnsi" w:cs="Arial"/>
          <w:sz w:val="24"/>
          <w:szCs w:val="24"/>
          <w:lang w:val="ro-RO"/>
        </w:rPr>
      </w:pPr>
      <w:r w:rsidRPr="0037604E">
        <w:rPr>
          <w:rFonts w:asciiTheme="majorHAnsi" w:hAnsiTheme="majorHAnsi" w:cs="Arial"/>
          <w:sz w:val="24"/>
          <w:szCs w:val="24"/>
          <w:lang w:val="ro-RO"/>
        </w:rPr>
        <w:t>Transgaz asked questions regarding capacity allocatin for the Isaccea – Negru Vodă transmission pipelines entry/exit points.</w:t>
      </w:r>
    </w:p>
    <w:p w:rsidR="0037604E" w:rsidRPr="0037604E" w:rsidRDefault="0037604E" w:rsidP="00FA6EB9">
      <w:pPr>
        <w:numPr>
          <w:ilvl w:val="0"/>
          <w:numId w:val="130"/>
        </w:numPr>
        <w:spacing w:after="0" w:line="240" w:lineRule="auto"/>
        <w:ind w:left="993" w:hanging="284"/>
        <w:contextualSpacing/>
        <w:jc w:val="both"/>
        <w:rPr>
          <w:rFonts w:asciiTheme="majorHAnsi" w:hAnsiTheme="majorHAnsi" w:cs="Arial"/>
          <w:sz w:val="24"/>
          <w:szCs w:val="24"/>
          <w:lang w:val="ro-RO"/>
        </w:rPr>
      </w:pPr>
      <w:r w:rsidRPr="0037604E">
        <w:rPr>
          <w:rFonts w:asciiTheme="majorHAnsi" w:hAnsiTheme="majorHAnsi" w:cs="Arial"/>
          <w:sz w:val="24"/>
          <w:szCs w:val="24"/>
          <w:lang w:val="ro-RO"/>
        </w:rPr>
        <w:lastRenderedPageBreak/>
        <w:t>FGSZ analyzed the possibility to provide the requested services  and presented a technical solutionfor their feasibility.</w:t>
      </w:r>
    </w:p>
    <w:p w:rsidR="0037604E" w:rsidRPr="0037604E" w:rsidRDefault="0037604E" w:rsidP="00FA6EB9">
      <w:pPr>
        <w:numPr>
          <w:ilvl w:val="0"/>
          <w:numId w:val="130"/>
        </w:numPr>
        <w:spacing w:after="0" w:line="240" w:lineRule="auto"/>
        <w:ind w:left="993" w:hanging="284"/>
        <w:contextualSpacing/>
        <w:jc w:val="both"/>
        <w:rPr>
          <w:rFonts w:asciiTheme="majorHAnsi" w:hAnsiTheme="majorHAnsi"/>
          <w:sz w:val="24"/>
          <w:szCs w:val="24"/>
          <w:lang w:val="ro-RO"/>
        </w:rPr>
      </w:pPr>
      <w:r w:rsidRPr="0037604E">
        <w:rPr>
          <w:rFonts w:asciiTheme="majorHAnsi" w:hAnsiTheme="majorHAnsi" w:cs="Arial"/>
          <w:sz w:val="24"/>
          <w:szCs w:val="24"/>
          <w:lang w:val="ro-RO"/>
        </w:rPr>
        <w:t>Transgaz accepted the technical solution proposed by FGSZ and requested its taking over in the RBP production environment until 28 August 2016, the latest.</w:t>
      </w:r>
    </w:p>
    <w:p w:rsidR="0037604E" w:rsidRPr="0037604E" w:rsidRDefault="0037604E" w:rsidP="00FA6EB9">
      <w:pPr>
        <w:numPr>
          <w:ilvl w:val="0"/>
          <w:numId w:val="130"/>
        </w:numPr>
        <w:spacing w:after="0" w:line="240" w:lineRule="auto"/>
        <w:ind w:left="993" w:hanging="284"/>
        <w:contextualSpacing/>
        <w:jc w:val="both"/>
        <w:rPr>
          <w:rFonts w:asciiTheme="majorHAnsi" w:hAnsiTheme="majorHAnsi"/>
          <w:sz w:val="24"/>
          <w:szCs w:val="24"/>
          <w:lang w:val="ro-RO"/>
        </w:rPr>
      </w:pPr>
      <w:r w:rsidRPr="0037604E">
        <w:rPr>
          <w:rFonts w:asciiTheme="majorHAnsi" w:hAnsiTheme="majorHAnsi" w:cs="Arial"/>
          <w:sz w:val="24"/>
          <w:szCs w:val="24"/>
          <w:lang w:val="ro-RO"/>
        </w:rPr>
        <w:t>In this respect in August it was concluded an addendum;</w:t>
      </w:r>
    </w:p>
    <w:p w:rsidR="0037604E" w:rsidRPr="0037604E" w:rsidRDefault="0037604E" w:rsidP="0037604E">
      <w:pPr>
        <w:spacing w:after="0" w:line="240" w:lineRule="auto"/>
        <w:jc w:val="both"/>
        <w:rPr>
          <w:rFonts w:asciiTheme="majorHAnsi" w:eastAsia="Calibri" w:hAnsiTheme="majorHAnsi" w:cs="Times New Roman"/>
          <w:color w:val="FF0000"/>
          <w:sz w:val="24"/>
          <w:szCs w:val="24"/>
          <w:lang w:val="ro-RO"/>
        </w:rPr>
      </w:pPr>
    </w:p>
    <w:p w:rsidR="0037604E" w:rsidRPr="0037604E" w:rsidRDefault="0037604E" w:rsidP="00FA6EB9">
      <w:pPr>
        <w:numPr>
          <w:ilvl w:val="0"/>
          <w:numId w:val="126"/>
        </w:numPr>
        <w:spacing w:after="0" w:line="240" w:lineRule="auto"/>
        <w:ind w:left="284"/>
        <w:rPr>
          <w:rFonts w:asciiTheme="majorHAnsi" w:eastAsia="Calibri" w:hAnsiTheme="majorHAnsi" w:cs="Times New Roman"/>
          <w:b/>
          <w:sz w:val="24"/>
          <w:szCs w:val="24"/>
          <w:u w:val="single"/>
          <w:lang w:val="ro-RO"/>
        </w:rPr>
      </w:pPr>
      <w:r w:rsidRPr="0037604E">
        <w:rPr>
          <w:rFonts w:asciiTheme="majorHAnsi" w:eastAsia="MS Mincho" w:hAnsiTheme="majorHAnsi" w:cs="Times New Roman"/>
          <w:b/>
          <w:sz w:val="24"/>
          <w:szCs w:val="24"/>
          <w:u w:val="single"/>
          <w:lang w:val="ro-RO"/>
        </w:rPr>
        <w:t>Proposal on the harmonization of the secondary laws for complete harmonization of capacity allocation processes at all interconnction points with Member States</w:t>
      </w:r>
      <w:r w:rsidRPr="0037604E">
        <w:rPr>
          <w:rFonts w:asciiTheme="majorHAnsi" w:eastAsia="Calibri" w:hAnsiTheme="majorHAnsi" w:cs="Times New Roman"/>
          <w:b/>
          <w:sz w:val="24"/>
          <w:szCs w:val="24"/>
          <w:u w:val="single"/>
          <w:lang w:val="ro-RO"/>
        </w:rPr>
        <w:t xml:space="preserve">. </w:t>
      </w:r>
    </w:p>
    <w:p w:rsidR="0037604E" w:rsidRPr="0037604E" w:rsidRDefault="0037604E" w:rsidP="00FA6EB9">
      <w:pPr>
        <w:numPr>
          <w:ilvl w:val="0"/>
          <w:numId w:val="131"/>
        </w:numPr>
        <w:spacing w:after="0" w:line="240" w:lineRule="auto"/>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 xml:space="preserve">The </w:t>
      </w:r>
      <w:r w:rsidRPr="0037604E">
        <w:rPr>
          <w:rFonts w:asciiTheme="majorHAnsi" w:hAnsiTheme="majorHAnsi" w:cs="Arial"/>
          <w:sz w:val="24"/>
          <w:szCs w:val="24"/>
          <w:lang w:val="en"/>
        </w:rPr>
        <w:t>RLU, in collaboration with representatives of the legal, economic and operating divisions prepared a draft order to replace the capacity allocation order at the Csanádpalota point and to be applicable to all interconnection points with EU Member States.</w:t>
      </w:r>
    </w:p>
    <w:p w:rsidR="0037604E" w:rsidRPr="0037604E" w:rsidRDefault="0037604E" w:rsidP="00FA6EB9">
      <w:pPr>
        <w:numPr>
          <w:ilvl w:val="0"/>
          <w:numId w:val="131"/>
        </w:numPr>
        <w:spacing w:after="0" w:line="240" w:lineRule="auto"/>
        <w:contextualSpacing/>
        <w:jc w:val="both"/>
        <w:rPr>
          <w:rFonts w:asciiTheme="majorHAnsi" w:eastAsia="Calibri" w:hAnsiTheme="majorHAnsi" w:cs="Times New Roman"/>
          <w:sz w:val="24"/>
          <w:szCs w:val="24"/>
          <w:lang w:val="ro-RO"/>
        </w:rPr>
      </w:pPr>
      <w:r w:rsidRPr="0037604E">
        <w:rPr>
          <w:rFonts w:asciiTheme="majorHAnsi" w:eastAsia="Calibri" w:hAnsiTheme="majorHAnsi" w:cs="Times New Roman"/>
          <w:sz w:val="24"/>
          <w:szCs w:val="24"/>
          <w:lang w:val="ro-RO"/>
        </w:rPr>
        <w:t xml:space="preserve">The Order was published in the Official Journal (Order 88/22.11.2016 of the ANRE President). </w:t>
      </w:r>
    </w:p>
    <w:p w:rsidR="0037604E" w:rsidRPr="0037604E" w:rsidRDefault="0037604E" w:rsidP="0037604E">
      <w:pPr>
        <w:spacing w:after="0" w:line="240" w:lineRule="auto"/>
        <w:ind w:left="1080"/>
        <w:contextualSpacing/>
        <w:jc w:val="both"/>
        <w:rPr>
          <w:rFonts w:asciiTheme="majorHAnsi" w:eastAsia="Calibri" w:hAnsiTheme="majorHAnsi" w:cs="Times New Roman"/>
          <w:sz w:val="24"/>
          <w:szCs w:val="24"/>
          <w:lang w:val="ro-RO"/>
        </w:rPr>
      </w:pPr>
    </w:p>
    <w:p w:rsidR="0037604E" w:rsidRPr="0037604E" w:rsidRDefault="0037604E" w:rsidP="00FA6EB9">
      <w:pPr>
        <w:numPr>
          <w:ilvl w:val="0"/>
          <w:numId w:val="126"/>
        </w:numPr>
        <w:spacing w:after="0" w:line="240" w:lineRule="auto"/>
        <w:ind w:left="284" w:hanging="284"/>
        <w:contextualSpacing/>
        <w:jc w:val="both"/>
        <w:rPr>
          <w:rFonts w:asciiTheme="majorHAnsi" w:eastAsia="Calibri" w:hAnsiTheme="majorHAnsi" w:cs="Times New Roman"/>
          <w:b/>
          <w:sz w:val="24"/>
          <w:szCs w:val="24"/>
          <w:u w:val="single"/>
          <w:lang w:val="ro-RO"/>
        </w:rPr>
      </w:pPr>
      <w:r w:rsidRPr="0037604E">
        <w:rPr>
          <w:rFonts w:asciiTheme="majorHAnsi" w:eastAsia="Calibri" w:hAnsiTheme="majorHAnsi" w:cs="Times New Roman"/>
          <w:b/>
          <w:sz w:val="24"/>
          <w:szCs w:val="24"/>
          <w:u w:val="single"/>
          <w:lang w:val="ro-RO"/>
        </w:rPr>
        <w:t xml:space="preserve">Implementation of Regulation (EU) No. 1227/2011 on the integrity and transparency of the wholesale energy market, and Regulation (EU) No. 1348/2014 on data reporting implementing Article 8(2) and Article 8(6) of Regulation (EU) No 1227/2011, in cooperation with the Operating Division, ITC Division and SCADA; </w:t>
      </w:r>
    </w:p>
    <w:p w:rsidR="0037604E" w:rsidRPr="0037604E" w:rsidRDefault="0037604E" w:rsidP="0037604E">
      <w:pPr>
        <w:spacing w:after="0" w:line="240" w:lineRule="auto"/>
        <w:ind w:firstLine="0"/>
        <w:jc w:val="both"/>
        <w:rPr>
          <w:rFonts w:ascii="Cambria" w:hAnsi="Cambria"/>
          <w:sz w:val="24"/>
          <w:szCs w:val="24"/>
          <w:lang w:val="en-GB"/>
        </w:rPr>
      </w:pPr>
    </w:p>
    <w:p w:rsidR="0037604E" w:rsidRPr="0037604E" w:rsidRDefault="0037604E" w:rsidP="0037604E">
      <w:pPr>
        <w:spacing w:before="320" w:after="0" w:line="360" w:lineRule="auto"/>
        <w:ind w:firstLine="0"/>
        <w:outlineLvl w:val="2"/>
        <w:rPr>
          <w:rFonts w:asciiTheme="majorHAnsi" w:eastAsiaTheme="majorEastAsia" w:hAnsiTheme="majorHAnsi" w:cstheme="majorBidi"/>
          <w:b/>
          <w:bCs/>
          <w:i/>
          <w:iCs/>
          <w:sz w:val="26"/>
          <w:szCs w:val="26"/>
          <w:lang w:val="en-GB"/>
        </w:rPr>
      </w:pPr>
      <w:bookmarkStart w:id="25" w:name="_Toc446310819"/>
      <w:r w:rsidRPr="0037604E">
        <w:rPr>
          <w:rFonts w:asciiTheme="majorHAnsi" w:eastAsiaTheme="majorEastAsia" w:hAnsiTheme="majorHAnsi" w:cstheme="majorBidi"/>
          <w:b/>
          <w:bCs/>
          <w:i/>
          <w:iCs/>
          <w:sz w:val="26"/>
          <w:szCs w:val="26"/>
          <w:lang w:val="en-GB"/>
        </w:rPr>
        <w:t>3.1.2 Domestic gas transmission</w:t>
      </w:r>
      <w:bookmarkEnd w:id="25"/>
      <w:r w:rsidRPr="0037604E">
        <w:rPr>
          <w:rFonts w:asciiTheme="majorHAnsi" w:eastAsiaTheme="majorEastAsia" w:hAnsiTheme="majorHAnsi" w:cstheme="majorBidi"/>
          <w:b/>
          <w:bCs/>
          <w:i/>
          <w:iCs/>
          <w:sz w:val="26"/>
          <w:szCs w:val="26"/>
          <w:lang w:val="en-GB"/>
        </w:rPr>
        <w:t xml:space="preserve"> </w:t>
      </w:r>
    </w:p>
    <w:p w:rsidR="0037604E" w:rsidRPr="0037604E" w:rsidRDefault="0037604E" w:rsidP="0037604E">
      <w:pPr>
        <w:spacing w:after="0" w:line="240" w:lineRule="auto"/>
        <w:ind w:firstLine="0"/>
        <w:jc w:val="both"/>
        <w:rPr>
          <w:rFonts w:ascii="Cambria" w:hAnsi="Cambria" w:cs="Cambria"/>
          <w:lang w:val="en-GB"/>
        </w:rPr>
      </w:pPr>
    </w:p>
    <w:p w:rsidR="0037604E" w:rsidRPr="00DA5431" w:rsidRDefault="00DA5431" w:rsidP="0037604E">
      <w:pPr>
        <w:spacing w:after="0" w:line="240" w:lineRule="auto"/>
        <w:ind w:firstLine="0"/>
        <w:jc w:val="both"/>
        <w:rPr>
          <w:rFonts w:ascii="Cambria" w:eastAsia="Calibri" w:hAnsi="Cambria" w:cs="Times New Roman"/>
          <w:sz w:val="24"/>
          <w:szCs w:val="24"/>
          <w:lang w:val="ro-RO" w:eastAsia="en-US"/>
        </w:rPr>
      </w:pPr>
      <w:r w:rsidRPr="00DA5431">
        <w:rPr>
          <w:rFonts w:ascii="Cambria" w:hAnsi="Cambria" w:cs="Cambria"/>
          <w:bCs/>
          <w:sz w:val="24"/>
          <w:szCs w:val="24"/>
          <w:lang w:val="en-GB"/>
        </w:rPr>
        <w:t xml:space="preserve">As of 1 October </w:t>
      </w:r>
      <w:r w:rsidRPr="00DA5431">
        <w:rPr>
          <w:rFonts w:ascii="Cambria" w:hAnsi="Cambria"/>
          <w:sz w:val="24"/>
          <w:szCs w:val="24"/>
          <w:lang w:val="en-GB"/>
        </w:rPr>
        <w:t>2015</w:t>
      </w:r>
      <w:r w:rsidR="0037604E" w:rsidRPr="00DA5431">
        <w:rPr>
          <w:rFonts w:ascii="Cambria" w:hAnsi="Cambria"/>
          <w:sz w:val="24"/>
          <w:szCs w:val="24"/>
          <w:lang w:val="en-GB"/>
        </w:rPr>
        <w:t xml:space="preserve"> and </w:t>
      </w:r>
      <w:r w:rsidR="0037604E" w:rsidRPr="00F972C2">
        <w:rPr>
          <w:rFonts w:ascii="Cambria" w:hAnsi="Cambria"/>
          <w:sz w:val="24"/>
          <w:szCs w:val="24"/>
          <w:lang w:val="en-GB"/>
        </w:rPr>
        <w:t>until 30 Sept</w:t>
      </w:r>
      <w:r w:rsidRPr="00F972C2">
        <w:rPr>
          <w:rFonts w:ascii="Cambria" w:hAnsi="Cambria"/>
          <w:sz w:val="24"/>
          <w:szCs w:val="24"/>
          <w:lang w:val="en-GB"/>
        </w:rPr>
        <w:t>ember  2016</w:t>
      </w:r>
      <w:r w:rsidRPr="00F972C2">
        <w:rPr>
          <w:rFonts w:ascii="Cambria" w:eastAsia="Calibri" w:hAnsi="Cambria" w:cs="Times New Roman"/>
          <w:sz w:val="24"/>
          <w:szCs w:val="24"/>
          <w:lang w:val="ro-RO" w:eastAsia="en-US"/>
        </w:rPr>
        <w:t xml:space="preserve"> </w:t>
      </w:r>
      <w:r w:rsidR="0037604E" w:rsidRPr="00DA5431">
        <w:rPr>
          <w:rFonts w:ascii="Cambria" w:eastAsia="Calibri" w:hAnsi="Cambria" w:cs="Times New Roman"/>
          <w:sz w:val="24"/>
          <w:szCs w:val="24"/>
          <w:lang w:val="ro-RO" w:eastAsia="en-US"/>
        </w:rPr>
        <w:t xml:space="preserve">the NTS gas transmission regulated tariffs were set based on </w:t>
      </w:r>
      <w:r w:rsidR="0037604E" w:rsidRPr="00DA5431">
        <w:rPr>
          <w:rFonts w:ascii="Cambria" w:eastAsia="Calibri" w:hAnsi="Cambria" w:cs="Times New Roman"/>
          <w:b/>
          <w:sz w:val="24"/>
          <w:szCs w:val="24"/>
          <w:lang w:val="ro-RO" w:eastAsia="en-US"/>
        </w:rPr>
        <w:t>ANRE Order</w:t>
      </w:r>
      <w:r w:rsidR="0037604E" w:rsidRPr="00DA5431">
        <w:rPr>
          <w:rFonts w:ascii="Cambria" w:eastAsia="Calibri" w:hAnsi="Cambria" w:cs="Times New Roman"/>
          <w:sz w:val="24"/>
          <w:szCs w:val="24"/>
          <w:lang w:val="ro-RO" w:eastAsia="en-US"/>
        </w:rPr>
        <w:t xml:space="preserve"> </w:t>
      </w:r>
      <w:r w:rsidR="0037604E" w:rsidRPr="00DA5431">
        <w:rPr>
          <w:rFonts w:ascii="Cambria" w:eastAsia="Calibri" w:hAnsi="Cambria" w:cs="Times New Roman"/>
          <w:b/>
          <w:sz w:val="24"/>
          <w:szCs w:val="24"/>
          <w:lang w:val="ro-RO" w:eastAsia="en-US"/>
        </w:rPr>
        <w:t xml:space="preserve">136/14 August 2015 </w:t>
      </w:r>
      <w:r w:rsidR="0037604E" w:rsidRPr="00DA5431">
        <w:rPr>
          <w:rFonts w:ascii="Cambria" w:eastAsia="Calibri" w:hAnsi="Cambria" w:cs="Times New Roman"/>
          <w:sz w:val="24"/>
          <w:szCs w:val="24"/>
          <w:lang w:val="ro-RO" w:eastAsia="en-US"/>
        </w:rPr>
        <w:t>on the approval of regulated revenue, total revenue and transmission tariffs for gas transmission through t</w:t>
      </w:r>
      <w:r>
        <w:rPr>
          <w:rFonts w:ascii="Cambria" w:eastAsia="Calibri" w:hAnsi="Cambria" w:cs="Times New Roman"/>
          <w:sz w:val="24"/>
          <w:szCs w:val="24"/>
          <w:lang w:val="ro-RO" w:eastAsia="en-US"/>
        </w:rPr>
        <w:t xml:space="preserve">he National Transmission System. </w:t>
      </w:r>
    </w:p>
    <w:p w:rsidR="0037604E" w:rsidRDefault="0016420E" w:rsidP="0037604E">
      <w:pPr>
        <w:spacing w:after="0" w:line="240" w:lineRule="auto"/>
        <w:ind w:firstLine="0"/>
        <w:jc w:val="both"/>
        <w:rPr>
          <w:rFonts w:ascii="Cambria" w:hAnsi="Cambria"/>
          <w:sz w:val="24"/>
          <w:szCs w:val="24"/>
          <w:lang w:val="en-GB"/>
        </w:rPr>
      </w:pPr>
      <w:r w:rsidRPr="0016420E">
        <w:rPr>
          <w:rFonts w:ascii="Cambria" w:hAnsi="Cambria"/>
          <w:sz w:val="24"/>
          <w:szCs w:val="24"/>
          <w:lang w:val="en-GB"/>
        </w:rPr>
        <w:t xml:space="preserve">Between October 1, 2016 - December 31, 2016 </w:t>
      </w:r>
      <w:r>
        <w:rPr>
          <w:rFonts w:ascii="Cambria" w:hAnsi="Cambria"/>
          <w:sz w:val="24"/>
          <w:szCs w:val="24"/>
          <w:lang w:val="en-GB"/>
        </w:rPr>
        <w:t xml:space="preserve">the </w:t>
      </w:r>
      <w:r w:rsidRPr="0016420E">
        <w:rPr>
          <w:rFonts w:ascii="Cambria" w:hAnsi="Cambria"/>
          <w:sz w:val="24"/>
          <w:szCs w:val="24"/>
          <w:lang w:val="en-GB"/>
        </w:rPr>
        <w:t>regulated tariffs for the</w:t>
      </w:r>
      <w:r>
        <w:rPr>
          <w:rFonts w:ascii="Cambria" w:hAnsi="Cambria"/>
          <w:sz w:val="24"/>
          <w:szCs w:val="24"/>
          <w:lang w:val="en-GB"/>
        </w:rPr>
        <w:t xml:space="preserve"> supply of natural gas transmission</w:t>
      </w:r>
      <w:r w:rsidRPr="0016420E">
        <w:rPr>
          <w:rFonts w:ascii="Cambria" w:hAnsi="Cambria"/>
          <w:sz w:val="24"/>
          <w:szCs w:val="24"/>
          <w:lang w:val="en-GB"/>
        </w:rPr>
        <w:t xml:space="preserve"> through the NTS were established on the basis of ANRE Order no. 39/10 August 2016, on the approval of regulated revenue, total revenue and transmission tariffs for </w:t>
      </w:r>
      <w:r>
        <w:rPr>
          <w:rFonts w:ascii="Cambria" w:hAnsi="Cambria"/>
          <w:sz w:val="24"/>
          <w:szCs w:val="24"/>
          <w:lang w:val="en-GB"/>
        </w:rPr>
        <w:t>gas transmission</w:t>
      </w:r>
      <w:r w:rsidRPr="0016420E">
        <w:rPr>
          <w:rFonts w:ascii="Cambria" w:hAnsi="Cambria"/>
          <w:sz w:val="24"/>
          <w:szCs w:val="24"/>
          <w:lang w:val="en-GB"/>
        </w:rPr>
        <w:t xml:space="preserve"> </w:t>
      </w:r>
      <w:r>
        <w:rPr>
          <w:rFonts w:ascii="Cambria" w:hAnsi="Cambria"/>
          <w:sz w:val="24"/>
          <w:szCs w:val="24"/>
          <w:lang w:val="en-GB"/>
        </w:rPr>
        <w:t>through the</w:t>
      </w:r>
      <w:r w:rsidRPr="0016420E">
        <w:rPr>
          <w:rFonts w:ascii="Cambria" w:hAnsi="Cambria"/>
          <w:sz w:val="24"/>
          <w:szCs w:val="24"/>
          <w:lang w:val="en-GB"/>
        </w:rPr>
        <w:t xml:space="preserve"> national transmission system.</w:t>
      </w:r>
    </w:p>
    <w:p w:rsidR="0016420E" w:rsidRPr="0037604E" w:rsidRDefault="0016420E" w:rsidP="0037604E">
      <w:pPr>
        <w:spacing w:after="0" w:line="240" w:lineRule="auto"/>
        <w:ind w:firstLine="0"/>
        <w:jc w:val="both"/>
        <w:rPr>
          <w:rFonts w:ascii="Cambria" w:hAnsi="Cambria"/>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b/>
          <w:bCs/>
          <w:i/>
          <w:iCs/>
          <w:sz w:val="24"/>
          <w:szCs w:val="24"/>
          <w:lang w:val="en-GB"/>
        </w:rPr>
        <w:t xml:space="preserve">The natural gas transmission service </w:t>
      </w:r>
      <w:r w:rsidRPr="0037604E">
        <w:rPr>
          <w:rFonts w:ascii="Cambria" w:eastAsia="Times New Roman" w:hAnsi="Cambria" w:cs="Cambria"/>
          <w:sz w:val="24"/>
          <w:szCs w:val="24"/>
          <w:lang w:val="en-GB"/>
        </w:rPr>
        <w:t>ensures the fulfilment of Transgaz's obligations under its own programme, namely to provide the network users NTS access services the based on equivalent, non-discriminatory and transparent conditions and according to the contractual terms.</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The transmission contracts concluded with the beneficiaries of the services are consistent with the regulated framework contract and provide the legal framework for the provision of firm and interruptible transmission services</w:t>
      </w:r>
      <w:r w:rsidRPr="0037604E">
        <w:rPr>
          <w:rFonts w:ascii="Cambria" w:eastAsia="Times New Roman" w:hAnsi="Cambria" w:cs="Times New Roman"/>
          <w:sz w:val="24"/>
          <w:szCs w:val="24"/>
          <w:lang w:val="en-GB" w:eastAsia="ro-RO"/>
        </w:rPr>
        <w:t xml:space="preserve">.  </w:t>
      </w:r>
      <w:r w:rsidRPr="0037604E">
        <w:rPr>
          <w:rFonts w:ascii="Cambria" w:eastAsia="Times New Roman" w:hAnsi="Cambria" w:cs="Cambria"/>
          <w:sz w:val="24"/>
          <w:szCs w:val="24"/>
          <w:lang w:val="en-GB"/>
        </w:rPr>
        <w:t>The provision of the transmission service designates all the activities and operations carried out for and in relation to transmission capacity booking and the transmission through the NTS of determined natural gas quantities</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 xml:space="preserve">The transmission of natural gas quantities is performed from the NTS entry commercial delivery/receipt points to the NTS exit commercial delivery/receipt points, </w:t>
      </w:r>
      <w:r w:rsidRPr="0037604E">
        <w:rPr>
          <w:rFonts w:ascii="Cambria" w:eastAsia="Times New Roman" w:hAnsi="Cambria" w:cs="Cambria"/>
          <w:i/>
          <w:iCs/>
          <w:sz w:val="24"/>
          <w:szCs w:val="24"/>
          <w:lang w:val="en-GB"/>
        </w:rPr>
        <w:t>natural gas volumes required to cover NTS loss being the responsibility of Transgaz</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r w:rsidRPr="0037604E">
        <w:rPr>
          <w:rFonts w:ascii="Cambria" w:eastAsia="Times New Roman" w:hAnsi="Cambria" w:cs="Cambria"/>
          <w:sz w:val="24"/>
          <w:szCs w:val="24"/>
          <w:lang w:val="en-GB"/>
        </w:rPr>
        <w:lastRenderedPageBreak/>
        <w:t>Through the transmission services contracted in</w:t>
      </w:r>
      <w:r w:rsidRPr="0037604E">
        <w:rPr>
          <w:rFonts w:ascii="Cambria" w:eastAsia="Calibri" w:hAnsi="Cambria" w:cs="Calibri"/>
          <w:sz w:val="24"/>
          <w:szCs w:val="24"/>
          <w:lang w:val="en-GB" w:eastAsia="en-US"/>
        </w:rPr>
        <w:t xml:space="preserve"> 2016 the total amount of </w:t>
      </w:r>
      <w:r w:rsidRPr="0037604E">
        <w:rPr>
          <w:rFonts w:asciiTheme="majorHAnsi" w:eastAsia="Calibri" w:hAnsiTheme="majorHAnsi" w:cs="Calibri"/>
          <w:b/>
          <w:sz w:val="24"/>
          <w:szCs w:val="24"/>
          <w:lang w:val="ro-RO" w:eastAsia="en-US"/>
        </w:rPr>
        <w:t>129.786.374</w:t>
      </w:r>
      <w:r w:rsidRPr="0037604E">
        <w:rPr>
          <w:rFonts w:asciiTheme="majorHAnsi" w:hAnsiTheme="majorHAnsi"/>
          <w:b/>
          <w:sz w:val="24"/>
          <w:lang w:val="ro-RO"/>
        </w:rPr>
        <w:t xml:space="preserve"> </w:t>
      </w:r>
      <w:r w:rsidRPr="0037604E">
        <w:rPr>
          <w:rFonts w:ascii="Cambria" w:eastAsia="Calibri" w:hAnsi="Cambria" w:cs="Calibri"/>
          <w:b/>
          <w:sz w:val="24"/>
          <w:szCs w:val="24"/>
          <w:lang w:val="en-GB" w:eastAsia="en-US"/>
        </w:rPr>
        <w:t>MWh</w:t>
      </w:r>
      <w:r w:rsidRPr="0037604E">
        <w:rPr>
          <w:rFonts w:ascii="Cambria" w:eastAsia="Calibri" w:hAnsi="Cambria" w:cs="Calibri"/>
          <w:sz w:val="24"/>
          <w:szCs w:val="24"/>
          <w:lang w:val="en-GB" w:eastAsia="en-US"/>
        </w:rPr>
        <w:t xml:space="preserve"> (</w:t>
      </w:r>
      <w:r w:rsidRPr="0037604E">
        <w:rPr>
          <w:rFonts w:asciiTheme="majorHAnsi" w:hAnsiTheme="majorHAnsi"/>
          <w:sz w:val="24"/>
          <w:lang w:val="ro-RO"/>
        </w:rPr>
        <w:t>12.</w:t>
      </w:r>
      <w:r w:rsidRPr="0037604E">
        <w:rPr>
          <w:rFonts w:asciiTheme="majorHAnsi" w:eastAsia="Calibri" w:hAnsiTheme="majorHAnsi" w:cs="Calibri"/>
          <w:sz w:val="24"/>
          <w:szCs w:val="24"/>
          <w:lang w:val="ro-RO" w:eastAsia="en-US"/>
        </w:rPr>
        <w:t>074.676</w:t>
      </w:r>
      <w:r w:rsidRPr="0037604E">
        <w:rPr>
          <w:rFonts w:asciiTheme="majorHAnsi" w:hAnsiTheme="majorHAnsi"/>
          <w:sz w:val="24"/>
          <w:lang w:val="ro-RO"/>
        </w:rPr>
        <w:t xml:space="preserve"> </w:t>
      </w:r>
      <w:r w:rsidRPr="0037604E">
        <w:rPr>
          <w:rFonts w:ascii="Cambria" w:eastAsia="Calibri" w:hAnsi="Cambria" w:cs="Calibri"/>
          <w:sz w:val="24"/>
          <w:szCs w:val="24"/>
          <w:lang w:val="en-GB" w:eastAsia="en-US"/>
        </w:rPr>
        <w:t>thousand cm) was transmitted to:</w:t>
      </w:r>
    </w:p>
    <w:tbl>
      <w:tblPr>
        <w:tblStyle w:val="TableGrid21"/>
        <w:tblW w:w="9315" w:type="dxa"/>
        <w:tblCellSpacing w:w="20" w:type="dxa"/>
        <w:tblInd w:w="108"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9315"/>
      </w:tblGrid>
      <w:tr w:rsidR="0037604E" w:rsidRPr="0037604E" w:rsidTr="0037604E">
        <w:trPr>
          <w:trHeight w:val="328"/>
          <w:tblCellSpacing w:w="20" w:type="dxa"/>
        </w:trPr>
        <w:tc>
          <w:tcPr>
            <w:tcW w:w="9235" w:type="dxa"/>
            <w:vAlign w:val="center"/>
          </w:tcPr>
          <w:p w:rsidR="0037604E" w:rsidRPr="0037604E" w:rsidRDefault="0037604E" w:rsidP="0037604E">
            <w:pPr>
              <w:spacing w:after="0" w:line="240" w:lineRule="auto"/>
              <w:ind w:firstLine="0"/>
              <w:rPr>
                <w:rFonts w:ascii="Cambria" w:eastAsia="Calibri" w:hAnsi="Cambria" w:cs="Calibri"/>
                <w:sz w:val="24"/>
                <w:szCs w:val="24"/>
                <w:lang w:val="en-GB"/>
              </w:rPr>
            </w:pPr>
            <w:r w:rsidRPr="0037604E">
              <w:rPr>
                <w:rFonts w:ascii="Cambria" w:eastAsia="Calibri" w:hAnsi="Cambria" w:cs="Calibri"/>
                <w:sz w:val="24"/>
                <w:szCs w:val="24"/>
                <w:lang w:val="en-GB"/>
              </w:rPr>
              <w:t xml:space="preserve">distributions:                            </w:t>
            </w:r>
            <w:r w:rsidRPr="0037604E">
              <w:rPr>
                <w:rFonts w:asciiTheme="majorHAnsi" w:eastAsia="Calibri" w:hAnsiTheme="majorHAnsi" w:cs="Calibri"/>
                <w:b/>
                <w:bCs/>
                <w:sz w:val="24"/>
                <w:szCs w:val="24"/>
                <w:lang w:val="ro-RO"/>
              </w:rPr>
              <w:t>76.439.715 MWh</w:t>
            </w:r>
            <w:r w:rsidRPr="0037604E">
              <w:rPr>
                <w:rFonts w:asciiTheme="majorHAnsi" w:eastAsia="Calibri" w:hAnsiTheme="majorHAnsi" w:cs="Calibri"/>
                <w:sz w:val="24"/>
                <w:szCs w:val="24"/>
                <w:lang w:val="ro-RO"/>
              </w:rPr>
              <w:t xml:space="preserve"> (7.105.851 </w:t>
            </w:r>
            <w:r w:rsidRPr="0037604E">
              <w:rPr>
                <w:rFonts w:ascii="Cambria" w:eastAsia="Calibri" w:hAnsi="Cambria" w:cs="Calibri"/>
                <w:sz w:val="24"/>
                <w:szCs w:val="24"/>
                <w:lang w:val="en-GB" w:eastAsia="en-US"/>
              </w:rPr>
              <w:t>thousand cm</w:t>
            </w:r>
            <w:r w:rsidRPr="0037604E">
              <w:rPr>
                <w:rFonts w:asciiTheme="majorHAnsi" w:eastAsia="Calibri" w:hAnsiTheme="majorHAnsi" w:cs="Calibri"/>
                <w:sz w:val="24"/>
                <w:szCs w:val="24"/>
                <w:lang w:val="ro-RO"/>
              </w:rPr>
              <w:t>);           -54,26%</w:t>
            </w:r>
          </w:p>
        </w:tc>
      </w:tr>
      <w:tr w:rsidR="0037604E" w:rsidRPr="0037604E" w:rsidTr="0037604E">
        <w:trPr>
          <w:trHeight w:val="218"/>
          <w:tblCellSpacing w:w="20" w:type="dxa"/>
        </w:trPr>
        <w:tc>
          <w:tcPr>
            <w:tcW w:w="9235" w:type="dxa"/>
            <w:vAlign w:val="center"/>
          </w:tcPr>
          <w:p w:rsidR="0037604E" w:rsidRPr="0037604E" w:rsidRDefault="0037604E" w:rsidP="0037604E">
            <w:pPr>
              <w:spacing w:after="0" w:line="240" w:lineRule="auto"/>
              <w:ind w:firstLine="0"/>
              <w:rPr>
                <w:rFonts w:ascii="Cambria" w:eastAsia="Calibri" w:hAnsi="Cambria" w:cs="Calibri"/>
                <w:sz w:val="24"/>
                <w:szCs w:val="24"/>
                <w:lang w:val="en-GB"/>
              </w:rPr>
            </w:pPr>
            <w:r w:rsidRPr="0037604E">
              <w:rPr>
                <w:rFonts w:ascii="Cambria" w:eastAsia="Calibri" w:hAnsi="Cambria" w:cs="Calibri"/>
                <w:sz w:val="24"/>
                <w:szCs w:val="24"/>
                <w:lang w:val="en-GB"/>
              </w:rPr>
              <w:t xml:space="preserve">direct consumers:        </w:t>
            </w:r>
            <w:r w:rsidRPr="0037604E">
              <w:rPr>
                <w:rFonts w:ascii="Cambria" w:eastAsia="Calibri" w:hAnsi="Cambria" w:cs="Calibri"/>
                <w:sz w:val="24"/>
                <w:szCs w:val="24"/>
                <w:lang w:val="en-GB"/>
              </w:rPr>
              <w:tab/>
            </w:r>
            <w:r w:rsidRPr="0037604E">
              <w:rPr>
                <w:rFonts w:asciiTheme="majorHAnsi" w:eastAsia="Calibri" w:hAnsiTheme="majorHAnsi" w:cs="Calibri"/>
                <w:b/>
                <w:bCs/>
                <w:sz w:val="24"/>
                <w:szCs w:val="24"/>
                <w:lang w:val="ro-RO"/>
              </w:rPr>
              <w:t>36.480.825 MWh</w:t>
            </w:r>
            <w:r w:rsidRPr="0037604E">
              <w:rPr>
                <w:rFonts w:asciiTheme="majorHAnsi" w:eastAsia="Calibri" w:hAnsiTheme="majorHAnsi" w:cs="Calibri"/>
                <w:sz w:val="24"/>
                <w:szCs w:val="24"/>
                <w:lang w:val="ro-RO"/>
              </w:rPr>
              <w:t xml:space="preserve"> (3.414.266 </w:t>
            </w:r>
            <w:r w:rsidRPr="0037604E">
              <w:rPr>
                <w:rFonts w:ascii="Cambria" w:eastAsia="Calibri" w:hAnsi="Cambria" w:cs="Calibri"/>
                <w:sz w:val="24"/>
                <w:szCs w:val="24"/>
                <w:lang w:val="en-GB" w:eastAsia="en-US"/>
              </w:rPr>
              <w:t>thousand cm</w:t>
            </w:r>
            <w:r w:rsidRPr="0037604E">
              <w:rPr>
                <w:rFonts w:asciiTheme="majorHAnsi" w:eastAsia="Calibri" w:hAnsiTheme="majorHAnsi" w:cs="Calibri"/>
                <w:sz w:val="24"/>
                <w:szCs w:val="24"/>
                <w:lang w:val="ro-RO"/>
              </w:rPr>
              <w:t>);           -27,60%</w:t>
            </w:r>
          </w:p>
        </w:tc>
      </w:tr>
      <w:tr w:rsidR="0037604E" w:rsidRPr="0037604E" w:rsidTr="0037604E">
        <w:trPr>
          <w:tblCellSpacing w:w="20" w:type="dxa"/>
        </w:trPr>
        <w:tc>
          <w:tcPr>
            <w:tcW w:w="9235" w:type="dxa"/>
            <w:vAlign w:val="center"/>
          </w:tcPr>
          <w:p w:rsidR="0037604E" w:rsidRPr="0037604E" w:rsidRDefault="0037604E" w:rsidP="0037604E">
            <w:pPr>
              <w:spacing w:after="0" w:line="240" w:lineRule="auto"/>
              <w:ind w:firstLine="0"/>
              <w:rPr>
                <w:rFonts w:ascii="Cambria" w:eastAsia="Calibri" w:hAnsi="Cambria" w:cs="Calibri"/>
                <w:sz w:val="24"/>
                <w:szCs w:val="24"/>
                <w:lang w:val="en-GB"/>
              </w:rPr>
            </w:pPr>
            <w:r w:rsidRPr="0037604E">
              <w:rPr>
                <w:rFonts w:ascii="Cambria" w:eastAsia="Calibri" w:hAnsi="Cambria" w:cs="Calibri"/>
                <w:sz w:val="24"/>
                <w:szCs w:val="24"/>
                <w:lang w:val="en-GB"/>
              </w:rPr>
              <w:t xml:space="preserve">storage:                        </w:t>
            </w:r>
            <w:r w:rsidRPr="0037604E">
              <w:rPr>
                <w:rFonts w:ascii="Cambria" w:eastAsia="Calibri" w:hAnsi="Cambria" w:cs="Calibri"/>
                <w:sz w:val="24"/>
                <w:szCs w:val="24"/>
                <w:lang w:val="en-GB"/>
              </w:rPr>
              <w:tab/>
              <w:t xml:space="preserve">              </w:t>
            </w:r>
            <w:r w:rsidRPr="0037604E">
              <w:rPr>
                <w:rFonts w:asciiTheme="majorHAnsi" w:eastAsia="Calibri" w:hAnsiTheme="majorHAnsi" w:cs="Calibri"/>
                <w:b/>
                <w:bCs/>
                <w:sz w:val="24"/>
                <w:szCs w:val="24"/>
                <w:lang w:val="ro-RO"/>
              </w:rPr>
              <w:t>16.865.834  MWh</w:t>
            </w:r>
            <w:r w:rsidRPr="0037604E">
              <w:rPr>
                <w:rFonts w:asciiTheme="majorHAnsi" w:eastAsia="Calibri" w:hAnsiTheme="majorHAnsi" w:cs="Calibri"/>
                <w:sz w:val="24"/>
                <w:szCs w:val="24"/>
                <w:lang w:val="ro-RO"/>
              </w:rPr>
              <w:t xml:space="preserve"> (1.554.560 </w:t>
            </w:r>
            <w:r w:rsidRPr="0037604E">
              <w:rPr>
                <w:rFonts w:ascii="Cambria" w:eastAsia="Calibri" w:hAnsi="Cambria" w:cs="Calibri"/>
                <w:sz w:val="24"/>
                <w:szCs w:val="24"/>
                <w:lang w:val="en-GB" w:eastAsia="en-US"/>
              </w:rPr>
              <w:t>thousand cm</w:t>
            </w:r>
            <w:r w:rsidRPr="0037604E">
              <w:rPr>
                <w:rFonts w:asciiTheme="majorHAnsi" w:eastAsia="Calibri" w:hAnsiTheme="majorHAnsi" w:cs="Calibri"/>
                <w:sz w:val="24"/>
                <w:szCs w:val="24"/>
                <w:lang w:val="ro-RO"/>
              </w:rPr>
              <w:t>);          -18,14%</w:t>
            </w:r>
          </w:p>
        </w:tc>
      </w:tr>
      <w:tr w:rsidR="0037604E" w:rsidRPr="0037604E" w:rsidTr="0037604E">
        <w:trPr>
          <w:trHeight w:val="353"/>
          <w:tblCellSpacing w:w="20" w:type="dxa"/>
        </w:trPr>
        <w:tc>
          <w:tcPr>
            <w:tcW w:w="9235" w:type="dxa"/>
            <w:vAlign w:val="center"/>
          </w:tcPr>
          <w:p w:rsidR="0037604E" w:rsidRPr="0037604E" w:rsidRDefault="0037604E" w:rsidP="0037604E">
            <w:pPr>
              <w:spacing w:after="0" w:line="240" w:lineRule="auto"/>
              <w:ind w:firstLine="0"/>
              <w:rPr>
                <w:rFonts w:ascii="Cambria" w:eastAsia="Calibri" w:hAnsi="Cambria" w:cs="Calibri"/>
                <w:sz w:val="24"/>
                <w:szCs w:val="24"/>
                <w:lang w:val="en-GB"/>
              </w:rPr>
            </w:pPr>
            <w:r w:rsidRPr="0037604E">
              <w:rPr>
                <w:rFonts w:ascii="Cambria" w:eastAsia="Calibri" w:hAnsi="Cambria" w:cs="Calibri"/>
                <w:sz w:val="24"/>
                <w:szCs w:val="24"/>
                <w:lang w:val="en-GB"/>
              </w:rPr>
              <w:t xml:space="preserve">reverse flow (Csanadpalota):                                      0 MWh    (0 </w:t>
            </w:r>
            <w:r w:rsidRPr="0037604E">
              <w:rPr>
                <w:rFonts w:ascii="Cambria" w:eastAsia="Calibri" w:hAnsi="Cambria" w:cs="Calibri"/>
                <w:sz w:val="24"/>
                <w:szCs w:val="24"/>
                <w:lang w:val="en-GB" w:eastAsia="en-US"/>
              </w:rPr>
              <w:t>thousand cm</w:t>
            </w:r>
            <w:r w:rsidRPr="0037604E">
              <w:rPr>
                <w:rFonts w:ascii="Cambria" w:eastAsia="Calibri" w:hAnsi="Cambria" w:cs="Calibri"/>
                <w:sz w:val="24"/>
                <w:szCs w:val="24"/>
                <w:lang w:val="en-GB"/>
              </w:rPr>
              <w:t>)          – 0%</w:t>
            </w:r>
          </w:p>
        </w:tc>
      </w:tr>
    </w:tbl>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p>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r w:rsidRPr="0037604E">
        <w:rPr>
          <w:rFonts w:ascii="Cambria" w:eastAsia="Calibri" w:hAnsi="Cambria" w:cs="Calibri"/>
          <w:sz w:val="24"/>
          <w:szCs w:val="24"/>
          <w:lang w:val="en-GB" w:eastAsia="en-US"/>
        </w:rPr>
        <w:t>The main beneficiaries of the domestic gas transmission service in 2016 are as follows:</w:t>
      </w:r>
    </w:p>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907"/>
        <w:gridCol w:w="2853"/>
        <w:gridCol w:w="2144"/>
      </w:tblGrid>
      <w:tr w:rsidR="0037604E" w:rsidRPr="0037604E" w:rsidTr="0037604E">
        <w:trPr>
          <w:trHeight w:val="384"/>
          <w:tblCellSpacing w:w="20" w:type="dxa"/>
          <w:jc w:val="center"/>
        </w:trPr>
        <w:tc>
          <w:tcPr>
            <w:tcW w:w="3837" w:type="dxa"/>
            <w:shd w:val="clear" w:color="auto" w:fill="D6E0F4"/>
            <w:vAlign w:val="center"/>
            <w:hideMark/>
          </w:tcPr>
          <w:p w:rsidR="0037604E" w:rsidRPr="0016420E" w:rsidRDefault="0037604E" w:rsidP="0037604E">
            <w:pPr>
              <w:spacing w:after="0" w:line="240" w:lineRule="auto"/>
              <w:ind w:firstLine="0"/>
              <w:jc w:val="center"/>
              <w:rPr>
                <w:rFonts w:asciiTheme="majorHAnsi" w:eastAsia="Calibri" w:hAnsiTheme="majorHAnsi" w:cs="Calibri"/>
                <w:b/>
                <w:bCs/>
                <w:sz w:val="18"/>
                <w:szCs w:val="18"/>
                <w:lang w:val="en-GB" w:eastAsia="en-US"/>
              </w:rPr>
            </w:pPr>
            <w:r w:rsidRPr="0016420E">
              <w:rPr>
                <w:rFonts w:asciiTheme="majorHAnsi" w:eastAsia="Calibri" w:hAnsiTheme="majorHAnsi" w:cs="Calibri"/>
                <w:b/>
                <w:bCs/>
                <w:sz w:val="18"/>
                <w:szCs w:val="18"/>
                <w:lang w:val="en-GB" w:eastAsia="en-US"/>
              </w:rPr>
              <w:t>Main users</w:t>
            </w:r>
          </w:p>
          <w:p w:rsidR="0037604E" w:rsidRPr="0037604E" w:rsidRDefault="0037604E" w:rsidP="0037604E">
            <w:pPr>
              <w:spacing w:after="0" w:line="240" w:lineRule="auto"/>
              <w:ind w:firstLine="0"/>
              <w:rPr>
                <w:rFonts w:asciiTheme="majorHAnsi" w:hAnsiTheme="majorHAnsi"/>
                <w:b/>
                <w:sz w:val="18"/>
              </w:rPr>
            </w:pPr>
            <w:r w:rsidRPr="0037604E">
              <w:rPr>
                <w:rFonts w:asciiTheme="majorHAnsi" w:eastAsia="Calibri" w:hAnsiTheme="majorHAnsi" w:cs="Calibri"/>
                <w:b/>
                <w:bCs/>
                <w:color w:val="FF0000"/>
                <w:sz w:val="18"/>
                <w:szCs w:val="18"/>
                <w:lang w:val="en-GB" w:eastAsia="en-US"/>
              </w:rPr>
              <w:t xml:space="preserve">                       </w:t>
            </w:r>
            <w:r w:rsidRPr="0037604E">
              <w:rPr>
                <w:rFonts w:asciiTheme="majorHAnsi" w:hAnsiTheme="majorHAnsi"/>
                <w:b/>
                <w:sz w:val="18"/>
              </w:rPr>
              <w:t xml:space="preserve">                   </w:t>
            </w:r>
            <w:r w:rsidRPr="0037604E">
              <w:rPr>
                <w:rFonts w:asciiTheme="majorHAnsi" w:eastAsia="Calibri" w:hAnsiTheme="majorHAnsi" w:cs="Calibri"/>
                <w:b/>
                <w:bCs/>
                <w:sz w:val="18"/>
                <w:szCs w:val="18"/>
                <w:lang w:eastAsia="en-US"/>
              </w:rPr>
              <w:t xml:space="preserve">2016            </w:t>
            </w:r>
          </w:p>
        </w:tc>
        <w:tc>
          <w:tcPr>
            <w:tcW w:w="0" w:type="auto"/>
            <w:shd w:val="clear" w:color="auto" w:fill="D6E0F4"/>
            <w:vAlign w:val="center"/>
            <w:hideMark/>
          </w:tcPr>
          <w:p w:rsidR="0037604E" w:rsidRPr="0016420E" w:rsidRDefault="0037604E" w:rsidP="0037604E">
            <w:pPr>
              <w:spacing w:after="0" w:line="240" w:lineRule="auto"/>
              <w:ind w:firstLine="0"/>
              <w:jc w:val="center"/>
              <w:rPr>
                <w:rFonts w:asciiTheme="majorHAnsi" w:hAnsiTheme="majorHAnsi"/>
                <w:b/>
                <w:sz w:val="18"/>
              </w:rPr>
            </w:pPr>
            <w:r w:rsidRPr="0016420E">
              <w:rPr>
                <w:rFonts w:asciiTheme="majorHAnsi" w:eastAsia="Calibri" w:hAnsiTheme="majorHAnsi" w:cs="Calibri"/>
                <w:b/>
                <w:bCs/>
                <w:sz w:val="18"/>
                <w:szCs w:val="18"/>
                <w:lang w:val="en-GB" w:eastAsia="en-US"/>
              </w:rPr>
              <w:t>Invoiced value without the VAT</w:t>
            </w:r>
            <w:r w:rsidRPr="0016420E">
              <w:rPr>
                <w:rFonts w:asciiTheme="majorHAnsi" w:hAnsiTheme="majorHAnsi"/>
                <w:b/>
                <w:sz w:val="18"/>
              </w:rPr>
              <w:t xml:space="preserve">  </w:t>
            </w:r>
          </w:p>
          <w:p w:rsidR="0037604E" w:rsidRPr="0037604E" w:rsidRDefault="0037604E" w:rsidP="0037604E">
            <w:pPr>
              <w:spacing w:after="0" w:line="240" w:lineRule="auto"/>
              <w:ind w:firstLine="0"/>
              <w:jc w:val="center"/>
              <w:rPr>
                <w:rFonts w:asciiTheme="majorHAnsi" w:hAnsiTheme="majorHAnsi"/>
                <w:b/>
                <w:sz w:val="18"/>
              </w:rPr>
            </w:pPr>
            <w:r w:rsidRPr="0037604E">
              <w:rPr>
                <w:rFonts w:asciiTheme="majorHAnsi" w:eastAsia="Calibri" w:hAnsiTheme="majorHAnsi" w:cs="Calibri"/>
                <w:b/>
                <w:bCs/>
                <w:sz w:val="18"/>
                <w:szCs w:val="18"/>
                <w:lang w:eastAsia="en-US"/>
              </w:rPr>
              <w:t>2016</w:t>
            </w:r>
            <w:r w:rsidRPr="0037604E">
              <w:rPr>
                <w:rFonts w:asciiTheme="majorHAnsi" w:hAnsiTheme="majorHAnsi"/>
                <w:b/>
                <w:sz w:val="18"/>
              </w:rPr>
              <w:t xml:space="preserve">  (RON)</w:t>
            </w:r>
          </w:p>
        </w:tc>
        <w:tc>
          <w:tcPr>
            <w:tcW w:w="2084" w:type="dxa"/>
            <w:shd w:val="clear" w:color="auto" w:fill="D6E0F4"/>
            <w:vAlign w:val="center"/>
          </w:tcPr>
          <w:p w:rsidR="0037604E" w:rsidRPr="0037604E" w:rsidRDefault="0037604E" w:rsidP="0037604E">
            <w:pPr>
              <w:spacing w:after="0" w:line="240" w:lineRule="auto"/>
              <w:ind w:firstLine="0"/>
              <w:jc w:val="center"/>
              <w:rPr>
                <w:rFonts w:asciiTheme="majorHAnsi" w:hAnsiTheme="majorHAnsi"/>
                <w:b/>
                <w:sz w:val="18"/>
              </w:rPr>
            </w:pPr>
            <w:r w:rsidRPr="0037604E">
              <w:rPr>
                <w:rFonts w:asciiTheme="majorHAnsi" w:hAnsiTheme="majorHAnsi"/>
                <w:b/>
                <w:sz w:val="18"/>
              </w:rPr>
              <w:t>%</w:t>
            </w:r>
          </w:p>
        </w:tc>
      </w:tr>
      <w:tr w:rsidR="0037604E" w:rsidRPr="0037604E" w:rsidTr="0037604E">
        <w:trPr>
          <w:trHeight w:val="190"/>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 xml:space="preserve">GDF SUEZ </w:t>
            </w:r>
            <w:r w:rsidRPr="0037604E">
              <w:rPr>
                <w:rFonts w:asciiTheme="majorHAnsi" w:hAnsiTheme="majorHAnsi"/>
                <w:b/>
                <w:sz w:val="18"/>
                <w:lang w:val="ro-RO"/>
              </w:rPr>
              <w:t>ENERGY</w:t>
            </w:r>
            <w:r w:rsidRPr="0037604E">
              <w:rPr>
                <w:rFonts w:asciiTheme="majorHAnsi" w:eastAsia="Calibri" w:hAnsiTheme="majorHAnsi" w:cs="Arial"/>
                <w:b/>
                <w:bCs/>
                <w:sz w:val="18"/>
                <w:szCs w:val="18"/>
                <w:lang w:val="ro-RO" w:eastAsia="en-US"/>
              </w:rPr>
              <w:t xml:space="preserve"> (ENGIE)</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405.696.158,10</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29,82</w:t>
            </w:r>
            <w:r w:rsidRPr="0037604E">
              <w:rPr>
                <w:rFonts w:asciiTheme="majorHAnsi" w:hAnsiTheme="majorHAnsi"/>
                <w:sz w:val="18"/>
                <w:lang w:val="ro-RO"/>
              </w:rPr>
              <w:t>%</w:t>
            </w:r>
          </w:p>
        </w:tc>
      </w:tr>
      <w:tr w:rsidR="0037604E" w:rsidRPr="0037604E" w:rsidTr="0037604E">
        <w:trPr>
          <w:trHeight w:val="67"/>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 xml:space="preserve">E.ON ENERGIE </w:t>
            </w:r>
            <w:r w:rsidRPr="0037604E">
              <w:rPr>
                <w:rFonts w:asciiTheme="majorHAnsi" w:eastAsia="Calibri" w:hAnsiTheme="majorHAnsi" w:cs="Arial"/>
                <w:b/>
                <w:bCs/>
                <w:color w:val="000000"/>
                <w:sz w:val="18"/>
                <w:szCs w:val="18"/>
                <w:lang w:val="ro-RO" w:eastAsia="en-US"/>
              </w:rPr>
              <w:t>ROMANIA</w:t>
            </w:r>
            <w:r w:rsidRPr="0037604E">
              <w:rPr>
                <w:rFonts w:asciiTheme="majorHAnsi" w:hAnsiTheme="majorHAnsi"/>
                <w:b/>
                <w:color w:val="000000"/>
                <w:sz w:val="18"/>
                <w:lang w:val="ro-RO"/>
              </w:rPr>
              <w:t xml:space="preserve"> </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340.361.979,62</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25,02</w:t>
            </w:r>
            <w:r w:rsidRPr="0037604E">
              <w:rPr>
                <w:rFonts w:asciiTheme="majorHAnsi" w:hAnsiTheme="majorHAnsi"/>
                <w:sz w:val="18"/>
                <w:lang w:val="ro-RO"/>
              </w:rPr>
              <w:t>%</w:t>
            </w:r>
          </w:p>
        </w:tc>
      </w:tr>
      <w:tr w:rsidR="0037604E" w:rsidRPr="0037604E" w:rsidTr="0037604E">
        <w:trPr>
          <w:trHeight w:val="94"/>
          <w:tblCellSpacing w:w="20" w:type="dxa"/>
          <w:jc w:val="center"/>
        </w:trPr>
        <w:tc>
          <w:tcPr>
            <w:tcW w:w="3837" w:type="dxa"/>
            <w:shd w:val="clear" w:color="auto" w:fill="auto"/>
            <w:noWrap/>
            <w:vAlign w:val="center"/>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 xml:space="preserve">OMV PETROM GAS  </w:t>
            </w:r>
            <w:r w:rsidRPr="0037604E">
              <w:rPr>
                <w:rFonts w:asciiTheme="majorHAnsi" w:eastAsia="Calibri" w:hAnsiTheme="majorHAnsi" w:cs="Arial"/>
                <w:b/>
                <w:bCs/>
                <w:color w:val="000000"/>
                <w:sz w:val="18"/>
                <w:szCs w:val="18"/>
                <w:lang w:val="ro-RO" w:eastAsia="en-US"/>
              </w:rPr>
              <w:t>BUCURESTI</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162.534.377,54</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11,95</w:t>
            </w:r>
            <w:r w:rsidRPr="0037604E">
              <w:rPr>
                <w:rFonts w:asciiTheme="majorHAnsi" w:hAnsiTheme="majorHAnsi"/>
                <w:sz w:val="18"/>
                <w:lang w:val="ro-RO"/>
              </w:rPr>
              <w:t>%</w:t>
            </w:r>
          </w:p>
        </w:tc>
      </w:tr>
      <w:tr w:rsidR="0037604E" w:rsidRPr="0037604E" w:rsidTr="0037604E">
        <w:trPr>
          <w:trHeight w:val="156"/>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 xml:space="preserve">ROMGAZ  SA. </w:t>
            </w:r>
            <w:r w:rsidRPr="0037604E">
              <w:rPr>
                <w:rFonts w:asciiTheme="majorHAnsi" w:eastAsia="Calibri" w:hAnsiTheme="majorHAnsi" w:cs="Arial"/>
                <w:b/>
                <w:bCs/>
                <w:color w:val="000000"/>
                <w:sz w:val="18"/>
                <w:szCs w:val="18"/>
                <w:lang w:val="ro-RO" w:eastAsia="en-US"/>
              </w:rPr>
              <w:t xml:space="preserve">MEDIAS </w:t>
            </w:r>
            <w:r w:rsidRPr="0037604E">
              <w:rPr>
                <w:rFonts w:asciiTheme="majorHAnsi" w:hAnsiTheme="majorHAnsi"/>
                <w:b/>
                <w:color w:val="000000"/>
                <w:sz w:val="18"/>
                <w:lang w:val="ro-RO"/>
              </w:rPr>
              <w:t xml:space="preserve">      </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114.327.656,23</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8,40</w:t>
            </w:r>
            <w:r w:rsidRPr="0037604E">
              <w:rPr>
                <w:rFonts w:asciiTheme="majorHAnsi" w:hAnsiTheme="majorHAnsi"/>
                <w:sz w:val="18"/>
                <w:lang w:val="ro-RO"/>
              </w:rPr>
              <w:t>%</w:t>
            </w:r>
          </w:p>
        </w:tc>
      </w:tr>
      <w:tr w:rsidR="0037604E" w:rsidRPr="0037604E" w:rsidTr="0037604E">
        <w:trPr>
          <w:trHeight w:val="208"/>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 xml:space="preserve">ELECTROCENTRALE  </w:t>
            </w:r>
            <w:r w:rsidRPr="0037604E">
              <w:rPr>
                <w:rFonts w:asciiTheme="majorHAnsi" w:eastAsia="Calibri" w:hAnsiTheme="majorHAnsi" w:cs="Arial"/>
                <w:b/>
                <w:bCs/>
                <w:color w:val="000000"/>
                <w:sz w:val="18"/>
                <w:szCs w:val="18"/>
                <w:lang w:val="ro-RO" w:eastAsia="en-US"/>
              </w:rPr>
              <w:t>BUCURESTI</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114.301.252,51</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hAnsiTheme="majorHAnsi"/>
                <w:sz w:val="18"/>
                <w:lang w:val="ro-RO"/>
              </w:rPr>
              <w:t>8</w:t>
            </w:r>
            <w:r w:rsidRPr="0037604E">
              <w:rPr>
                <w:rFonts w:asciiTheme="majorHAnsi" w:eastAsia="Calibri" w:hAnsiTheme="majorHAnsi" w:cs="Arial"/>
                <w:sz w:val="18"/>
                <w:szCs w:val="18"/>
                <w:lang w:val="ro-RO" w:eastAsia="en-US"/>
              </w:rPr>
              <w:t>,40</w:t>
            </w:r>
            <w:r w:rsidRPr="0037604E">
              <w:rPr>
                <w:rFonts w:asciiTheme="majorHAnsi" w:hAnsiTheme="majorHAnsi"/>
                <w:sz w:val="18"/>
                <w:lang w:val="ro-RO"/>
              </w:rPr>
              <w:t>%</w:t>
            </w:r>
          </w:p>
        </w:tc>
      </w:tr>
      <w:tr w:rsidR="0037604E" w:rsidRPr="0037604E" w:rsidTr="0037604E">
        <w:trPr>
          <w:trHeight w:val="166"/>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hAnsiTheme="majorHAnsi"/>
                <w:b/>
                <w:color w:val="000000"/>
                <w:sz w:val="18"/>
                <w:lang w:val="ro-RO"/>
              </w:rPr>
              <w:t>AZOMURES TG.</w:t>
            </w:r>
            <w:r w:rsidRPr="0037604E">
              <w:rPr>
                <w:rFonts w:asciiTheme="majorHAnsi" w:eastAsia="Calibri" w:hAnsiTheme="majorHAnsi" w:cs="Arial"/>
                <w:b/>
                <w:bCs/>
                <w:color w:val="000000"/>
                <w:sz w:val="18"/>
                <w:szCs w:val="18"/>
                <w:lang w:val="ro-RO" w:eastAsia="en-US"/>
              </w:rPr>
              <w:t>MURES</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68.898.024,03</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5,06</w:t>
            </w:r>
            <w:r w:rsidRPr="0037604E">
              <w:rPr>
                <w:rFonts w:asciiTheme="majorHAnsi" w:hAnsiTheme="majorHAnsi"/>
                <w:sz w:val="18"/>
                <w:lang w:val="ro-RO"/>
              </w:rPr>
              <w:t>%</w:t>
            </w:r>
          </w:p>
        </w:tc>
      </w:tr>
      <w:tr w:rsidR="0037604E" w:rsidRPr="0037604E" w:rsidTr="0037604E">
        <w:trPr>
          <w:trHeight w:val="138"/>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000000"/>
                <w:sz w:val="18"/>
                <w:lang w:val="ro-RO"/>
              </w:rPr>
            </w:pPr>
            <w:r w:rsidRPr="0037604E">
              <w:rPr>
                <w:rFonts w:asciiTheme="majorHAnsi" w:eastAsia="Calibri" w:hAnsiTheme="majorHAnsi" w:cs="Arial"/>
                <w:b/>
                <w:bCs/>
                <w:color w:val="000000"/>
                <w:sz w:val="18"/>
                <w:szCs w:val="18"/>
                <w:lang w:val="ro-RO" w:eastAsia="en-US"/>
              </w:rPr>
              <w:t>C-GAZ &amp; ENERGY DISTRIBUTIE</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20.624.138,82</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1,52</w:t>
            </w:r>
            <w:r w:rsidRPr="0037604E">
              <w:rPr>
                <w:rFonts w:asciiTheme="majorHAnsi" w:hAnsiTheme="majorHAnsi"/>
                <w:sz w:val="18"/>
                <w:lang w:val="ro-RO"/>
              </w:rPr>
              <w:t>%</w:t>
            </w:r>
          </w:p>
        </w:tc>
      </w:tr>
      <w:tr w:rsidR="0037604E" w:rsidRPr="0037604E" w:rsidTr="0037604E">
        <w:trPr>
          <w:trHeight w:val="60"/>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eastAsia="Calibri" w:hAnsiTheme="majorHAnsi" w:cs="Arial"/>
                <w:b/>
                <w:bCs/>
                <w:color w:val="000000"/>
                <w:sz w:val="18"/>
                <w:szCs w:val="18"/>
                <w:lang w:val="ro-RO" w:eastAsia="en-US"/>
              </w:rPr>
            </w:pPr>
            <w:r w:rsidRPr="0037604E">
              <w:rPr>
                <w:rFonts w:asciiTheme="majorHAnsi" w:eastAsia="Calibri" w:hAnsiTheme="majorHAnsi" w:cs="Arial"/>
                <w:b/>
                <w:bCs/>
                <w:color w:val="000000"/>
                <w:sz w:val="18"/>
                <w:szCs w:val="18"/>
                <w:lang w:val="ro-RO" w:eastAsia="en-US"/>
              </w:rPr>
              <w:t>CONEF GAZ BUCURESTI</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eastAsia="Calibri" w:hAnsiTheme="majorHAnsi" w:cs="Arial"/>
                <w:sz w:val="18"/>
                <w:szCs w:val="18"/>
                <w:lang w:val="ro-RO" w:eastAsia="en-US"/>
              </w:rPr>
            </w:pPr>
            <w:r w:rsidRPr="0037604E">
              <w:rPr>
                <w:rFonts w:asciiTheme="majorHAnsi" w:eastAsia="Calibri" w:hAnsiTheme="majorHAnsi" w:cs="Arial"/>
                <w:sz w:val="18"/>
                <w:szCs w:val="18"/>
                <w:lang w:val="ro-RO" w:eastAsia="en-US"/>
              </w:rPr>
              <w:t>19.735.796,77</w:t>
            </w:r>
          </w:p>
        </w:tc>
        <w:tc>
          <w:tcPr>
            <w:tcW w:w="2084" w:type="dxa"/>
            <w:vAlign w:val="bottom"/>
          </w:tcPr>
          <w:p w:rsidR="0037604E" w:rsidRPr="0037604E" w:rsidRDefault="0037604E" w:rsidP="0037604E">
            <w:pPr>
              <w:spacing w:after="0" w:line="240" w:lineRule="auto"/>
              <w:ind w:firstLine="0"/>
              <w:jc w:val="right"/>
              <w:rPr>
                <w:rFonts w:asciiTheme="majorHAnsi" w:eastAsia="Calibri" w:hAnsiTheme="majorHAnsi" w:cs="Arial"/>
                <w:sz w:val="18"/>
                <w:szCs w:val="18"/>
                <w:lang w:val="ro-RO" w:eastAsia="en-US"/>
              </w:rPr>
            </w:pPr>
            <w:r w:rsidRPr="0037604E">
              <w:rPr>
                <w:rFonts w:asciiTheme="majorHAnsi" w:eastAsia="Calibri" w:hAnsiTheme="majorHAnsi" w:cs="Arial"/>
                <w:sz w:val="18"/>
                <w:szCs w:val="18"/>
                <w:lang w:val="ro-RO" w:eastAsia="en-US"/>
              </w:rPr>
              <w:t>1,45%</w:t>
            </w:r>
          </w:p>
        </w:tc>
      </w:tr>
      <w:tr w:rsidR="0037604E" w:rsidRPr="0037604E" w:rsidTr="0037604E">
        <w:trPr>
          <w:trHeight w:val="208"/>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sz w:val="18"/>
                <w:lang w:val="ro-RO"/>
              </w:rPr>
            </w:pPr>
            <w:r w:rsidRPr="0037604E">
              <w:rPr>
                <w:rFonts w:asciiTheme="majorHAnsi" w:hAnsiTheme="majorHAnsi"/>
                <w:b/>
                <w:sz w:val="18"/>
                <w:lang w:val="ro-RO"/>
              </w:rPr>
              <w:t xml:space="preserve">WIEE </w:t>
            </w:r>
            <w:r w:rsidRPr="0037604E">
              <w:rPr>
                <w:rFonts w:asciiTheme="majorHAnsi" w:eastAsia="Calibri" w:hAnsiTheme="majorHAnsi" w:cs="Arial"/>
                <w:b/>
                <w:bCs/>
                <w:sz w:val="18"/>
                <w:szCs w:val="18"/>
                <w:lang w:val="ro-RO" w:eastAsia="en-US"/>
              </w:rPr>
              <w:t>ROMANIA</w:t>
            </w:r>
            <w:r w:rsidRPr="0037604E">
              <w:rPr>
                <w:rFonts w:asciiTheme="majorHAnsi" w:hAnsiTheme="majorHAnsi"/>
                <w:b/>
                <w:sz w:val="18"/>
                <w:lang w:val="ro-RO"/>
              </w:rPr>
              <w:t xml:space="preserve"> SRL </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12.749.663,43</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0,94</w:t>
            </w:r>
            <w:r w:rsidRPr="0037604E">
              <w:rPr>
                <w:rFonts w:asciiTheme="majorHAnsi" w:hAnsiTheme="majorHAnsi"/>
                <w:sz w:val="18"/>
                <w:lang w:val="ro-RO"/>
              </w:rPr>
              <w:t>%</w:t>
            </w:r>
          </w:p>
        </w:tc>
      </w:tr>
      <w:tr w:rsidR="0037604E" w:rsidRPr="0037604E" w:rsidTr="0037604E">
        <w:trPr>
          <w:trHeight w:val="208"/>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hAnsiTheme="majorHAnsi"/>
                <w:b/>
                <w:color w:val="7030A0"/>
                <w:sz w:val="18"/>
                <w:lang w:val="ro-RO"/>
              </w:rPr>
            </w:pPr>
            <w:r w:rsidRPr="0037604E">
              <w:rPr>
                <w:rFonts w:asciiTheme="majorHAnsi" w:eastAsia="Calibri" w:hAnsiTheme="majorHAnsi" w:cs="Arial"/>
                <w:b/>
                <w:bCs/>
                <w:color w:val="000000"/>
                <w:sz w:val="18"/>
                <w:szCs w:val="18"/>
                <w:lang w:val="ro-RO" w:eastAsia="en-US"/>
              </w:rPr>
              <w:t xml:space="preserve">CHEMGAS HOLDING </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9.487.638,82</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0,70</w:t>
            </w:r>
            <w:r w:rsidRPr="0037604E">
              <w:rPr>
                <w:rFonts w:asciiTheme="majorHAnsi" w:hAnsiTheme="majorHAnsi"/>
                <w:sz w:val="18"/>
                <w:lang w:val="ro-RO"/>
              </w:rPr>
              <w:t>%</w:t>
            </w:r>
          </w:p>
        </w:tc>
      </w:tr>
      <w:tr w:rsidR="0037604E" w:rsidRPr="0037604E" w:rsidTr="0037604E">
        <w:trPr>
          <w:trHeight w:val="208"/>
          <w:tblCellSpacing w:w="20" w:type="dxa"/>
          <w:jc w:val="center"/>
        </w:trPr>
        <w:tc>
          <w:tcPr>
            <w:tcW w:w="3837" w:type="dxa"/>
            <w:shd w:val="clear" w:color="auto" w:fill="auto"/>
            <w:noWrap/>
            <w:vAlign w:val="bottom"/>
          </w:tcPr>
          <w:p w:rsidR="0037604E" w:rsidRPr="0037604E" w:rsidRDefault="0037604E" w:rsidP="0037604E">
            <w:pPr>
              <w:spacing w:after="0" w:line="240" w:lineRule="auto"/>
              <w:ind w:firstLine="0"/>
              <w:rPr>
                <w:rFonts w:asciiTheme="majorHAnsi" w:eastAsia="Calibri" w:hAnsiTheme="majorHAnsi" w:cs="Arial"/>
                <w:b/>
                <w:bCs/>
                <w:sz w:val="18"/>
                <w:szCs w:val="18"/>
                <w:lang w:val="ro-RO" w:eastAsia="en-US"/>
              </w:rPr>
            </w:pPr>
            <w:r w:rsidRPr="0037604E">
              <w:rPr>
                <w:rFonts w:asciiTheme="majorHAnsi" w:eastAsia="Calibri" w:hAnsiTheme="majorHAnsi" w:cs="Arial"/>
                <w:b/>
                <w:bCs/>
                <w:sz w:val="18"/>
                <w:szCs w:val="18"/>
                <w:lang w:val="ro-RO" w:eastAsia="en-US"/>
              </w:rPr>
              <w:t>Alții</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eastAsia="Calibri" w:hAnsiTheme="majorHAnsi" w:cs="Arial"/>
                <w:sz w:val="18"/>
                <w:szCs w:val="18"/>
                <w:lang w:val="ro-RO" w:eastAsia="en-US"/>
              </w:rPr>
            </w:pPr>
            <w:r w:rsidRPr="0037604E">
              <w:rPr>
                <w:rFonts w:asciiTheme="majorHAnsi" w:eastAsia="Calibri" w:hAnsiTheme="majorHAnsi" w:cs="Arial"/>
                <w:sz w:val="18"/>
                <w:szCs w:val="18"/>
                <w:lang w:val="ro-RO" w:eastAsia="en-US"/>
              </w:rPr>
              <w:t>91.608.749,53</w:t>
            </w:r>
          </w:p>
        </w:tc>
        <w:tc>
          <w:tcPr>
            <w:tcW w:w="2084" w:type="dxa"/>
            <w:vAlign w:val="bottom"/>
          </w:tcPr>
          <w:p w:rsidR="0037604E" w:rsidRPr="0037604E" w:rsidRDefault="0037604E" w:rsidP="0037604E">
            <w:pPr>
              <w:spacing w:after="0" w:line="240" w:lineRule="auto"/>
              <w:ind w:firstLine="0"/>
              <w:jc w:val="right"/>
              <w:rPr>
                <w:rFonts w:asciiTheme="majorHAnsi" w:eastAsia="Calibri" w:hAnsiTheme="majorHAnsi" w:cs="Arial"/>
                <w:sz w:val="18"/>
                <w:szCs w:val="18"/>
                <w:lang w:val="ro-RO" w:eastAsia="en-US"/>
              </w:rPr>
            </w:pPr>
            <w:r w:rsidRPr="0037604E">
              <w:rPr>
                <w:rFonts w:asciiTheme="majorHAnsi" w:eastAsia="Calibri" w:hAnsiTheme="majorHAnsi" w:cs="Arial"/>
                <w:sz w:val="18"/>
                <w:szCs w:val="18"/>
                <w:lang w:val="ro-RO" w:eastAsia="en-US"/>
              </w:rPr>
              <w:t>6,73%</w:t>
            </w:r>
          </w:p>
        </w:tc>
      </w:tr>
      <w:tr w:rsidR="0037604E" w:rsidRPr="0037604E" w:rsidTr="0037604E">
        <w:trPr>
          <w:trHeight w:val="208"/>
          <w:tblCellSpacing w:w="20" w:type="dxa"/>
          <w:jc w:val="center"/>
        </w:trPr>
        <w:tc>
          <w:tcPr>
            <w:tcW w:w="3837" w:type="dxa"/>
            <w:shd w:val="clear" w:color="auto" w:fill="auto"/>
            <w:noWrap/>
            <w:vAlign w:val="center"/>
          </w:tcPr>
          <w:p w:rsidR="0037604E" w:rsidRPr="0037604E" w:rsidRDefault="0037604E" w:rsidP="0037604E">
            <w:pPr>
              <w:spacing w:after="0" w:line="240" w:lineRule="auto"/>
              <w:ind w:firstLine="0"/>
              <w:rPr>
                <w:rFonts w:asciiTheme="majorHAnsi" w:eastAsia="Calibri" w:hAnsiTheme="majorHAnsi" w:cs="Times New Roman"/>
                <w:color w:val="FF0000"/>
                <w:sz w:val="18"/>
                <w:szCs w:val="18"/>
                <w:lang w:eastAsia="en-US"/>
              </w:rPr>
            </w:pPr>
            <w:r w:rsidRPr="0037604E">
              <w:rPr>
                <w:rFonts w:asciiTheme="majorHAnsi" w:eastAsia="Calibri" w:hAnsiTheme="majorHAnsi" w:cs="Times New Roman"/>
                <w:sz w:val="18"/>
                <w:szCs w:val="18"/>
                <w:lang w:eastAsia="en-US"/>
              </w:rPr>
              <w:t>Total</w:t>
            </w:r>
          </w:p>
        </w:tc>
        <w:tc>
          <w:tcPr>
            <w:tcW w:w="0" w:type="auto"/>
            <w:shd w:val="clear" w:color="auto" w:fill="auto"/>
            <w:noWrap/>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1.360.325.435,39</w:t>
            </w:r>
          </w:p>
        </w:tc>
        <w:tc>
          <w:tcPr>
            <w:tcW w:w="2084" w:type="dxa"/>
            <w:vAlign w:val="bottom"/>
          </w:tcPr>
          <w:p w:rsidR="0037604E" w:rsidRPr="0037604E" w:rsidRDefault="0037604E" w:rsidP="0037604E">
            <w:pPr>
              <w:spacing w:after="0" w:line="240" w:lineRule="auto"/>
              <w:ind w:firstLine="0"/>
              <w:jc w:val="right"/>
              <w:rPr>
                <w:rFonts w:asciiTheme="majorHAnsi" w:hAnsiTheme="majorHAnsi"/>
                <w:sz w:val="18"/>
                <w:lang w:val="ro-RO"/>
              </w:rPr>
            </w:pPr>
            <w:r w:rsidRPr="0037604E">
              <w:rPr>
                <w:rFonts w:asciiTheme="majorHAnsi" w:eastAsia="Calibri" w:hAnsiTheme="majorHAnsi" w:cs="Arial"/>
                <w:sz w:val="18"/>
                <w:szCs w:val="18"/>
                <w:lang w:val="ro-RO" w:eastAsia="en-US"/>
              </w:rPr>
              <w:t>100,00</w:t>
            </w:r>
            <w:r w:rsidRPr="0037604E">
              <w:rPr>
                <w:rFonts w:asciiTheme="majorHAnsi" w:hAnsiTheme="majorHAnsi"/>
                <w:sz w:val="18"/>
                <w:lang w:val="ro-RO"/>
              </w:rPr>
              <w:t>%</w:t>
            </w:r>
          </w:p>
        </w:tc>
      </w:tr>
    </w:tbl>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p>
    <w:p w:rsidR="0037604E" w:rsidRPr="0037604E" w:rsidRDefault="0037604E" w:rsidP="0037604E">
      <w:pPr>
        <w:spacing w:after="0" w:line="240" w:lineRule="auto"/>
        <w:ind w:firstLine="0"/>
        <w:jc w:val="center"/>
        <w:rPr>
          <w:rFonts w:ascii="Cambria" w:hAnsi="Cambria"/>
          <w:b/>
          <w:i/>
          <w:color w:val="000000"/>
          <w:sz w:val="16"/>
          <w:lang w:val="en-GB"/>
        </w:rPr>
      </w:pPr>
      <w:r w:rsidRPr="0037604E">
        <w:rPr>
          <w:rFonts w:ascii="Cambria" w:hAnsi="Cambria"/>
          <w:b/>
          <w:i/>
          <w:color w:val="000000"/>
          <w:sz w:val="16"/>
          <w:lang w:val="en-GB"/>
        </w:rPr>
        <w:t xml:space="preserve">Table 22- </w:t>
      </w:r>
      <w:r w:rsidRPr="0037604E">
        <w:rPr>
          <w:rFonts w:ascii="Cambria" w:eastAsia="Times New Roman" w:hAnsi="Cambria" w:cs="Times New Roman"/>
          <w:b/>
          <w:i/>
          <w:sz w:val="16"/>
          <w:szCs w:val="16"/>
          <w:lang w:val="en-GB" w:eastAsia="ro-RO"/>
        </w:rPr>
        <w:t>The share of the main users of the NTS in 2016</w:t>
      </w:r>
    </w:p>
    <w:p w:rsidR="0037604E" w:rsidRPr="0037604E" w:rsidRDefault="0037604E" w:rsidP="0037604E">
      <w:pPr>
        <w:spacing w:after="0" w:line="240" w:lineRule="auto"/>
        <w:ind w:firstLine="0"/>
        <w:jc w:val="both"/>
        <w:rPr>
          <w:rFonts w:ascii="Cambria" w:eastAsia="Calibri" w:hAnsi="Cambria" w:cs="Calibri"/>
          <w:sz w:val="24"/>
          <w:szCs w:val="24"/>
          <w:lang w:val="en-GB" w:eastAsia="en-US"/>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120" w:line="25" w:lineRule="atLeast"/>
        <w:ind w:firstLine="0"/>
        <w:jc w:val="both"/>
        <w:rPr>
          <w:rFonts w:ascii="Cambria" w:eastAsia="Calibri" w:hAnsi="Cambria" w:cs="Calibri"/>
          <w:sz w:val="24"/>
          <w:szCs w:val="24"/>
          <w:lang w:val="en-GB" w:eastAsia="en-US"/>
        </w:rPr>
      </w:pPr>
      <w:r w:rsidRPr="0037604E">
        <w:rPr>
          <w:rFonts w:ascii="Cambria" w:eastAsia="Times New Roman" w:hAnsi="Cambria" w:cs="Cambria"/>
          <w:sz w:val="24"/>
          <w:szCs w:val="24"/>
          <w:lang w:val="en-GB"/>
        </w:rPr>
        <w:t>In order to cover NTS loss and for the own technological consumption in</w:t>
      </w:r>
      <w:r w:rsidRPr="0037604E">
        <w:rPr>
          <w:rFonts w:ascii="Cambria" w:eastAsia="Calibri" w:hAnsi="Cambria" w:cs="Calibri"/>
          <w:sz w:val="24"/>
          <w:szCs w:val="24"/>
          <w:lang w:val="en-GB" w:eastAsia="en-US"/>
        </w:rPr>
        <w:t xml:space="preserve"> 2016 Transgaz </w:t>
      </w:r>
      <w:r w:rsidRPr="0037604E">
        <w:rPr>
          <w:rFonts w:ascii="Cambria" w:eastAsia="Times New Roman" w:hAnsi="Cambria" w:cs="Cambria"/>
          <w:sz w:val="24"/>
          <w:szCs w:val="24"/>
          <w:lang w:val="en-GB"/>
        </w:rPr>
        <w:t xml:space="preserve">purchased </w:t>
      </w:r>
      <w:r w:rsidR="0016420E" w:rsidRPr="00276073">
        <w:rPr>
          <w:rFonts w:ascii="Cambria" w:eastAsia="Calibri" w:hAnsi="Cambria" w:cs="Calibri"/>
          <w:sz w:val="24"/>
          <w:szCs w:val="24"/>
          <w:lang w:val="en-GB" w:eastAsia="en-US"/>
        </w:rPr>
        <w:t xml:space="preserve">1.184.300 </w:t>
      </w:r>
      <w:r w:rsidRPr="00276073">
        <w:rPr>
          <w:rFonts w:ascii="Cambria" w:hAnsi="Cambria"/>
          <w:sz w:val="24"/>
          <w:lang w:val="en-GB"/>
        </w:rPr>
        <w:t>MWh (</w:t>
      </w:r>
      <w:r w:rsidR="0016420E" w:rsidRPr="00276073">
        <w:rPr>
          <w:rFonts w:ascii="Cambria" w:eastAsia="Calibri" w:hAnsi="Cambria" w:cs="Calibri"/>
          <w:sz w:val="24"/>
          <w:szCs w:val="24"/>
          <w:lang w:val="en-GB" w:eastAsia="en-US"/>
        </w:rPr>
        <w:t xml:space="preserve">108.874 </w:t>
      </w:r>
      <w:r w:rsidRPr="00276073">
        <w:rPr>
          <w:rFonts w:ascii="Cambria" w:eastAsia="Calibri" w:hAnsi="Cambria" w:cs="Calibri"/>
          <w:sz w:val="24"/>
          <w:szCs w:val="24"/>
          <w:lang w:val="en-GB" w:eastAsia="en-US"/>
        </w:rPr>
        <w:t>thousands cm)</w:t>
      </w:r>
      <w:r w:rsidRPr="00276073">
        <w:rPr>
          <w:rFonts w:ascii="Cambria" w:eastAsia="Calibri" w:hAnsi="Cambria" w:cs="Calibri"/>
          <w:b/>
          <w:sz w:val="24"/>
          <w:szCs w:val="24"/>
          <w:lang w:val="en-GB" w:eastAsia="en-US"/>
        </w:rPr>
        <w:t xml:space="preserve"> </w:t>
      </w:r>
      <w:r w:rsidRPr="0037604E">
        <w:rPr>
          <w:rFonts w:ascii="Cambria" w:eastAsia="Times New Roman" w:hAnsi="Cambria" w:cs="Cambria"/>
          <w:sz w:val="24"/>
          <w:szCs w:val="24"/>
          <w:lang w:val="en-GB"/>
        </w:rPr>
        <w:t>gas</w:t>
      </w:r>
      <w:r w:rsidRPr="0037604E">
        <w:rPr>
          <w:rFonts w:ascii="Cambria" w:eastAsia="Calibri" w:hAnsi="Cambria" w:cs="Calibri"/>
          <w:sz w:val="24"/>
          <w:szCs w:val="24"/>
          <w:lang w:val="en-GB" w:eastAsia="en-US"/>
        </w:rPr>
        <w:t>.</w:t>
      </w:r>
    </w:p>
    <w:p w:rsidR="0037604E" w:rsidRPr="0037604E" w:rsidRDefault="0037604E" w:rsidP="0037604E">
      <w:pPr>
        <w:spacing w:after="120" w:line="25" w:lineRule="atLeast"/>
        <w:ind w:firstLine="0"/>
        <w:jc w:val="both"/>
        <w:rPr>
          <w:rFonts w:ascii="Cambria" w:eastAsia="Times New Roman" w:hAnsi="Cambria" w:cs="Times New Roman"/>
          <w:b/>
          <w:i/>
          <w:sz w:val="16"/>
          <w:szCs w:val="16"/>
          <w:lang w:val="en-GB" w:eastAsia="ro-RO"/>
        </w:rPr>
      </w:pPr>
      <w:r w:rsidRPr="0037604E">
        <w:rPr>
          <w:noProof/>
          <w:lang w:val="ro-RO" w:eastAsia="ro-RO"/>
        </w:rPr>
        <w:drawing>
          <wp:inline distT="0" distB="0" distL="0" distR="0" wp14:anchorId="78B3B5E7" wp14:editId="2156462C">
            <wp:extent cx="5732145" cy="2952750"/>
            <wp:effectExtent l="0" t="0" r="190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7604E" w:rsidRPr="0037604E" w:rsidRDefault="0037604E" w:rsidP="0037604E">
      <w:pPr>
        <w:spacing w:after="120" w:line="300" w:lineRule="auto"/>
        <w:ind w:firstLine="0"/>
        <w:jc w:val="center"/>
        <w:rPr>
          <w:rFonts w:ascii="Cambria" w:eastAsia="Times New Roman" w:hAnsi="Cambria" w:cs="Cambria"/>
          <w:i/>
          <w:iCs/>
          <w:sz w:val="24"/>
          <w:szCs w:val="24"/>
          <w:lang w:val="en-GB"/>
        </w:rPr>
      </w:pPr>
      <w:r w:rsidRPr="0037604E">
        <w:rPr>
          <w:rFonts w:ascii="Cambria" w:eastAsia="Times New Roman" w:hAnsi="Cambria" w:cs="Times New Roman"/>
          <w:b/>
          <w:i/>
          <w:sz w:val="16"/>
          <w:szCs w:val="16"/>
          <w:lang w:val="en-GB" w:eastAsia="ro-RO"/>
        </w:rPr>
        <w:t xml:space="preserve">                  </w:t>
      </w:r>
    </w:p>
    <w:p w:rsidR="0037604E" w:rsidRPr="0037604E" w:rsidRDefault="0037604E" w:rsidP="0037604E">
      <w:pPr>
        <w:spacing w:after="120" w:line="300" w:lineRule="auto"/>
        <w:ind w:firstLine="0"/>
        <w:jc w:val="center"/>
        <w:rPr>
          <w:rFonts w:ascii="Calibri" w:eastAsia="Calibri" w:hAnsi="Calibri" w:cs="Calibri"/>
          <w:lang w:val="en-GB" w:eastAsia="en-US"/>
        </w:rPr>
      </w:pPr>
      <w:r w:rsidRPr="0037604E">
        <w:rPr>
          <w:rFonts w:ascii="Cambria" w:eastAsia="Times New Roman" w:hAnsi="Cambria" w:cs="Times New Roman"/>
          <w:b/>
          <w:i/>
          <w:sz w:val="16"/>
          <w:szCs w:val="16"/>
          <w:lang w:val="en-GB" w:eastAsia="ro-RO"/>
        </w:rPr>
        <w:t>Chart 28 - The share of the main users of the NTS in 2016</w:t>
      </w:r>
    </w:p>
    <w:p w:rsidR="0037604E" w:rsidRPr="00276073" w:rsidRDefault="0037604E" w:rsidP="0037604E">
      <w:pPr>
        <w:spacing w:after="120" w:line="25" w:lineRule="atLeast"/>
        <w:ind w:firstLine="0"/>
        <w:jc w:val="both"/>
        <w:rPr>
          <w:rFonts w:ascii="Cambria" w:eastAsia="Calibri" w:hAnsi="Cambria" w:cs="Calibri"/>
          <w:sz w:val="24"/>
          <w:szCs w:val="24"/>
          <w:lang w:val="en-GB" w:eastAsia="en-US"/>
        </w:rPr>
      </w:pPr>
      <w:r w:rsidRPr="00276073">
        <w:rPr>
          <w:rFonts w:ascii="Cambria" w:eastAsia="Times New Roman" w:hAnsi="Cambria" w:cs="Cambria"/>
          <w:sz w:val="24"/>
          <w:szCs w:val="24"/>
          <w:lang w:val="en-GB"/>
        </w:rPr>
        <w:t xml:space="preserve">Based on Report </w:t>
      </w:r>
      <w:r w:rsidRPr="00276073">
        <w:rPr>
          <w:rFonts w:ascii="Cambria" w:eastAsia="Calibri" w:hAnsi="Cambria" w:cs="Calibri"/>
          <w:sz w:val="24"/>
          <w:szCs w:val="24"/>
          <w:lang w:val="en-GB" w:eastAsia="en-US"/>
        </w:rPr>
        <w:t xml:space="preserve">DO </w:t>
      </w:r>
      <w:r w:rsidRPr="00276073">
        <w:rPr>
          <w:rFonts w:asciiTheme="majorHAnsi" w:eastAsia="Calibri" w:hAnsiTheme="majorHAnsi" w:cs="Calibri"/>
          <w:sz w:val="24"/>
          <w:szCs w:val="24"/>
          <w:lang w:val="ro-RO" w:eastAsia="en-US"/>
        </w:rPr>
        <w:t>1156/15</w:t>
      </w:r>
      <w:r w:rsidRPr="00276073">
        <w:rPr>
          <w:rFonts w:asciiTheme="majorHAnsi" w:hAnsiTheme="majorHAnsi"/>
          <w:sz w:val="24"/>
          <w:lang w:val="ro-RO"/>
        </w:rPr>
        <w:t>.04.201</w:t>
      </w:r>
      <w:r w:rsidRPr="00276073">
        <w:rPr>
          <w:rFonts w:asciiTheme="majorHAnsi" w:eastAsia="Calibri" w:hAnsiTheme="majorHAnsi" w:cs="Calibri"/>
          <w:sz w:val="24"/>
          <w:szCs w:val="24"/>
          <w:lang w:val="ro-RO" w:eastAsia="en-US"/>
        </w:rPr>
        <w:t>6</w:t>
      </w:r>
      <w:r w:rsidRPr="00276073">
        <w:rPr>
          <w:rFonts w:ascii="Cambria" w:eastAsia="Calibri" w:hAnsi="Cambria" w:cs="Calibri"/>
          <w:sz w:val="24"/>
          <w:szCs w:val="24"/>
          <w:lang w:val="en-GB" w:eastAsia="en-US"/>
        </w:rPr>
        <w:t xml:space="preserve">, approved by the Board of Administration by Resolution 14/2016 </w:t>
      </w:r>
      <w:r w:rsidRPr="00276073">
        <w:rPr>
          <w:rFonts w:ascii="Cambria" w:eastAsia="Times New Roman" w:hAnsi="Cambria" w:cs="Cambria"/>
          <w:sz w:val="24"/>
          <w:szCs w:val="24"/>
          <w:lang w:val="en-GB"/>
        </w:rPr>
        <w:t xml:space="preserve">underground storage capacity booking services amounting to </w:t>
      </w:r>
      <w:r w:rsidRPr="00276073">
        <w:rPr>
          <w:rFonts w:asciiTheme="majorHAnsi" w:eastAsia="Calibri" w:hAnsiTheme="majorHAnsi" w:cs="Calibri"/>
          <w:b/>
          <w:bCs/>
          <w:sz w:val="24"/>
          <w:szCs w:val="24"/>
          <w:lang w:val="ro-RO" w:eastAsia="en-US"/>
        </w:rPr>
        <w:lastRenderedPageBreak/>
        <w:t>372.750 MWh</w:t>
      </w:r>
      <w:r w:rsidRPr="00276073">
        <w:rPr>
          <w:rFonts w:ascii="Cambria" w:eastAsia="Times New Roman" w:hAnsi="Cambria" w:cs="Cambria"/>
          <w:sz w:val="24"/>
          <w:szCs w:val="24"/>
          <w:lang w:val="en-GB"/>
        </w:rPr>
        <w:t xml:space="preserve"> were contracted both for maintaining on stock</w:t>
      </w:r>
      <w:r w:rsidRPr="00276073">
        <w:rPr>
          <w:rFonts w:ascii="Cambria" w:eastAsia="Calibri" w:hAnsi="Cambria" w:cs="Calibri"/>
          <w:sz w:val="24"/>
          <w:szCs w:val="24"/>
          <w:lang w:val="en-GB" w:eastAsia="en-US"/>
        </w:rPr>
        <w:t xml:space="preserve"> </w:t>
      </w:r>
      <w:r w:rsidRPr="00276073">
        <w:rPr>
          <w:rFonts w:ascii="Cambria" w:eastAsia="Times New Roman" w:hAnsi="Cambria" w:cs="Cambria"/>
          <w:sz w:val="24"/>
          <w:szCs w:val="24"/>
          <w:lang w:val="en-GB"/>
        </w:rPr>
        <w:t xml:space="preserve">of gas from the previous cycle and for storing additional gas quantities necessary for NTS balancing activities performed by </w:t>
      </w:r>
      <w:r w:rsidRPr="00276073">
        <w:rPr>
          <w:rFonts w:asciiTheme="majorHAnsi" w:eastAsia="Calibri" w:hAnsiTheme="majorHAnsi" w:cs="Calibri"/>
          <w:sz w:val="24"/>
          <w:szCs w:val="24"/>
          <w:lang w:val="ro-RO" w:eastAsia="en-US"/>
        </w:rPr>
        <w:t xml:space="preserve">TRANSGAZ and </w:t>
      </w:r>
      <w:r w:rsidRPr="00276073">
        <w:rPr>
          <w:rFonts w:ascii="Cambria" w:eastAsia="Times New Roman" w:hAnsi="Cambria" w:cs="Cambria"/>
          <w:sz w:val="24"/>
          <w:szCs w:val="24"/>
          <w:lang w:val="en-GB"/>
        </w:rPr>
        <w:t>its safe operation</w:t>
      </w:r>
      <w:r w:rsidRPr="00276073">
        <w:rPr>
          <w:rFonts w:ascii="Cambria" w:eastAsia="Calibri" w:hAnsi="Cambria" w:cs="Calibri"/>
          <w:sz w:val="24"/>
          <w:szCs w:val="24"/>
          <w:lang w:val="en-GB" w:eastAsia="en-US"/>
        </w:rPr>
        <w:t>.</w:t>
      </w:r>
    </w:p>
    <w:p w:rsidR="0037604E" w:rsidRPr="0037604E" w:rsidRDefault="0037604E" w:rsidP="0037604E">
      <w:pPr>
        <w:tabs>
          <w:tab w:val="left" w:pos="9639"/>
        </w:tabs>
        <w:spacing w:after="0" w:line="240" w:lineRule="auto"/>
        <w:ind w:firstLine="0"/>
        <w:jc w:val="both"/>
        <w:rPr>
          <w:rFonts w:ascii="Cambria" w:eastAsia="Calibri" w:hAnsi="Cambria" w:cs="Times New Roman"/>
          <w:bCs/>
          <w:sz w:val="24"/>
          <w:szCs w:val="24"/>
          <w:lang w:val="en-GB" w:eastAsia="en-US"/>
        </w:rPr>
      </w:pPr>
      <w:r w:rsidRPr="0037604E">
        <w:rPr>
          <w:rFonts w:ascii="Cambria" w:eastAsia="Calibri" w:hAnsi="Cambria" w:cs="Times New Roman"/>
          <w:bCs/>
          <w:sz w:val="24"/>
          <w:szCs w:val="24"/>
          <w:lang w:val="en-GB" w:eastAsia="en-US"/>
        </w:rPr>
        <w:t xml:space="preserve">In 2016, following the measures taken with regard to the operation activity at the level of the </w:t>
      </w:r>
      <w:r w:rsidRPr="0037604E">
        <w:rPr>
          <w:rFonts w:ascii="Cambria" w:eastAsia="Calibri" w:hAnsi="Cambria" w:cs="Times New Roman"/>
          <w:b/>
          <w:bCs/>
          <w:i/>
          <w:sz w:val="24"/>
          <w:szCs w:val="24"/>
          <w:lang w:val="en-GB" w:eastAsia="en-US"/>
        </w:rPr>
        <w:t>National Gas Dispatching Centre</w:t>
      </w:r>
      <w:r w:rsidRPr="0037604E">
        <w:rPr>
          <w:rFonts w:ascii="Cambria" w:eastAsia="Calibri" w:hAnsi="Cambria" w:cs="Times New Roman"/>
          <w:bCs/>
          <w:sz w:val="24"/>
          <w:szCs w:val="24"/>
          <w:lang w:val="en-GB" w:eastAsia="en-US"/>
        </w:rPr>
        <w:t xml:space="preserve"> a series of activities were carried out. Thus: </w:t>
      </w:r>
    </w:p>
    <w:p w:rsidR="0037604E" w:rsidRPr="0037604E" w:rsidRDefault="0037604E" w:rsidP="0037604E">
      <w:pPr>
        <w:tabs>
          <w:tab w:val="left" w:pos="9639"/>
        </w:tabs>
        <w:spacing w:after="0" w:line="240" w:lineRule="auto"/>
        <w:ind w:firstLine="0"/>
        <w:jc w:val="both"/>
        <w:rPr>
          <w:rFonts w:ascii="Cambria" w:eastAsia="Calibri" w:hAnsi="Cambria" w:cs="Times New Roman"/>
          <w:bCs/>
          <w:sz w:val="24"/>
          <w:szCs w:val="24"/>
          <w:lang w:val="en-GB" w:eastAsia="en-US"/>
        </w:rPr>
      </w:pP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eastAsia="Calibri" w:hAnsi="Cambria" w:cs="Times New Roman"/>
          <w:bCs/>
          <w:sz w:val="24"/>
          <w:szCs w:val="24"/>
          <w:lang w:val="en-GB" w:eastAsia="en-US"/>
        </w:rPr>
        <w:t xml:space="preserve">NTS topology which underlied the implementation, through the SIMONE programme, of the hydraulic calculation model for the NTS, </w:t>
      </w:r>
      <w:r w:rsidRPr="0037604E">
        <w:rPr>
          <w:rFonts w:ascii="Cambria" w:hAnsi="Cambria" w:cs="Arial"/>
          <w:sz w:val="24"/>
          <w:szCs w:val="24"/>
          <w:lang w:val="en-GB"/>
        </w:rPr>
        <w:t xml:space="preserve">which involved drawing in AUTOCAD of over 13,000 km of pipeline (divided into approx. 6,000 sections), a total of approximately 8,800 points of topology, 3,262 isolation valve and 124 control valves, 1,111 NTS delivery points, 150 NTS entry points plus 40 simplified operating schemes for VCS, technological nodes and interconnections – </w:t>
      </w:r>
      <w:r w:rsidRPr="0037604E">
        <w:rPr>
          <w:rFonts w:asciiTheme="majorHAnsi" w:eastAsia="Calibri" w:hAnsiTheme="majorHAnsi" w:cs="Times New Roman"/>
          <w:sz w:val="24"/>
          <w:szCs w:val="24"/>
          <w:lang w:eastAsia="en-US"/>
        </w:rPr>
        <w:t>the last version was finalized in December 2015</w:t>
      </w:r>
      <w:r w:rsidRPr="0037604E">
        <w:rPr>
          <w:rFonts w:ascii="Cambria" w:hAnsi="Cambria" w:cs="Arial"/>
          <w:sz w:val="24"/>
          <w:szCs w:val="24"/>
          <w:lang w:val="en-GB"/>
        </w:rPr>
        <w:t xml:space="preserve">; </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Mapping SCADA instrumentation codes with the codes of the topology points and valves status register for the preparation of running the SIMONE simulator for calculating the NTS line-pack (LP) and its use in forecasting gas demand in the NTS for the next day for the preparation of the transmission programmes for the following day, etc .;</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 xml:space="preserve">Completion of preparatory works that will lead to the implementation of the Electronic Register of NTS parameters with data from SCADA </w:t>
      </w:r>
      <w:r w:rsidRPr="0037604E">
        <w:rPr>
          <w:rFonts w:asciiTheme="majorHAnsi" w:eastAsia="Calibri" w:hAnsiTheme="majorHAnsi" w:cs="Times New Roman"/>
          <w:sz w:val="24"/>
          <w:szCs w:val="24"/>
          <w:lang w:val="ro-RO" w:eastAsia="en-US"/>
        </w:rPr>
        <w:t xml:space="preserve">to be done by DTICSCADA. Subsequently the </w:t>
      </w:r>
      <w:r w:rsidRPr="0037604E">
        <w:rPr>
          <w:rFonts w:ascii="Cambria" w:hAnsi="Cambria" w:cs="Arial"/>
          <w:sz w:val="24"/>
          <w:szCs w:val="24"/>
          <w:lang w:val="en-GB"/>
        </w:rPr>
        <w:t>Electronic Registers for each Regional Office will be implemented;</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NTS LP calculation with the SIMONE simulator for the first time since 7 July this year, as a result of the actions of the DNGN Medias team. After this date this has become a routine activity within DNGN Medias. Currently NTS LP is calculated every 2 hours, meaning tht the entire DNGN is controlling this activity</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Completion of a web application for online monitoring of the NTS valves with the IT&amp; SCADA Department. The application was implemented. The personnel at the regional offices  ensuring SIMONE simulator LP calculation support by using the application was also trained ;</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Continued action to improve the calculation of the NTS LP by updating the topology and the calculation scheme (regional calibration activities depending on available SCADA data)</w:t>
      </w:r>
      <w:r w:rsidRPr="0037604E">
        <w:rPr>
          <w:rFonts w:asciiTheme="majorHAnsi" w:eastAsia="Calibri" w:hAnsiTheme="majorHAnsi" w:cs="Times New Roman"/>
          <w:sz w:val="24"/>
          <w:szCs w:val="24"/>
          <w:lang w:val="ro-RO" w:eastAsia="en-US"/>
        </w:rPr>
        <w:t xml:space="preserve"> That means that the calibration of the LP calculation was initiated</w:t>
      </w:r>
      <w:r w:rsidRPr="0037604E">
        <w:rPr>
          <w:rFonts w:ascii="Cambria" w:hAnsi="Cambria" w:cs="Arial"/>
          <w:sz w:val="24"/>
          <w:szCs w:val="24"/>
          <w:lang w:val="en-GB"/>
        </w:rPr>
        <w:t>;</w:t>
      </w:r>
    </w:p>
    <w:p w:rsidR="0037604E" w:rsidRPr="0037604E" w:rsidRDefault="0037604E" w:rsidP="00FA6EB9">
      <w:pPr>
        <w:numPr>
          <w:ilvl w:val="0"/>
          <w:numId w:val="20"/>
        </w:numPr>
        <w:spacing w:after="0" w:line="240" w:lineRule="auto"/>
        <w:jc w:val="both"/>
        <w:rPr>
          <w:rFonts w:asciiTheme="majorHAnsi" w:hAnsiTheme="majorHAnsi"/>
          <w:sz w:val="24"/>
          <w:lang w:val="ro-RO"/>
        </w:rPr>
      </w:pPr>
      <w:r w:rsidRPr="0037604E">
        <w:rPr>
          <w:rFonts w:asciiTheme="majorHAnsi" w:eastAsia="Calibri" w:hAnsiTheme="majorHAnsi" w:cs="Times New Roman"/>
          <w:sz w:val="24"/>
          <w:szCs w:val="24"/>
          <w:lang w:val="ro-RO" w:eastAsia="en-US"/>
        </w:rPr>
        <w:t>Reference values of the linepack were established in wintertime and subsequently for summertime;</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Preparation of regional balances analyses to detect the sources of error and non-conclusion of balances in those areas;</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Cooperation with the IT services for the implementation of a web application for validation and correction (if there is information available) of the SCADA data which are used at calculating the NTS to increase the efficiency of the calculation (decreasing the time required for calculation) by involving regional offices personnel in the validation of the data is in progress  ;</w:t>
      </w:r>
    </w:p>
    <w:p w:rsidR="0037604E" w:rsidRPr="0037604E" w:rsidRDefault="0037604E" w:rsidP="00FA6EB9">
      <w:pPr>
        <w:numPr>
          <w:ilvl w:val="0"/>
          <w:numId w:val="20"/>
        </w:numPr>
        <w:tabs>
          <w:tab w:val="left" w:pos="9639"/>
        </w:tabs>
        <w:spacing w:after="0" w:line="240" w:lineRule="auto"/>
        <w:contextualSpacing/>
        <w:jc w:val="both"/>
        <w:rPr>
          <w:rFonts w:ascii="Cambria" w:eastAsia="Calibri" w:hAnsi="Cambria" w:cs="Times New Roman"/>
          <w:bCs/>
          <w:sz w:val="24"/>
          <w:szCs w:val="24"/>
          <w:lang w:val="en-GB" w:eastAsia="en-US"/>
        </w:rPr>
      </w:pPr>
      <w:r w:rsidRPr="0037604E">
        <w:rPr>
          <w:rFonts w:ascii="Cambria" w:hAnsi="Cambria" w:cs="Arial"/>
          <w:sz w:val="24"/>
          <w:szCs w:val="24"/>
          <w:lang w:val="en-GB"/>
        </w:rPr>
        <w:t>Implementation of the new methodology for calculating technological gas consumption for NTS works executed at filling and emptying the pipeline, failures, accidents, etc</w:t>
      </w:r>
    </w:p>
    <w:p w:rsidR="0037604E" w:rsidRPr="0037604E" w:rsidRDefault="0037604E" w:rsidP="0037604E">
      <w:pPr>
        <w:spacing w:after="120" w:line="25" w:lineRule="atLeast"/>
        <w:ind w:firstLine="0"/>
        <w:jc w:val="both"/>
        <w:rPr>
          <w:rFonts w:ascii="Cambria" w:eastAsia="Calibri" w:hAnsi="Cambria" w:cs="Calibri"/>
          <w:b/>
          <w:sz w:val="24"/>
          <w:szCs w:val="24"/>
          <w:lang w:val="en-GB" w:eastAsia="en-US"/>
        </w:rPr>
      </w:pPr>
    </w:p>
    <w:p w:rsidR="0037604E" w:rsidRPr="0037604E" w:rsidRDefault="0037604E" w:rsidP="0037604E">
      <w:pPr>
        <w:spacing w:after="120" w:line="25" w:lineRule="atLeast"/>
        <w:ind w:firstLine="0"/>
        <w:jc w:val="both"/>
        <w:rPr>
          <w:rFonts w:ascii="Cambria" w:eastAsia="Calibri" w:hAnsi="Cambria" w:cs="Calibri"/>
          <w:sz w:val="24"/>
          <w:szCs w:val="24"/>
          <w:lang w:val="en-GB" w:eastAsia="en-US"/>
        </w:rPr>
      </w:pPr>
      <w:r w:rsidRPr="0037604E">
        <w:rPr>
          <w:rFonts w:ascii="Cambria" w:eastAsia="Calibri" w:hAnsi="Cambria" w:cs="Calibri"/>
          <w:b/>
          <w:sz w:val="24"/>
          <w:szCs w:val="24"/>
          <w:lang w:val="en-GB" w:eastAsia="en-US"/>
        </w:rPr>
        <w:t xml:space="preserve">Other actions </w:t>
      </w:r>
      <w:r w:rsidRPr="0037604E">
        <w:rPr>
          <w:rFonts w:ascii="Cambria" w:eastAsia="Calibri" w:hAnsi="Cambria" w:cs="Calibri"/>
          <w:sz w:val="24"/>
          <w:szCs w:val="24"/>
          <w:lang w:val="en-GB" w:eastAsia="en-US"/>
        </w:rPr>
        <w:t>related to the operation activity in 2016:</w:t>
      </w:r>
    </w:p>
    <w:p w:rsidR="0037604E" w:rsidRPr="0037604E" w:rsidRDefault="0037604E" w:rsidP="00FA6EB9">
      <w:pPr>
        <w:numPr>
          <w:ilvl w:val="0"/>
          <w:numId w:val="34"/>
        </w:numPr>
        <w:spacing w:after="0" w:line="240" w:lineRule="auto"/>
        <w:ind w:left="450"/>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lastRenderedPageBreak/>
        <w:t xml:space="preserve">Daily/monthly determination and monitoring of the </w:t>
      </w:r>
      <w:r w:rsidRPr="0037604E">
        <w:rPr>
          <w:rFonts w:ascii="Cambria" w:eastAsia="Times New Roman" w:hAnsi="Cambria" w:cs="Calibri"/>
          <w:b/>
          <w:sz w:val="24"/>
          <w:szCs w:val="24"/>
          <w:lang w:val="en-GB" w:eastAsia="zh-CN"/>
        </w:rPr>
        <w:t xml:space="preserve">technological consumption in the NTS </w:t>
      </w:r>
      <w:r w:rsidRPr="0037604E">
        <w:rPr>
          <w:rFonts w:ascii="Cambria" w:eastAsia="Times New Roman" w:hAnsi="Cambria" w:cs="Calibri"/>
          <w:sz w:val="24"/>
          <w:szCs w:val="24"/>
          <w:lang w:val="en-GB" w:eastAsia="zh-CN"/>
        </w:rPr>
        <w:t>and regional offices and maintaining it within the approved percentage limit;</w:t>
      </w:r>
    </w:p>
    <w:p w:rsidR="0037604E" w:rsidRPr="0037604E" w:rsidRDefault="0037604E" w:rsidP="00FA6EB9">
      <w:pPr>
        <w:numPr>
          <w:ilvl w:val="0"/>
          <w:numId w:val="34"/>
        </w:numPr>
        <w:tabs>
          <w:tab w:val="left" w:pos="450"/>
        </w:tabs>
        <w:spacing w:after="0" w:line="240" w:lineRule="auto"/>
        <w:ind w:left="450" w:right="-106"/>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 xml:space="preserve">Participation in the work group for the amending/supplementation of intermediate Draft </w:t>
      </w:r>
      <w:r w:rsidRPr="0037604E">
        <w:rPr>
          <w:rFonts w:ascii="Cambria" w:eastAsia="Times New Roman" w:hAnsi="Cambria" w:cs="Calibri"/>
          <w:b/>
          <w:sz w:val="24"/>
          <w:szCs w:val="24"/>
          <w:lang w:val="en-GB" w:eastAsia="zh-CN"/>
        </w:rPr>
        <w:t>Network Code for the NTS</w:t>
      </w:r>
      <w:r w:rsidRPr="0037604E">
        <w:rPr>
          <w:rFonts w:ascii="Cambria" w:eastAsia="Times New Roman" w:hAnsi="Cambria" w:cs="Calibri"/>
          <w:sz w:val="24"/>
          <w:szCs w:val="24"/>
          <w:lang w:val="en-GB" w:eastAsia="zh-CN"/>
        </w:rPr>
        <w:t xml:space="preserve"> and amending of Code sections as agreed in the public consultation organized by ANRE together with the economic operators in the gas market and following ANRE`s decisions. </w:t>
      </w:r>
    </w:p>
    <w:p w:rsidR="0037604E" w:rsidRPr="0037604E" w:rsidRDefault="0037604E" w:rsidP="0037604E">
      <w:pPr>
        <w:spacing w:after="0" w:line="240" w:lineRule="auto"/>
        <w:ind w:left="450" w:right="-106" w:firstLine="0"/>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The modifications regarded mainly:</w:t>
      </w:r>
    </w:p>
    <w:p w:rsidR="0037604E" w:rsidRPr="0037604E" w:rsidRDefault="0037604E" w:rsidP="00FA6EB9">
      <w:pPr>
        <w:numPr>
          <w:ilvl w:val="0"/>
          <w:numId w:val="35"/>
        </w:numPr>
        <w:spacing w:after="0" w:line="240" w:lineRule="auto"/>
        <w:ind w:right="-106"/>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Offering the NU the possibility to submit nominations exceeding the capacity booked with the possibility to buy additional capacity at the daily product price;</w:t>
      </w:r>
    </w:p>
    <w:p w:rsidR="0037604E" w:rsidRPr="0037604E" w:rsidRDefault="0037604E" w:rsidP="00FA6EB9">
      <w:pPr>
        <w:numPr>
          <w:ilvl w:val="0"/>
          <w:numId w:val="35"/>
        </w:numPr>
        <w:spacing w:after="0" w:line="240" w:lineRule="auto"/>
        <w:ind w:right="-106"/>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Elimination of daily GTF and increasing GTF term at the end of the month (from 24 to 72 hours);</w:t>
      </w:r>
    </w:p>
    <w:p w:rsidR="0037604E" w:rsidRPr="0037604E" w:rsidRDefault="0037604E" w:rsidP="00FA6EB9">
      <w:pPr>
        <w:numPr>
          <w:ilvl w:val="0"/>
          <w:numId w:val="35"/>
        </w:numPr>
        <w:spacing w:after="0" w:line="240" w:lineRule="auto"/>
        <w:ind w:right="-106"/>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Changing of daily imbalance and capacity exceeding allowed tolerances from 2 % to 3%;</w:t>
      </w:r>
    </w:p>
    <w:p w:rsidR="0037604E" w:rsidRPr="0037604E" w:rsidRDefault="0037604E" w:rsidP="00FA6EB9">
      <w:pPr>
        <w:numPr>
          <w:ilvl w:val="0"/>
          <w:numId w:val="35"/>
        </w:numPr>
        <w:spacing w:after="0" w:line="240" w:lineRule="auto"/>
        <w:ind w:right="-106"/>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Changing the allocation methods at entry points from production facilities and at the enrty/exit points from storages;</w:t>
      </w:r>
    </w:p>
    <w:p w:rsidR="0037604E" w:rsidRPr="0037604E" w:rsidRDefault="0037604E" w:rsidP="00FA6EB9">
      <w:pPr>
        <w:numPr>
          <w:ilvl w:val="0"/>
          <w:numId w:val="35"/>
        </w:numPr>
        <w:spacing w:after="0" w:line="240" w:lineRule="auto"/>
        <w:ind w:right="-106"/>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Changing of the Report on the implementation of interim measures compliant with Regulation (EU) No. 312/2014 accordingly.</w:t>
      </w:r>
    </w:p>
    <w:p w:rsidR="0037604E" w:rsidRPr="0037604E" w:rsidRDefault="0037604E" w:rsidP="0037604E">
      <w:pPr>
        <w:tabs>
          <w:tab w:val="left" w:pos="450"/>
        </w:tabs>
        <w:spacing w:after="0" w:line="240" w:lineRule="auto"/>
        <w:ind w:left="450" w:right="-106" w:firstLine="0"/>
        <w:contextualSpacing/>
        <w:jc w:val="both"/>
        <w:rPr>
          <w:rFonts w:asciiTheme="majorHAnsi" w:eastAsia="Times New Roman" w:hAnsiTheme="majorHAnsi" w:cs="Calibri"/>
          <w:sz w:val="24"/>
          <w:szCs w:val="24"/>
          <w:lang w:val="ro-RO" w:eastAsia="zh-CN"/>
        </w:rPr>
      </w:pPr>
      <w:r w:rsidRPr="0037604E">
        <w:rPr>
          <w:rFonts w:asciiTheme="majorHAnsi" w:eastAsia="Times New Roman" w:hAnsiTheme="majorHAnsi" w:cs="Calibri"/>
          <w:sz w:val="24"/>
          <w:szCs w:val="24"/>
          <w:lang w:val="ro-RO" w:eastAsia="zh-CN"/>
        </w:rPr>
        <w:t>The debates on the text of the Code were not ended by the end of September 2015;</w:t>
      </w:r>
    </w:p>
    <w:p w:rsidR="0037604E" w:rsidRPr="0037604E" w:rsidRDefault="0037604E" w:rsidP="00FA6EB9">
      <w:pPr>
        <w:numPr>
          <w:ilvl w:val="0"/>
          <w:numId w:val="34"/>
        </w:numPr>
        <w:tabs>
          <w:tab w:val="left" w:pos="450"/>
        </w:tabs>
        <w:spacing w:after="0" w:line="240" w:lineRule="auto"/>
        <w:ind w:left="446"/>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Analysis of using the transmission  capacities in the Transit II and III pipelines for substantiating tariffs for the Isaccea II and Negru-Vodă II interconnection points for the future contracting of Transit II pipeline capacity, by auction, starting from 1 January 2016;</w:t>
      </w:r>
    </w:p>
    <w:p w:rsidR="0037604E" w:rsidRPr="0037604E" w:rsidRDefault="0037604E" w:rsidP="00FA6EB9">
      <w:pPr>
        <w:numPr>
          <w:ilvl w:val="0"/>
          <w:numId w:val="34"/>
        </w:numPr>
        <w:spacing w:after="0" w:line="240" w:lineRule="auto"/>
        <w:ind w:left="450" w:right="-106"/>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 xml:space="preserve">Performing </w:t>
      </w:r>
      <w:r w:rsidRPr="0037604E">
        <w:rPr>
          <w:rFonts w:ascii="Cambria" w:eastAsia="Times New Roman" w:hAnsi="Cambria" w:cs="Calibri"/>
          <w:b/>
          <w:sz w:val="24"/>
          <w:szCs w:val="24"/>
          <w:lang w:val="en-GB" w:eastAsia="zh-CN"/>
        </w:rPr>
        <w:t>bundled capacity auctions</w:t>
      </w:r>
      <w:r w:rsidRPr="0037604E">
        <w:rPr>
          <w:rFonts w:ascii="Cambria" w:eastAsia="Times New Roman" w:hAnsi="Cambria" w:cs="Calibri"/>
          <w:sz w:val="24"/>
          <w:szCs w:val="24"/>
          <w:lang w:val="en-GB" w:eastAsia="zh-CN"/>
        </w:rPr>
        <w:t xml:space="preserve"> at the Csanádpalota interconnection point in the first 3 quarters of 2015, according to the Auction Calendar agreed with FGSZ Zrt. under the TSO Cooperation and Membership Agreement;</w:t>
      </w:r>
    </w:p>
    <w:p w:rsidR="0037604E" w:rsidRPr="0037604E" w:rsidRDefault="0037604E" w:rsidP="00FA6EB9">
      <w:pPr>
        <w:numPr>
          <w:ilvl w:val="0"/>
          <w:numId w:val="22"/>
        </w:numPr>
        <w:spacing w:after="0" w:line="240" w:lineRule="auto"/>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 xml:space="preserve">The conclusion of NTS entry/exit physical points technological parameters agreements with the producers, distribution operators, underground storage operators, direct clients or their suppliers, according to Order </w:t>
      </w:r>
      <w:r w:rsidRPr="0037604E">
        <w:rPr>
          <w:rFonts w:asciiTheme="majorHAnsi" w:hAnsiTheme="majorHAnsi"/>
          <w:sz w:val="24"/>
          <w:lang w:val="ro-RO"/>
        </w:rPr>
        <w:t xml:space="preserve">79/30.10.2014 of the ANRE President, at the basis of the transmission contracts concluded with the network users, in a proportion of up to approximately 98%; </w:t>
      </w:r>
    </w:p>
    <w:p w:rsidR="0037604E" w:rsidRPr="0037604E" w:rsidRDefault="0037604E" w:rsidP="00FA6EB9">
      <w:pPr>
        <w:numPr>
          <w:ilvl w:val="0"/>
          <w:numId w:val="22"/>
        </w:numPr>
        <w:spacing w:after="0" w:line="240" w:lineRule="auto"/>
        <w:jc w:val="both"/>
        <w:rPr>
          <w:rFonts w:asciiTheme="majorHAnsi" w:eastAsia="Times New Roman" w:hAnsiTheme="majorHAnsi" w:cs="Calibri"/>
          <w:b/>
          <w:sz w:val="24"/>
          <w:szCs w:val="24"/>
          <w:lang w:val="en-GB" w:eastAsia="zh-CN"/>
        </w:rPr>
      </w:pPr>
      <w:r w:rsidRPr="0037604E">
        <w:rPr>
          <w:rFonts w:asciiTheme="majorHAnsi" w:eastAsia="Times New Roman" w:hAnsiTheme="majorHAnsi" w:cs="Calibri"/>
          <w:sz w:val="24"/>
          <w:szCs w:val="24"/>
          <w:lang w:val="en-GB" w:eastAsia="zh-CN"/>
        </w:rPr>
        <w:t>Actions regarding the</w:t>
      </w:r>
      <w:r w:rsidRPr="0037604E">
        <w:rPr>
          <w:rFonts w:asciiTheme="majorHAnsi" w:eastAsia="Times New Roman" w:hAnsiTheme="majorHAnsi" w:cs="Calibri"/>
          <w:b/>
          <w:sz w:val="24"/>
          <w:szCs w:val="24"/>
          <w:lang w:val="en-GB" w:eastAsia="zh-CN"/>
        </w:rPr>
        <w:t xml:space="preserve"> fulfilment of the transparency requirements stipulated in Regulation (EC) no. 715 /2009</w:t>
      </w:r>
    </w:p>
    <w:p w:rsidR="0037604E" w:rsidRPr="0037604E" w:rsidRDefault="0037604E" w:rsidP="00FA6EB9">
      <w:pPr>
        <w:numPr>
          <w:ilvl w:val="1"/>
          <w:numId w:val="21"/>
        </w:numPr>
        <w:spacing w:after="0" w:line="240" w:lineRule="auto"/>
        <w:contextualSpacing/>
        <w:jc w:val="both"/>
        <w:rPr>
          <w:rFonts w:asciiTheme="majorHAnsi" w:eastAsia="Times New Roman" w:hAnsiTheme="majorHAnsi" w:cs="Calibri"/>
          <w:sz w:val="24"/>
          <w:szCs w:val="24"/>
          <w:lang w:val="en-GB" w:eastAsia="zh-CN"/>
        </w:rPr>
      </w:pPr>
      <w:r w:rsidRPr="0037604E">
        <w:rPr>
          <w:rFonts w:asciiTheme="majorHAnsi" w:eastAsia="Times New Roman" w:hAnsiTheme="majorHAnsi" w:cs="Calibri"/>
          <w:sz w:val="24"/>
          <w:szCs w:val="24"/>
          <w:lang w:val="en-GB" w:eastAsia="zh-CN"/>
        </w:rPr>
        <w:t>implementation of new requirements regarding the publishing of the technical capacities booked and available according to the modifications under Decision (EU) 2015/30.04.2015, by increasing the time horizon from 18 to 24 months, both on Transgaz`s and on ENTSOG`s web sites;</w:t>
      </w:r>
    </w:p>
    <w:p w:rsidR="0037604E" w:rsidRPr="0037604E" w:rsidRDefault="0037604E" w:rsidP="00FA6EB9">
      <w:pPr>
        <w:numPr>
          <w:ilvl w:val="0"/>
          <w:numId w:val="36"/>
        </w:numPr>
        <w:spacing w:after="0" w:line="240" w:lineRule="auto"/>
        <w:ind w:left="360" w:hanging="270"/>
        <w:contextualSpacing/>
        <w:jc w:val="both"/>
        <w:rPr>
          <w:rFonts w:asciiTheme="majorHAnsi" w:eastAsia="Times New Roman" w:hAnsiTheme="majorHAnsi" w:cs="Calibri"/>
          <w:sz w:val="24"/>
          <w:szCs w:val="24"/>
          <w:lang w:val="en-GB" w:eastAsia="zh-CN"/>
        </w:rPr>
      </w:pPr>
      <w:r w:rsidRPr="0037604E">
        <w:rPr>
          <w:rFonts w:asciiTheme="majorHAnsi" w:eastAsia="Times New Roman" w:hAnsiTheme="majorHAnsi" w:cs="Calibri"/>
          <w:b/>
          <w:sz w:val="24"/>
          <w:szCs w:val="24"/>
          <w:lang w:val="en-GB" w:eastAsia="zh-CN"/>
        </w:rPr>
        <w:t>The daily calculation of the imbalances</w:t>
      </w:r>
      <w:r w:rsidRPr="0037604E">
        <w:rPr>
          <w:rFonts w:asciiTheme="majorHAnsi" w:eastAsia="Times New Roman" w:hAnsiTheme="majorHAnsi" w:cs="Calibri"/>
          <w:sz w:val="24"/>
          <w:szCs w:val="24"/>
          <w:lang w:val="en-GB" w:eastAsia="zh-CN"/>
        </w:rPr>
        <w:t xml:space="preserve"> and the monitoring of the main NU according to the provisions of Art. 64 (4) of the Network Code, approved by Order  16/2013 of the ANRE President.</w:t>
      </w:r>
    </w:p>
    <w:p w:rsidR="0037604E" w:rsidRPr="0037604E" w:rsidRDefault="0037604E" w:rsidP="0037604E">
      <w:pPr>
        <w:spacing w:after="0" w:line="240" w:lineRule="auto"/>
        <w:ind w:right="-106" w:firstLine="0"/>
        <w:contextualSpacing/>
        <w:jc w:val="both"/>
        <w:rPr>
          <w:rFonts w:ascii="Cambria" w:eastAsia="Times New Roman" w:hAnsi="Cambria" w:cs="Calibri"/>
          <w:sz w:val="24"/>
          <w:szCs w:val="24"/>
          <w:lang w:val="en-GB" w:eastAsia="zh-CN"/>
        </w:rPr>
      </w:pPr>
    </w:p>
    <w:p w:rsidR="0037604E" w:rsidRPr="0037604E" w:rsidRDefault="0037604E" w:rsidP="0037604E">
      <w:pPr>
        <w:spacing w:after="0" w:line="240" w:lineRule="auto"/>
        <w:ind w:right="-106" w:firstLine="0"/>
        <w:contextualSpacing/>
        <w:jc w:val="both"/>
        <w:rPr>
          <w:rFonts w:ascii="Cambria" w:eastAsia="Times New Roman" w:hAnsi="Cambria" w:cs="Calibri"/>
          <w:sz w:val="24"/>
          <w:szCs w:val="24"/>
          <w:lang w:val="en-GB" w:eastAsia="zh-CN"/>
        </w:rPr>
      </w:pPr>
      <w:r w:rsidRPr="0037604E">
        <w:rPr>
          <w:rFonts w:ascii="Cambria" w:eastAsia="Times New Roman" w:hAnsi="Cambria" w:cs="Calibri"/>
          <w:sz w:val="24"/>
          <w:szCs w:val="24"/>
          <w:lang w:val="en-GB" w:eastAsia="zh-CN"/>
        </w:rPr>
        <w:t>The quantity of gas transmitted through the transit pipelines in 2016 is</w:t>
      </w:r>
      <w:r w:rsidRPr="0037604E">
        <w:rPr>
          <w:rFonts w:asciiTheme="majorHAnsi" w:eastAsia="Calibri" w:hAnsiTheme="majorHAnsi" w:cs="Calibri"/>
          <w:b/>
          <w:sz w:val="24"/>
          <w:szCs w:val="24"/>
          <w:lang w:val="ro-RO" w:eastAsia="en-US"/>
        </w:rPr>
        <w:t>187.973.080,340 MWh</w:t>
      </w:r>
      <w:r w:rsidRPr="0037604E">
        <w:rPr>
          <w:rFonts w:asciiTheme="majorHAnsi" w:eastAsia="Calibri" w:hAnsiTheme="majorHAnsi" w:cs="Calibri"/>
          <w:sz w:val="24"/>
          <w:szCs w:val="24"/>
          <w:lang w:val="ro-RO" w:eastAsia="en-US"/>
        </w:rPr>
        <w:t xml:space="preserve"> (17.628.562,775 thousand cm)</w:t>
      </w:r>
      <w:r w:rsidRPr="0037604E">
        <w:rPr>
          <w:rFonts w:ascii="Cambria" w:eastAsia="Times New Roman" w:hAnsi="Cambria" w:cs="Calibri"/>
          <w:sz w:val="24"/>
          <w:szCs w:val="24"/>
          <w:lang w:val="en-GB" w:eastAsia="zh-CN"/>
        </w:rPr>
        <w:t>:</w:t>
      </w:r>
    </w:p>
    <w:p w:rsidR="0037604E" w:rsidRPr="0037604E" w:rsidRDefault="0037604E" w:rsidP="0037604E">
      <w:pPr>
        <w:spacing w:after="0" w:line="240" w:lineRule="auto"/>
        <w:ind w:firstLine="0"/>
        <w:contextualSpacing/>
        <w:jc w:val="both"/>
        <w:rPr>
          <w:rFonts w:asciiTheme="majorHAnsi" w:eastAsia="Times New Roman" w:hAnsiTheme="majorHAnsi" w:cs="Calibri"/>
          <w:sz w:val="24"/>
          <w:szCs w:val="24"/>
          <w:lang w:val="en-GB" w:eastAsia="zh-CN"/>
        </w:rPr>
      </w:pPr>
    </w:p>
    <w:p w:rsidR="0037604E" w:rsidRPr="0037604E" w:rsidRDefault="0037604E" w:rsidP="0037604E">
      <w:pPr>
        <w:spacing w:after="0" w:line="240" w:lineRule="auto"/>
        <w:ind w:left="720" w:firstLine="0"/>
        <w:contextualSpacing/>
        <w:jc w:val="both"/>
        <w:rPr>
          <w:rFonts w:asciiTheme="majorHAnsi" w:eastAsia="Times New Roman" w:hAnsiTheme="majorHAnsi" w:cs="Calibri"/>
          <w:sz w:val="24"/>
          <w:szCs w:val="24"/>
          <w:lang w:val="en-GB" w:eastAsia="zh-CN"/>
        </w:rPr>
      </w:pPr>
    </w:p>
    <w:p w:rsidR="0037604E" w:rsidRPr="0037604E" w:rsidRDefault="0037604E" w:rsidP="0037604E">
      <w:pPr>
        <w:shd w:val="clear" w:color="auto" w:fill="DBE5F1" w:themeFill="accent1" w:themeFillTint="33"/>
        <w:spacing w:after="0" w:line="240" w:lineRule="auto"/>
        <w:ind w:firstLine="0"/>
        <w:outlineLvl w:val="2"/>
        <w:rPr>
          <w:rFonts w:ascii="Cambria" w:hAnsi="Cambria" w:cstheme="majorBidi"/>
          <w:b/>
          <w:bCs/>
          <w:i/>
          <w:iCs/>
          <w:sz w:val="24"/>
          <w:szCs w:val="24"/>
          <w:lang w:val="en-GB"/>
        </w:rPr>
      </w:pPr>
      <w:bookmarkStart w:id="26" w:name="_Toc414263622"/>
      <w:bookmarkStart w:id="27" w:name="_Toc446310820"/>
      <w:r w:rsidRPr="0037604E">
        <w:rPr>
          <w:rFonts w:ascii="Cambria" w:hAnsi="Cambria" w:cstheme="majorBidi"/>
          <w:b/>
          <w:bCs/>
          <w:i/>
          <w:iCs/>
          <w:sz w:val="24"/>
          <w:szCs w:val="24"/>
          <w:lang w:val="en-GB"/>
        </w:rPr>
        <w:t>3</w:t>
      </w:r>
      <w:r w:rsidRPr="0037604E">
        <w:rPr>
          <w:rFonts w:ascii="Cambria" w:hAnsi="Cambria" w:cstheme="majorBidi"/>
          <w:b/>
          <w:bCs/>
          <w:i/>
          <w:iCs/>
          <w:sz w:val="24"/>
          <w:szCs w:val="24"/>
          <w:shd w:val="clear" w:color="auto" w:fill="DBE5F1" w:themeFill="accent1" w:themeFillTint="33"/>
          <w:lang w:val="en-GB"/>
        </w:rPr>
        <w:t xml:space="preserve">.1.3 </w:t>
      </w:r>
      <w:bookmarkEnd w:id="26"/>
      <w:r w:rsidRPr="0037604E">
        <w:rPr>
          <w:rFonts w:ascii="Cambria" w:eastAsia="Times New Roman" w:hAnsi="Cambria" w:cs="Cambria"/>
          <w:b/>
          <w:i/>
          <w:sz w:val="24"/>
          <w:szCs w:val="24"/>
          <w:lang w:val="en-GB"/>
        </w:rPr>
        <w:t>International gas transmission</w:t>
      </w:r>
      <w:bookmarkEnd w:id="27"/>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eastAsia="Calibri" w:hAnsiTheme="majorHAnsi" w:cs="DokChampa"/>
          <w:lang w:val="fr-FR" w:eastAsia="en-US"/>
        </w:rPr>
      </w:pPr>
      <w:r w:rsidRPr="0037604E">
        <w:rPr>
          <w:rFonts w:ascii="Cambria" w:eastAsia="Times New Roman" w:hAnsi="Cambria" w:cs="Times New Roman"/>
          <w:noProof/>
          <w:sz w:val="24"/>
          <w:szCs w:val="24"/>
          <w:lang w:val="ro-RO" w:eastAsia="ro-RO"/>
        </w:rPr>
        <w:lastRenderedPageBreak/>
        <w:drawing>
          <wp:anchor distT="0" distB="0" distL="114300" distR="114300" simplePos="0" relativeHeight="251958272" behindDoc="0" locked="0" layoutInCell="1" allowOverlap="1" wp14:anchorId="05CEC527" wp14:editId="686E215D">
            <wp:simplePos x="0" y="0"/>
            <wp:positionH relativeFrom="margin">
              <wp:posOffset>3483721</wp:posOffset>
            </wp:positionH>
            <wp:positionV relativeFrom="paragraph">
              <wp:posOffset>17077</wp:posOffset>
            </wp:positionV>
            <wp:extent cx="2006600" cy="27813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660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604E">
        <w:rPr>
          <w:rFonts w:ascii="Cambria" w:eastAsia="Times New Roman" w:hAnsi="Cambria" w:cs="Cambria"/>
          <w:b/>
          <w:bCs/>
          <w:sz w:val="24"/>
          <w:szCs w:val="24"/>
          <w:lang w:val="en-GB"/>
        </w:rPr>
        <w:t xml:space="preserve">The international gas transmission activity </w:t>
      </w:r>
      <w:r w:rsidRPr="0037604E">
        <w:rPr>
          <w:rFonts w:ascii="Cambria" w:eastAsia="Times New Roman" w:hAnsi="Cambria" w:cs="Cambria"/>
          <w:bCs/>
          <w:sz w:val="24"/>
          <w:szCs w:val="24"/>
          <w:lang w:val="en-GB"/>
        </w:rPr>
        <w:t>is performed by Transgaz based on gas transmission system operation licence no.</w:t>
      </w:r>
      <w:r w:rsidRPr="0037604E">
        <w:rPr>
          <w:rFonts w:asciiTheme="majorHAnsi" w:eastAsia="Calibri" w:hAnsiTheme="majorHAnsi" w:cs="DokChampa"/>
          <w:sz w:val="24"/>
          <w:szCs w:val="24"/>
          <w:lang w:val="fr-FR" w:eastAsia="en-US"/>
        </w:rPr>
        <w:t xml:space="preserve"> 1933/20.12.2013, issued by the National Energy Regulatory Authority (ANRE),</w:t>
      </w:r>
      <w:r w:rsidRPr="0037604E">
        <w:rPr>
          <w:rFonts w:asciiTheme="majorHAnsi" w:eastAsia="Calibri" w:hAnsiTheme="majorHAnsi" w:cs="DokChampa"/>
          <w:sz w:val="24"/>
          <w:szCs w:val="24"/>
          <w:lang w:val="ro-RO" w:eastAsia="en-US"/>
        </w:rPr>
        <w:t xml:space="preserve"> </w:t>
      </w:r>
      <w:r w:rsidRPr="0037604E">
        <w:rPr>
          <w:rFonts w:asciiTheme="majorHAnsi" w:eastAsia="Calibri" w:hAnsiTheme="majorHAnsi" w:cs="DokChampa"/>
          <w:sz w:val="24"/>
          <w:szCs w:val="24"/>
          <w:lang w:val="fr-FR" w:eastAsia="en-US"/>
        </w:rPr>
        <w:t>valid until 08.07.203</w:t>
      </w:r>
      <w:r w:rsidRPr="0037604E">
        <w:rPr>
          <w:rFonts w:asciiTheme="majorHAnsi" w:eastAsia="Calibri" w:hAnsiTheme="majorHAnsi" w:cs="DokChampa"/>
          <w:lang w:val="fr-FR" w:eastAsia="en-US"/>
        </w:rPr>
        <w:t>2.</w:t>
      </w:r>
    </w:p>
    <w:p w:rsidR="0037604E" w:rsidRPr="0037604E" w:rsidRDefault="0037604E" w:rsidP="0037604E">
      <w:pPr>
        <w:spacing w:after="0" w:line="240" w:lineRule="auto"/>
        <w:ind w:firstLine="0"/>
        <w:jc w:val="both"/>
        <w:rPr>
          <w:rFonts w:asciiTheme="majorHAnsi" w:eastAsia="Calibri" w:hAnsiTheme="majorHAnsi" w:cs="DokChampa"/>
          <w:lang w:val="fr-FR" w:eastAsia="en-US"/>
        </w:rPr>
      </w:pPr>
    </w:p>
    <w:p w:rsidR="0037604E" w:rsidRPr="0037604E" w:rsidRDefault="0037604E" w:rsidP="0037604E">
      <w:pPr>
        <w:spacing w:after="0" w:line="240" w:lineRule="auto"/>
        <w:ind w:firstLine="0"/>
        <w:jc w:val="both"/>
        <w:rPr>
          <w:rFonts w:ascii="Cambria" w:eastAsia="Times New Roman" w:hAnsi="Cambria" w:cs="Cambria"/>
          <w:sz w:val="24"/>
          <w:szCs w:val="24"/>
          <w:lang w:val="en-GB"/>
        </w:rPr>
      </w:pPr>
      <w:r w:rsidRPr="0037604E">
        <w:rPr>
          <w:rFonts w:asciiTheme="majorHAnsi" w:eastAsia="Calibri" w:hAnsiTheme="majorHAnsi" w:cs="DokChampa"/>
          <w:sz w:val="24"/>
          <w:szCs w:val="24"/>
          <w:lang w:val="pt-BR" w:eastAsia="en-US"/>
        </w:rPr>
        <w:t xml:space="preserve">The current international gas transmission activity is performe din the south-east of the country (Dobrogea) where the Romanian section of pipelines existing between Isaccea and Negru Vodă is included in the Balcan corridor for international gas transmission  from the  </w:t>
      </w:r>
      <w:r w:rsidRPr="0037604E">
        <w:rPr>
          <w:rFonts w:ascii="Cambria" w:eastAsia="Times New Roman" w:hAnsi="Cambria" w:cs="Cambria"/>
          <w:sz w:val="24"/>
          <w:szCs w:val="24"/>
          <w:lang w:val="en-GB"/>
        </w:rPr>
        <w:t>Russian Federation to Bulgaria, Turkey, Greece and</w:t>
      </w:r>
      <w:r w:rsidR="00276073">
        <w:rPr>
          <w:rFonts w:ascii="Cambria" w:eastAsia="Times New Roman" w:hAnsi="Cambria" w:cs="Cambria"/>
          <w:sz w:val="24"/>
          <w:szCs w:val="24"/>
          <w:lang w:val="en-GB"/>
        </w:rPr>
        <w:t xml:space="preserve"> </w:t>
      </w:r>
      <w:r w:rsidRPr="0037604E">
        <w:rPr>
          <w:rFonts w:ascii="Cambria" w:eastAsia="Times New Roman" w:hAnsi="Cambria" w:cs="Cambria"/>
          <w:sz w:val="24"/>
          <w:szCs w:val="24"/>
          <w:lang w:val="en-GB"/>
        </w:rPr>
        <w:t>Macedonia .</w:t>
      </w:r>
    </w:p>
    <w:p w:rsidR="0037604E" w:rsidRPr="0037604E" w:rsidRDefault="0037604E" w:rsidP="0037604E">
      <w:pPr>
        <w:spacing w:after="0" w:line="240" w:lineRule="auto"/>
        <w:ind w:left="3600" w:firstLine="720"/>
        <w:jc w:val="both"/>
        <w:rPr>
          <w:rFonts w:asciiTheme="majorHAnsi" w:hAnsiTheme="majorHAnsi"/>
          <w:b/>
          <w:i/>
          <w:sz w:val="16"/>
          <w:szCs w:val="16"/>
          <w:lang w:val="ro-RO"/>
        </w:rPr>
      </w:pPr>
      <w:r w:rsidRPr="0037604E">
        <w:rPr>
          <w:rFonts w:asciiTheme="majorHAnsi" w:hAnsiTheme="majorHAnsi"/>
          <w:b/>
          <w:i/>
          <w:sz w:val="16"/>
          <w:szCs w:val="16"/>
          <w:lang w:val="pt-BR"/>
        </w:rPr>
        <w:t xml:space="preserve">                                         </w:t>
      </w:r>
    </w:p>
    <w:p w:rsidR="0037604E" w:rsidRPr="0037604E" w:rsidRDefault="0037604E" w:rsidP="0037604E">
      <w:pPr>
        <w:spacing w:after="0" w:line="240" w:lineRule="auto"/>
        <w:ind w:left="5760" w:firstLine="0"/>
        <w:rPr>
          <w:rFonts w:asciiTheme="majorHAnsi" w:hAnsiTheme="majorHAnsi"/>
          <w:b/>
          <w:i/>
          <w:sz w:val="16"/>
          <w:szCs w:val="16"/>
          <w:lang w:val="ro-RO"/>
        </w:rPr>
      </w:pPr>
      <w:r w:rsidRPr="0037604E">
        <w:rPr>
          <w:rFonts w:asciiTheme="majorHAnsi" w:hAnsiTheme="majorHAnsi"/>
          <w:b/>
          <w:i/>
          <w:sz w:val="16"/>
          <w:szCs w:val="16"/>
          <w:lang w:val="pt-BR"/>
        </w:rPr>
        <w:t>Fig.1</w:t>
      </w:r>
      <w:r w:rsidRPr="0037604E">
        <w:rPr>
          <w:rFonts w:asciiTheme="majorHAnsi" w:hAnsiTheme="majorHAnsi"/>
          <w:b/>
          <w:i/>
          <w:sz w:val="16"/>
          <w:szCs w:val="16"/>
          <w:lang w:val="ro-RO"/>
        </w:rPr>
        <w:t xml:space="preserve">- International gas transmission     </w:t>
      </w:r>
    </w:p>
    <w:p w:rsidR="0037604E" w:rsidRPr="0037604E" w:rsidRDefault="0037604E" w:rsidP="0037604E">
      <w:pPr>
        <w:spacing w:after="0" w:line="240" w:lineRule="auto"/>
        <w:ind w:left="5760" w:firstLine="0"/>
        <w:rPr>
          <w:rFonts w:asciiTheme="majorHAnsi" w:hAnsiTheme="majorHAnsi"/>
          <w:b/>
          <w:i/>
          <w:sz w:val="16"/>
          <w:szCs w:val="16"/>
          <w:lang w:val="ro-RO"/>
        </w:rPr>
      </w:pPr>
      <w:r w:rsidRPr="0037604E">
        <w:rPr>
          <w:rFonts w:asciiTheme="majorHAnsi" w:hAnsiTheme="majorHAnsi"/>
          <w:b/>
          <w:i/>
          <w:sz w:val="16"/>
          <w:szCs w:val="16"/>
          <w:lang w:val="ro-RO"/>
        </w:rPr>
        <w:t xml:space="preserve">                                   pipelines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hAnsiTheme="majorHAnsi"/>
          <w:b/>
          <w:i/>
          <w:sz w:val="16"/>
          <w:szCs w:val="16"/>
          <w:lang w:val="ro-RO"/>
        </w:rPr>
      </w:pPr>
      <w:r w:rsidRPr="0037604E">
        <w:rPr>
          <w:rFonts w:asciiTheme="majorHAnsi" w:eastAsia="Calibri" w:hAnsiTheme="majorHAnsi" w:cs="DokChampa"/>
          <w:sz w:val="24"/>
          <w:szCs w:val="24"/>
          <w:lang w:val="pt-BR" w:eastAsia="en-US"/>
        </w:rPr>
        <w:t>Along the corridor mentioned there are 3 interconnections with the similar Ukraine international gas transmission pipelines, north of Isaccea, and 3 interconnections with the international gas transmision pipelines in Bulgaria south of Negru Vodă.</w:t>
      </w:r>
    </w:p>
    <w:p w:rsidR="0037604E" w:rsidRPr="0037604E" w:rsidRDefault="0037604E" w:rsidP="0037604E">
      <w:pPr>
        <w:spacing w:after="0" w:line="240" w:lineRule="auto"/>
        <w:ind w:firstLine="0"/>
        <w:jc w:val="both"/>
        <w:rPr>
          <w:rFonts w:asciiTheme="majorHAnsi" w:hAnsiTheme="majorHAnsi"/>
          <w:b/>
          <w:i/>
          <w:sz w:val="16"/>
          <w:szCs w:val="16"/>
          <w:lang w:val="ro-RO"/>
        </w:rPr>
      </w:pPr>
      <w:r w:rsidRPr="0037604E">
        <w:rPr>
          <w:rFonts w:asciiTheme="majorHAnsi" w:hAnsiTheme="majorHAnsi"/>
          <w:b/>
          <w:i/>
          <w:sz w:val="16"/>
          <w:szCs w:val="16"/>
          <w:lang w:val="pt-BR"/>
        </w:rPr>
        <w:tab/>
      </w:r>
      <w:r w:rsidRPr="0037604E">
        <w:rPr>
          <w:rFonts w:asciiTheme="majorHAnsi" w:hAnsiTheme="majorHAnsi"/>
          <w:b/>
          <w:i/>
          <w:sz w:val="16"/>
          <w:szCs w:val="16"/>
          <w:lang w:val="pt-BR"/>
        </w:rPr>
        <w:tab/>
      </w:r>
      <w:r w:rsidRPr="0037604E">
        <w:rPr>
          <w:rFonts w:asciiTheme="majorHAnsi" w:hAnsiTheme="majorHAnsi"/>
          <w:b/>
          <w:i/>
          <w:sz w:val="16"/>
          <w:szCs w:val="16"/>
          <w:lang w:val="pt-BR"/>
        </w:rPr>
        <w:tab/>
      </w:r>
      <w:r w:rsidRPr="0037604E">
        <w:rPr>
          <w:rFonts w:asciiTheme="majorHAnsi" w:hAnsiTheme="majorHAnsi"/>
          <w:b/>
          <w:i/>
          <w:sz w:val="16"/>
          <w:szCs w:val="16"/>
          <w:lang w:val="pt-BR"/>
        </w:rPr>
        <w:tab/>
      </w:r>
      <w:r w:rsidRPr="0037604E">
        <w:rPr>
          <w:rFonts w:asciiTheme="majorHAnsi" w:hAnsiTheme="majorHAnsi"/>
          <w:b/>
          <w:i/>
          <w:sz w:val="16"/>
          <w:szCs w:val="16"/>
          <w:lang w:val="pt-BR"/>
        </w:rPr>
        <w:tab/>
      </w:r>
      <w:r w:rsidRPr="0037604E">
        <w:rPr>
          <w:rFonts w:asciiTheme="majorHAnsi" w:hAnsiTheme="majorHAnsi"/>
          <w:b/>
          <w:i/>
          <w:sz w:val="16"/>
          <w:szCs w:val="16"/>
          <w:lang w:val="pt-BR"/>
        </w:rPr>
        <w:tab/>
      </w:r>
      <w:r w:rsidRPr="0037604E">
        <w:rPr>
          <w:rFonts w:asciiTheme="majorHAnsi" w:hAnsiTheme="majorHAnsi"/>
          <w:b/>
          <w:i/>
          <w:sz w:val="16"/>
          <w:szCs w:val="16"/>
          <w:lang w:val="pt-BR"/>
        </w:rPr>
        <w:tab/>
      </w: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r w:rsidRPr="0037604E">
        <w:rPr>
          <w:rFonts w:asciiTheme="majorHAnsi" w:eastAsia="Calibri" w:hAnsiTheme="majorHAnsi" w:cs="DokChampa"/>
          <w:sz w:val="24"/>
          <w:szCs w:val="24"/>
          <w:lang w:val="pt-BR" w:eastAsia="en-US"/>
        </w:rPr>
        <w:t xml:space="preserve">International gas transmission is performed by dedicated pipelines  which ar not </w:t>
      </w:r>
      <w:r w:rsidRPr="0037604E">
        <w:rPr>
          <w:rFonts w:asciiTheme="majorHAnsi" w:eastAsia="Calibri" w:hAnsiTheme="majorHAnsi" w:cs="DokChampa"/>
          <w:sz w:val="24"/>
          <w:szCs w:val="24"/>
          <w:lang w:val="ro-RO" w:eastAsia="en-US"/>
        </w:rPr>
        <w:t>connected to the National Transmission System:</w:t>
      </w:r>
    </w:p>
    <w:p w:rsidR="0037604E" w:rsidRPr="0037604E" w:rsidRDefault="0037604E" w:rsidP="00FA6EB9">
      <w:pPr>
        <w:numPr>
          <w:ilvl w:val="0"/>
          <w:numId w:val="132"/>
        </w:numPr>
        <w:spacing w:after="0" w:line="240" w:lineRule="auto"/>
        <w:jc w:val="both"/>
        <w:rPr>
          <w:rFonts w:asciiTheme="majorHAnsi" w:eastAsia="Calibri" w:hAnsiTheme="majorHAnsi" w:cs="DokChampa"/>
          <w:sz w:val="24"/>
          <w:szCs w:val="24"/>
          <w:lang w:val="ro-RO" w:eastAsia="en-US"/>
        </w:rPr>
      </w:pPr>
      <w:r w:rsidRPr="0037604E">
        <w:rPr>
          <w:rFonts w:asciiTheme="majorHAnsi" w:eastAsia="Calibri" w:hAnsiTheme="majorHAnsi" w:cs="DokChampa"/>
          <w:sz w:val="24"/>
          <w:szCs w:val="24"/>
          <w:lang w:val="pt-BR" w:eastAsia="en-US"/>
        </w:rPr>
        <w:t xml:space="preserve">The international gas transmission pipeline is in the UA-RO-BG (LINE I) direction, with the following features: </w:t>
      </w:r>
      <w:r w:rsidRPr="0037604E">
        <w:rPr>
          <w:rFonts w:asciiTheme="majorHAnsi" w:eastAsia="Calibri" w:hAnsiTheme="majorHAnsi" w:cs="TimesNewRoman"/>
          <w:sz w:val="24"/>
          <w:szCs w:val="24"/>
          <w:lang w:eastAsia="en-US"/>
        </w:rPr>
        <w:t>DN 1000, L = 182 km and technical capacity = 6,1 bscm/year;</w:t>
      </w:r>
    </w:p>
    <w:p w:rsidR="0037604E" w:rsidRPr="0037604E" w:rsidRDefault="0037604E" w:rsidP="00FA6EB9">
      <w:pPr>
        <w:numPr>
          <w:ilvl w:val="0"/>
          <w:numId w:val="132"/>
        </w:numPr>
        <w:spacing w:after="0" w:line="240" w:lineRule="auto"/>
        <w:jc w:val="both"/>
        <w:rPr>
          <w:rFonts w:asciiTheme="majorHAnsi" w:hAnsiTheme="majorHAnsi"/>
          <w:sz w:val="24"/>
          <w:lang w:val="ro-RO"/>
        </w:rPr>
      </w:pPr>
      <w:r w:rsidRPr="0037604E">
        <w:rPr>
          <w:rFonts w:asciiTheme="majorHAnsi" w:eastAsia="Calibri" w:hAnsiTheme="majorHAnsi" w:cs="DokChampa"/>
          <w:sz w:val="24"/>
          <w:szCs w:val="24"/>
          <w:lang w:val="pt-BR" w:eastAsia="en-US"/>
        </w:rPr>
        <w:t xml:space="preserve">Two international gas transmission pipelines in the UA-RO-BG-TK-GR directon (LINE II and LINE III) each havin the folowing features: </w:t>
      </w:r>
      <w:r w:rsidRPr="0037604E">
        <w:rPr>
          <w:rFonts w:asciiTheme="majorHAnsi" w:eastAsia="Calibri" w:hAnsiTheme="majorHAnsi" w:cs="TimesNewRoman"/>
          <w:sz w:val="24"/>
          <w:szCs w:val="24"/>
          <w:lang w:eastAsia="en-US"/>
        </w:rPr>
        <w:t>DN 1200, L = 181 km and technical capacity = 9,6 bscm/year (LINE II) and 9,7 bscm/year (LINE III).</w:t>
      </w:r>
    </w:p>
    <w:p w:rsidR="0037604E" w:rsidRPr="0037604E" w:rsidRDefault="0037604E" w:rsidP="0037604E">
      <w:pPr>
        <w:spacing w:after="0" w:line="240" w:lineRule="auto"/>
        <w:ind w:firstLine="0"/>
        <w:jc w:val="both"/>
        <w:rPr>
          <w:rFonts w:ascii="Cambria" w:eastAsia="Times New Roman" w:hAnsi="Cambria" w:cs="Cambria"/>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i/>
          <w:sz w:val="16"/>
          <w:szCs w:val="16"/>
          <w:lang w:val="en-GB"/>
        </w:rPr>
      </w:pPr>
      <w:r w:rsidRPr="0037604E">
        <w:rPr>
          <w:rFonts w:ascii="Cambria" w:eastAsia="Times New Roman" w:hAnsi="Cambria" w:cs="Cambria"/>
          <w:sz w:val="24"/>
          <w:szCs w:val="24"/>
          <w:lang w:val="en-GB"/>
        </w:rPr>
        <w:t>This activity is conducted based on the three contracts concluded between Transgaz and Bulgargaz EAD (Bulgaria), and Transgaz and Gazprom Export (the Russian Federation). The legal framework for the conclusion of the contracts is the following intergovernmental agreements</w:t>
      </w:r>
      <w:r w:rsidRPr="0037604E">
        <w:rPr>
          <w:rFonts w:ascii="Cambria" w:eastAsia="Times New Roman" w:hAnsi="Cambria" w:cs="Times New Roman"/>
          <w:sz w:val="24"/>
          <w:szCs w:val="24"/>
          <w:lang w:val="en-GB" w:eastAsia="ro-RO"/>
        </w:rPr>
        <w:t>:</w:t>
      </w:r>
      <w:r w:rsidRPr="0037604E">
        <w:rPr>
          <w:rFonts w:ascii="Cambria" w:eastAsia="Times New Roman" w:hAnsi="Cambria" w:cs="Times New Roman"/>
          <w:b/>
          <w:i/>
          <w:sz w:val="16"/>
          <w:szCs w:val="16"/>
          <w:lang w:val="en-GB"/>
        </w:rPr>
        <w:t xml:space="preserve">                                                                                                                               </w:t>
      </w:r>
    </w:p>
    <w:p w:rsidR="0037604E" w:rsidRPr="0037604E" w:rsidRDefault="0037604E" w:rsidP="0037604E">
      <w:pPr>
        <w:spacing w:after="0" w:line="240" w:lineRule="auto"/>
        <w:ind w:firstLine="0"/>
        <w:jc w:val="right"/>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 xml:space="preserve">                                              </w:t>
      </w:r>
    </w:p>
    <w:p w:rsidR="0037604E" w:rsidRPr="0037604E" w:rsidRDefault="0037604E" w:rsidP="0037604E">
      <w:pPr>
        <w:spacing w:after="0" w:line="240" w:lineRule="auto"/>
        <w:ind w:firstLine="0"/>
        <w:jc w:val="right"/>
        <w:rPr>
          <w:rFonts w:ascii="Cambria" w:eastAsia="Times New Roman" w:hAnsi="Cambria" w:cs="Times New Roman"/>
          <w:b/>
          <w:i/>
          <w:sz w:val="16"/>
          <w:szCs w:val="16"/>
          <w:lang w:val="en-GB"/>
        </w:rPr>
      </w:pPr>
    </w:p>
    <w:p w:rsidR="0037604E" w:rsidRPr="0037604E" w:rsidRDefault="0037604E" w:rsidP="0037604E">
      <w:pPr>
        <w:numPr>
          <w:ilvl w:val="0"/>
          <w:numId w:val="4"/>
        </w:numPr>
        <w:spacing w:after="0" w:line="240" w:lineRule="auto"/>
        <w:ind w:left="630"/>
        <w:jc w:val="both"/>
        <w:rPr>
          <w:rFonts w:ascii="Cambria" w:eastAsia="Calibri" w:hAnsi="Cambria" w:cs="Times New Roman"/>
          <w:i/>
          <w:sz w:val="24"/>
          <w:szCs w:val="24"/>
          <w:lang w:val="en-GB" w:eastAsia="en-US"/>
        </w:rPr>
      </w:pPr>
      <w:r w:rsidRPr="0037604E">
        <w:rPr>
          <w:rFonts w:ascii="Cambria" w:eastAsia="Times New Roman" w:hAnsi="Cambria" w:cs="Cambria"/>
          <w:i/>
          <w:sz w:val="24"/>
          <w:szCs w:val="24"/>
          <w:lang w:val="en-GB"/>
        </w:rPr>
        <w:t>The Convention regarding the construction of a pipeline on the territory of the Socialist Republic of Romania (SRS) to ensure the gas transit from U.S.S.R. to the People's Republic of Bulgaria, signed on 29 November 1970</w:t>
      </w:r>
      <w:r w:rsidRPr="0037604E">
        <w:rPr>
          <w:rFonts w:ascii="Cambria" w:eastAsia="Calibri" w:hAnsi="Cambria" w:cs="Times New Roman"/>
          <w:i/>
          <w:sz w:val="24"/>
          <w:szCs w:val="24"/>
          <w:lang w:val="en-GB" w:eastAsia="en-US"/>
        </w:rPr>
        <w:t>;</w:t>
      </w:r>
    </w:p>
    <w:p w:rsidR="0037604E" w:rsidRPr="0037604E" w:rsidRDefault="0037604E" w:rsidP="0037604E">
      <w:pPr>
        <w:numPr>
          <w:ilvl w:val="0"/>
          <w:numId w:val="4"/>
        </w:numPr>
        <w:spacing w:after="0" w:line="240" w:lineRule="auto"/>
        <w:ind w:left="630"/>
        <w:jc w:val="both"/>
        <w:rPr>
          <w:rFonts w:ascii="Cambria" w:eastAsia="Calibri" w:hAnsi="Cambria" w:cs="Times New Roman"/>
          <w:i/>
          <w:sz w:val="24"/>
          <w:szCs w:val="24"/>
          <w:lang w:val="en-GB" w:eastAsia="en-US"/>
        </w:rPr>
      </w:pPr>
      <w:r w:rsidRPr="0037604E">
        <w:rPr>
          <w:rFonts w:ascii="Cambria" w:eastAsia="Times New Roman" w:hAnsi="Cambria" w:cs="Cambria"/>
          <w:i/>
          <w:sz w:val="24"/>
          <w:szCs w:val="24"/>
          <w:lang w:val="en-GB"/>
        </w:rPr>
        <w:t>The Convention between the governments of S.R.R. and U.S.S.R. regarding the transit on the territory of S.R.R. of natural gas from U.S.S.R. to Turkey, Greece and other countries, signed on 29 December 1986</w:t>
      </w:r>
      <w:r w:rsidRPr="0037604E">
        <w:rPr>
          <w:rFonts w:ascii="Cambria" w:eastAsia="Calibri" w:hAnsi="Cambria" w:cs="Times New Roman"/>
          <w:i/>
          <w:sz w:val="24"/>
          <w:szCs w:val="24"/>
          <w:lang w:val="en-GB" w:eastAsia="en-US"/>
        </w:rPr>
        <w:t>;</w:t>
      </w:r>
    </w:p>
    <w:p w:rsidR="0037604E" w:rsidRPr="0037604E" w:rsidRDefault="0037604E" w:rsidP="0037604E">
      <w:pPr>
        <w:numPr>
          <w:ilvl w:val="0"/>
          <w:numId w:val="4"/>
        </w:numPr>
        <w:spacing w:after="0" w:line="240" w:lineRule="auto"/>
        <w:ind w:left="630"/>
        <w:jc w:val="both"/>
        <w:rPr>
          <w:rFonts w:ascii="Cambria" w:eastAsia="Calibri" w:hAnsi="Cambria" w:cs="Times New Roman"/>
          <w:i/>
          <w:sz w:val="24"/>
          <w:szCs w:val="24"/>
          <w:lang w:val="en-GB" w:eastAsia="en-US"/>
        </w:rPr>
      </w:pPr>
      <w:r w:rsidRPr="0037604E">
        <w:rPr>
          <w:rFonts w:ascii="Cambria" w:eastAsia="Times New Roman" w:hAnsi="Cambria" w:cs="Cambria"/>
          <w:i/>
          <w:sz w:val="24"/>
          <w:szCs w:val="24"/>
          <w:lang w:val="en-GB"/>
        </w:rPr>
        <w:t>The Convention between the governments of Romania and the Russian Federation regarding the extension of the capacity of the natural gas transit pipelines on the territory of Romania, for increasing the supplies of natural gas from the Russian Federation to third party countries and to Romania, signed on 25 October 1996</w:t>
      </w:r>
      <w:r w:rsidRPr="0037604E">
        <w:rPr>
          <w:rFonts w:ascii="Cambria" w:eastAsia="Calibri" w:hAnsi="Cambria" w:cs="Times New Roman"/>
          <w:i/>
          <w:sz w:val="24"/>
          <w:szCs w:val="24"/>
          <w:lang w:val="en-GB" w:eastAsia="en-US"/>
        </w:rPr>
        <w:t>;</w:t>
      </w:r>
    </w:p>
    <w:p w:rsidR="0037604E" w:rsidRPr="0037604E" w:rsidRDefault="0037604E" w:rsidP="0037604E">
      <w:pPr>
        <w:numPr>
          <w:ilvl w:val="0"/>
          <w:numId w:val="4"/>
        </w:numPr>
        <w:spacing w:after="0" w:line="240" w:lineRule="auto"/>
        <w:ind w:left="630"/>
        <w:jc w:val="both"/>
        <w:rPr>
          <w:rFonts w:ascii="Cambria" w:eastAsia="Calibri" w:hAnsi="Cambria" w:cs="Times New Roman"/>
          <w:i/>
          <w:sz w:val="24"/>
          <w:szCs w:val="24"/>
          <w:lang w:val="en-GB" w:eastAsia="en-US"/>
        </w:rPr>
      </w:pPr>
      <w:r w:rsidRPr="0037604E">
        <w:rPr>
          <w:rFonts w:ascii="Cambria" w:eastAsia="Times New Roman" w:hAnsi="Cambria" w:cs="Cambria"/>
          <w:i/>
          <w:sz w:val="24"/>
          <w:szCs w:val="24"/>
          <w:lang w:val="en-GB"/>
        </w:rPr>
        <w:t>The cooperation agreement in the energy sector concluded on 29 October 2002 between the Ministry of Energy and Energy Resources of Bulgaria and the Ministry of Industry and Resources of Romania</w:t>
      </w:r>
      <w:r w:rsidRPr="0037604E">
        <w:rPr>
          <w:rFonts w:ascii="Cambria" w:eastAsia="Calibri" w:hAnsi="Cambria" w:cs="Times New Roman"/>
          <w:i/>
          <w:sz w:val="24"/>
          <w:szCs w:val="24"/>
          <w:lang w:val="en-GB" w:eastAsia="en-US"/>
        </w:rPr>
        <w:t>.</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lastRenderedPageBreak/>
        <w:t>The conventions concluded with the Russian side were denounced by the GD no. 1278/ 27 December 2011, based on the provisions of article 351, paragraph 2 of the Treaty regarding the functioning of the European Union.</w:t>
      </w:r>
      <w:r w:rsidRPr="0037604E">
        <w:rPr>
          <w:rFonts w:ascii="Cambria" w:eastAsia="Times New Roman" w:hAnsi="Cambria" w:cs="Times New Roman"/>
          <w:sz w:val="24"/>
          <w:szCs w:val="24"/>
          <w:lang w:val="en-GB"/>
        </w:rPr>
        <w:t xml:space="preserve"> </w:t>
      </w:r>
      <w:r w:rsidRPr="0037604E">
        <w:rPr>
          <w:rFonts w:ascii="Cambria" w:eastAsia="Times New Roman" w:hAnsi="Cambria" w:cs="Cambria"/>
          <w:sz w:val="24"/>
          <w:szCs w:val="24"/>
          <w:lang w:val="en-GB"/>
        </w:rPr>
        <w:t>The validity period of the three contracts is as follows</w:t>
      </w:r>
      <w:r w:rsidRPr="0037604E">
        <w:rPr>
          <w:rFonts w:ascii="Cambria" w:eastAsia="Times New Roman" w:hAnsi="Cambria" w:cs="Times New Roman"/>
          <w:sz w:val="24"/>
          <w:szCs w:val="24"/>
          <w:lang w:val="en-GB" w:eastAsia="ro-RO"/>
        </w:rPr>
        <w:t xml:space="preserve">:  </w:t>
      </w:r>
    </w:p>
    <w:p w:rsidR="0037604E" w:rsidRPr="0037604E" w:rsidRDefault="0037604E" w:rsidP="00FA6EB9">
      <w:pPr>
        <w:numPr>
          <w:ilvl w:val="0"/>
          <w:numId w:val="133"/>
        </w:numPr>
        <w:spacing w:after="0" w:line="240" w:lineRule="auto"/>
        <w:contextualSpacing/>
        <w:jc w:val="both"/>
        <w:rPr>
          <w:rFonts w:asciiTheme="majorHAnsi" w:hAnsiTheme="majorHAnsi"/>
          <w:sz w:val="24"/>
        </w:rPr>
      </w:pPr>
      <w:r w:rsidRPr="0037604E">
        <w:rPr>
          <w:rFonts w:ascii="Cambria" w:eastAsia="Times New Roman" w:hAnsi="Cambria" w:cs="Cambria"/>
          <w:sz w:val="24"/>
          <w:szCs w:val="24"/>
          <w:lang w:val="en-GB"/>
        </w:rPr>
        <w:t xml:space="preserve">Contract no. 10.726 of 19 October 2005, concluded with </w:t>
      </w:r>
      <w:r w:rsidRPr="0037604E">
        <w:rPr>
          <w:rFonts w:ascii="Cambria" w:eastAsia="Times New Roman" w:hAnsi="Cambria" w:cs="Cambria"/>
          <w:b/>
          <w:sz w:val="24"/>
          <w:szCs w:val="24"/>
          <w:lang w:val="en-GB"/>
        </w:rPr>
        <w:t>Bulgargaz EAD Bulgaria</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(line I)</w:t>
      </w:r>
      <w:r w:rsidRPr="0037604E">
        <w:rPr>
          <w:rFonts w:ascii="Cambria" w:eastAsia="Calibri" w:hAnsi="Cambria" w:cs="Times New Roman"/>
          <w:sz w:val="24"/>
          <w:szCs w:val="24"/>
          <w:lang w:val="en-GB" w:eastAsia="en-US"/>
        </w:rPr>
        <w:t xml:space="preserve"> </w:t>
      </w:r>
      <w:r w:rsidR="00276073">
        <w:rPr>
          <w:rFonts w:ascii="Cambria" w:eastAsia="Times New Roman" w:hAnsi="Cambria" w:cs="Cambria"/>
          <w:sz w:val="24"/>
          <w:szCs w:val="24"/>
          <w:lang w:val="en-GB"/>
        </w:rPr>
        <w:t>valid until</w:t>
      </w:r>
      <w:r w:rsidRPr="0037604E">
        <w:rPr>
          <w:rFonts w:ascii="Cambria" w:eastAsia="Times New Roman" w:hAnsi="Cambria" w:cs="Cambria"/>
          <w:sz w:val="24"/>
          <w:szCs w:val="24"/>
          <w:lang w:val="en-GB"/>
        </w:rPr>
        <w:t xml:space="preserve"> 31 December </w:t>
      </w:r>
      <w:r w:rsidRPr="0037604E">
        <w:rPr>
          <w:rFonts w:asciiTheme="majorHAnsi" w:eastAsia="Calibri" w:hAnsiTheme="majorHAnsi" w:cs="Times New Roman"/>
          <w:sz w:val="24"/>
          <w:szCs w:val="24"/>
          <w:lang w:val="ro-RO" w:eastAsia="en-US"/>
        </w:rPr>
        <w:t>2011 and extended by two addenda until</w:t>
      </w:r>
      <w:r w:rsidRPr="0037604E">
        <w:rPr>
          <w:rFonts w:asciiTheme="majorHAnsi" w:eastAsia="Calibri" w:hAnsiTheme="majorHAnsi" w:cs="Times New Roman"/>
          <w:sz w:val="24"/>
          <w:szCs w:val="24"/>
          <w:lang w:eastAsia="en-US"/>
        </w:rPr>
        <w:t xml:space="preserve"> </w:t>
      </w:r>
      <w:r w:rsidRPr="0037604E">
        <w:rPr>
          <w:rFonts w:asciiTheme="majorHAnsi" w:eastAsia="Calibri" w:hAnsiTheme="majorHAnsi" w:cs="Times New Roman"/>
          <w:b/>
          <w:sz w:val="24"/>
          <w:szCs w:val="24"/>
          <w:lang w:eastAsia="en-US"/>
        </w:rPr>
        <w:t>30 September 2016. From 1 October 2016, T1 pieline capacity allocation is by auction, according to the applicable European regulations, the transmission contracts being according to ANRE Order 34/2016.</w:t>
      </w:r>
      <w:r w:rsidRPr="0037604E">
        <w:rPr>
          <w:rFonts w:asciiTheme="majorHAnsi" w:eastAsia="Calibri" w:hAnsiTheme="majorHAnsi" w:cs="Times New Roman"/>
          <w:sz w:val="24"/>
          <w:szCs w:val="24"/>
          <w:lang w:eastAsia="en-US"/>
        </w:rPr>
        <w:t>;</w:t>
      </w:r>
    </w:p>
    <w:p w:rsidR="0037604E" w:rsidRPr="0037604E" w:rsidRDefault="0037604E" w:rsidP="0037604E">
      <w:pPr>
        <w:numPr>
          <w:ilvl w:val="0"/>
          <w:numId w:val="5"/>
        </w:numPr>
        <w:spacing w:after="0" w:line="240" w:lineRule="auto"/>
        <w:contextualSpacing/>
        <w:jc w:val="both"/>
        <w:rPr>
          <w:rFonts w:ascii="Cambria" w:eastAsia="Calibri" w:hAnsi="Cambria" w:cs="Times New Roman"/>
          <w:sz w:val="24"/>
          <w:szCs w:val="24"/>
          <w:lang w:val="en-GB" w:eastAsia="en-US"/>
        </w:rPr>
      </w:pPr>
      <w:r w:rsidRPr="0037604E">
        <w:rPr>
          <w:rFonts w:ascii="Cambria" w:eastAsia="Times New Roman" w:hAnsi="Cambria" w:cs="Cambria"/>
          <w:sz w:val="24"/>
          <w:szCs w:val="24"/>
          <w:lang w:val="en-GB"/>
        </w:rPr>
        <w:t xml:space="preserve">Contract no. 2102-06 of  3 June 1987 concluded with </w:t>
      </w:r>
      <w:r w:rsidRPr="00246171">
        <w:rPr>
          <w:rFonts w:ascii="Cambria" w:eastAsia="Times New Roman" w:hAnsi="Cambria" w:cs="Cambria"/>
          <w:b/>
          <w:sz w:val="24"/>
          <w:szCs w:val="24"/>
          <w:lang w:val="en-GB"/>
        </w:rPr>
        <w:t>Gazprom Export</w:t>
      </w:r>
      <w:r w:rsidRPr="00246171">
        <w:rPr>
          <w:rFonts w:ascii="Cambria" w:eastAsia="Times New Roman" w:hAnsi="Cambria" w:cs="Cambria"/>
          <w:sz w:val="24"/>
          <w:szCs w:val="24"/>
          <w:lang w:val="en-GB"/>
        </w:rPr>
        <w:t xml:space="preserve"> </w:t>
      </w:r>
      <w:r w:rsidRPr="0037604E">
        <w:rPr>
          <w:rFonts w:ascii="Cambria" w:eastAsia="Times New Roman" w:hAnsi="Cambria" w:cs="Cambria"/>
          <w:sz w:val="24"/>
          <w:szCs w:val="24"/>
          <w:lang w:val="en-GB"/>
        </w:rPr>
        <w:t xml:space="preserve">(T2), valid until  31 December 2011, extended by four  addenda until </w:t>
      </w:r>
      <w:r w:rsidRPr="0037604E">
        <w:rPr>
          <w:rFonts w:ascii="Cambria" w:eastAsia="Times New Roman" w:hAnsi="Cambria" w:cs="Cambria"/>
          <w:b/>
          <w:sz w:val="24"/>
          <w:szCs w:val="24"/>
          <w:lang w:val="en-GB"/>
        </w:rPr>
        <w:t>1 October</w:t>
      </w:r>
      <w:r w:rsidRPr="0037604E">
        <w:rPr>
          <w:rFonts w:ascii="Cambria" w:eastAsia="Times New Roman" w:hAnsi="Cambria" w:cs="Cambria"/>
          <w:sz w:val="24"/>
          <w:szCs w:val="24"/>
          <w:lang w:val="en-GB"/>
        </w:rPr>
        <w:t xml:space="preserve"> </w:t>
      </w:r>
      <w:r w:rsidRPr="0037604E">
        <w:rPr>
          <w:rFonts w:ascii="Cambria" w:eastAsia="Times New Roman" w:hAnsi="Cambria" w:cs="Cambria"/>
          <w:b/>
          <w:sz w:val="24"/>
          <w:szCs w:val="24"/>
          <w:lang w:val="en-GB"/>
        </w:rPr>
        <w:t>2017</w:t>
      </w:r>
      <w:r w:rsidRPr="0037604E">
        <w:rPr>
          <w:rFonts w:ascii="Cambria" w:eastAsia="Calibri" w:hAnsi="Cambria" w:cs="Times New Roman"/>
          <w:sz w:val="24"/>
          <w:szCs w:val="24"/>
          <w:lang w:val="en-GB" w:eastAsia="en-US"/>
        </w:rPr>
        <w:t>;</w:t>
      </w:r>
      <w:r w:rsidRPr="0037604E">
        <w:rPr>
          <w:rFonts w:ascii="Cambria" w:eastAsia="Times New Roman" w:hAnsi="Cambria" w:cs="Cambria"/>
          <w:sz w:val="24"/>
          <w:szCs w:val="24"/>
          <w:lang w:val="en-GB"/>
        </w:rPr>
        <w:t xml:space="preserve"> </w:t>
      </w:r>
    </w:p>
    <w:p w:rsidR="0037604E" w:rsidRPr="0037604E" w:rsidRDefault="0037604E" w:rsidP="0037604E">
      <w:pPr>
        <w:numPr>
          <w:ilvl w:val="0"/>
          <w:numId w:val="5"/>
        </w:numPr>
        <w:spacing w:after="0" w:line="240" w:lineRule="auto"/>
        <w:contextualSpacing/>
        <w:jc w:val="both"/>
        <w:rPr>
          <w:rFonts w:ascii="Cambria" w:eastAsia="Calibri" w:hAnsi="Cambria" w:cs="Times New Roman"/>
          <w:sz w:val="24"/>
          <w:szCs w:val="24"/>
          <w:lang w:val="en-GB" w:eastAsia="en-US"/>
        </w:rPr>
      </w:pPr>
      <w:r w:rsidRPr="0037604E">
        <w:rPr>
          <w:rFonts w:ascii="Cambria" w:eastAsia="Times New Roman" w:hAnsi="Cambria" w:cs="Cambria"/>
          <w:sz w:val="24"/>
          <w:szCs w:val="24"/>
          <w:lang w:val="en-GB"/>
        </w:rPr>
        <w:t xml:space="preserve">Contract no. 643/00157629/210247 of 24 September1999, concluded with </w:t>
      </w:r>
      <w:r w:rsidRPr="00246171">
        <w:rPr>
          <w:rFonts w:ascii="Cambria" w:eastAsia="Times New Roman" w:hAnsi="Cambria" w:cs="Cambria"/>
          <w:b/>
          <w:sz w:val="24"/>
          <w:szCs w:val="24"/>
          <w:lang w:val="en-GB"/>
        </w:rPr>
        <w:t>Gazprom Export</w:t>
      </w:r>
      <w:r w:rsidRPr="0037604E">
        <w:rPr>
          <w:rFonts w:ascii="Cambria" w:eastAsia="Times New Roman" w:hAnsi="Cambria" w:cs="Cambria"/>
          <w:sz w:val="24"/>
          <w:szCs w:val="24"/>
          <w:lang w:val="en-GB"/>
        </w:rPr>
        <w:t xml:space="preserve"> (T3), valid until </w:t>
      </w:r>
      <w:r w:rsidRPr="0037604E">
        <w:rPr>
          <w:rFonts w:ascii="Cambria" w:eastAsia="Times New Roman" w:hAnsi="Cambria" w:cs="Cambria"/>
          <w:b/>
          <w:sz w:val="24"/>
          <w:szCs w:val="24"/>
          <w:lang w:val="en-GB"/>
        </w:rPr>
        <w:t>31 December 2023</w:t>
      </w:r>
      <w:r w:rsidRPr="0037604E">
        <w:rPr>
          <w:rFonts w:ascii="Cambria" w:eastAsia="Calibri" w:hAnsi="Cambria" w:cs="Times New Roman"/>
          <w:b/>
          <w:sz w:val="24"/>
          <w:szCs w:val="24"/>
          <w:lang w:val="en-GB" w:eastAsia="en-US"/>
        </w:rPr>
        <w:t>.</w:t>
      </w:r>
    </w:p>
    <w:p w:rsidR="0037604E" w:rsidRPr="0037604E" w:rsidRDefault="0037604E" w:rsidP="0037604E">
      <w:pPr>
        <w:tabs>
          <w:tab w:val="left" w:pos="8448"/>
        </w:tabs>
        <w:spacing w:after="0" w:line="240" w:lineRule="auto"/>
        <w:ind w:firstLine="0"/>
        <w:contextualSpacing/>
        <w:jc w:val="both"/>
        <w:rPr>
          <w:rFonts w:asciiTheme="majorHAnsi" w:eastAsia="Calibri" w:hAnsiTheme="majorHAnsi" w:cs="Times New Roman"/>
          <w:i/>
          <w:sz w:val="24"/>
          <w:szCs w:val="24"/>
          <w:lang w:val="ro-RO" w:eastAsia="en-US"/>
        </w:rPr>
      </w:pPr>
      <w:r w:rsidRPr="0037604E">
        <w:rPr>
          <w:rFonts w:asciiTheme="majorHAnsi" w:eastAsia="Calibri" w:hAnsiTheme="majorHAnsi" w:cs="Times New Roman"/>
          <w:sz w:val="24"/>
          <w:szCs w:val="24"/>
          <w:lang w:val="ro-RO" w:eastAsia="en-US"/>
        </w:rPr>
        <w:t>In 2016,</w:t>
      </w:r>
      <w:r w:rsidRPr="0037604E">
        <w:rPr>
          <w:rFonts w:asciiTheme="majorHAnsi" w:hAnsiTheme="majorHAnsi"/>
          <w:sz w:val="24"/>
          <w:lang w:val="ro-RO"/>
        </w:rPr>
        <w:t xml:space="preserve"> regarding the infringement procedure</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sz w:val="24"/>
          <w:lang w:val="ro-RO"/>
        </w:rPr>
        <w:t xml:space="preserve">Transgaz atook the following actions  </w:t>
      </w:r>
      <w:r w:rsidRPr="0037604E">
        <w:rPr>
          <w:rFonts w:asciiTheme="majorHAnsi" w:eastAsia="Calibri" w:hAnsiTheme="majorHAnsi" w:cs="Times New Roman"/>
          <w:sz w:val="24"/>
          <w:szCs w:val="24"/>
          <w:lang w:val="ro-RO" w:eastAsia="en-US"/>
        </w:rPr>
        <w:t xml:space="preserve">to provide the regulatory frameork for trading the capacities </w:t>
      </w:r>
      <w:r w:rsidRPr="0037604E">
        <w:rPr>
          <w:rFonts w:asciiTheme="majorHAnsi" w:hAnsiTheme="majorHAnsi"/>
          <w:sz w:val="24"/>
          <w:lang w:val="ro-RO"/>
        </w:rPr>
        <w:t xml:space="preserve"> of the </w:t>
      </w:r>
      <w:r w:rsidRPr="0037604E">
        <w:rPr>
          <w:rFonts w:asciiTheme="majorHAnsi" w:eastAsia="Calibri" w:hAnsiTheme="majorHAnsi" w:cs="Times New Roman"/>
          <w:sz w:val="24"/>
          <w:szCs w:val="24"/>
          <w:lang w:val="ro-RO" w:eastAsia="en-US"/>
        </w:rPr>
        <w:t>Isaccea – Negru Vodă pipelines:</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Conclusion of the Interconnection Agreement for the Isaccea 1 IP with Ukrtransgaz. Initiation of agreement on the IA for the Isaccea 2,3 IP.</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Conclusion of the Interconnection Agreement for the Negru Vodă 1 IP with Bulgartransgaz EAD. Initiation of agreement on the IA for the Negru Vodă 2,3 IP.</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Setting national regulatory framework necessary for applying the CAM-NC for the Isaccea – Negru Vodă gas transmission pipelines IPs by Order 34/2016 of the ANRE President </w:t>
      </w:r>
      <w:r w:rsidRPr="0037604E">
        <w:rPr>
          <w:rFonts w:asciiTheme="majorHAnsi" w:eastAsia="MS Mincho" w:hAnsiTheme="majorHAnsi" w:cs="Times New Roman"/>
          <w:color w:val="000000"/>
          <w:sz w:val="24"/>
          <w:szCs w:val="24"/>
          <w:lang w:val="ro-RO"/>
        </w:rPr>
        <w:t xml:space="preserve">for the approval of the Methodology for transmission capacity booking and tariff setting for natural gas transmission services through the </w:t>
      </w:r>
      <w:r w:rsidRPr="0037604E">
        <w:rPr>
          <w:rFonts w:asciiTheme="majorHAnsi" w:hAnsiTheme="majorHAnsi"/>
          <w:color w:val="000000"/>
          <w:sz w:val="24"/>
          <w:lang w:val="ro-RO"/>
        </w:rPr>
        <w:t xml:space="preserve"> </w:t>
      </w:r>
      <w:r w:rsidRPr="0037604E">
        <w:rPr>
          <w:rFonts w:asciiTheme="majorHAnsi" w:eastAsia="MS Mincho" w:hAnsiTheme="majorHAnsi" w:cs="Times New Roman"/>
          <w:color w:val="000000"/>
          <w:sz w:val="24"/>
          <w:szCs w:val="24"/>
          <w:lang w:val="ro-RO"/>
        </w:rPr>
        <w:t>Isaccea</w:t>
      </w:r>
      <w:r w:rsidRPr="0037604E">
        <w:rPr>
          <w:rFonts w:asciiTheme="majorHAnsi" w:eastAsia="MS Mincho" w:hAnsiTheme="majorHAnsi" w:cs="Times New Roman"/>
          <w:sz w:val="24"/>
          <w:szCs w:val="24"/>
          <w:lang w:val="ro-RO"/>
        </w:rPr>
        <w:t xml:space="preserve"> – Negru Vodă gas transmission pipelines</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Amending of TSO Membership Agreement concluded with FGSZ Zrt. to provide  RBP access an duse services for allocation of Isaccea – Negru Vodă transmission pipelines capacities according to the</w:t>
      </w:r>
      <w:r w:rsidRPr="0037604E">
        <w:rPr>
          <w:rFonts w:asciiTheme="majorHAnsi" w:hAnsiTheme="majorHAnsi"/>
          <w:sz w:val="24"/>
          <w:lang w:val="ro-RO"/>
        </w:rPr>
        <w:t xml:space="preserve"> </w:t>
      </w:r>
      <w:r w:rsidRPr="0037604E">
        <w:rPr>
          <w:rFonts w:asciiTheme="majorHAnsi" w:eastAsia="Calibri" w:hAnsiTheme="majorHAnsi" w:cs="Times New Roman"/>
          <w:sz w:val="24"/>
          <w:szCs w:val="24"/>
          <w:lang w:val="ro-RO" w:eastAsia="en-US"/>
        </w:rPr>
        <w:t>CAM-NC and to the national regulatory framework.</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Amending the validity of the Gas Transmission Contract concluded with Bulgargaz EAD for T1 până until 30.09.2016 to ensure the conditions rgarding the trading of  capacityavailable starting with 1.10.2016, according to the new national regulatory framework.</w:t>
      </w:r>
    </w:p>
    <w:p w:rsidR="0037604E" w:rsidRPr="0037604E" w:rsidRDefault="0037604E" w:rsidP="00FA6EB9">
      <w:pPr>
        <w:numPr>
          <w:ilvl w:val="0"/>
          <w:numId w:val="134"/>
        </w:numPr>
        <w:tabs>
          <w:tab w:val="left" w:pos="8448"/>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Regarding T2 and T3, duet o a complex situation geenrated by the disputes between Ukrtransgaz and Gazprom Export, teh interconnection agreements culd not be concluded. The existing contract for </w:t>
      </w:r>
      <w:r w:rsidRPr="0037604E">
        <w:rPr>
          <w:rFonts w:asciiTheme="majorHAnsi" w:eastAsia="Times New Roman" w:hAnsiTheme="majorHAnsi" w:cs="Times New Roman"/>
          <w:sz w:val="24"/>
          <w:szCs w:val="24"/>
          <w:lang w:val="ro-RO" w:eastAsia="en-US"/>
        </w:rPr>
        <w:t>T2 was extended by an addendum until the beginning of gas year 2017-2018 (1.10.2017) with the approval of the European Commission.</w:t>
      </w:r>
    </w:p>
    <w:p w:rsidR="0037604E" w:rsidRPr="0037604E" w:rsidRDefault="0037604E" w:rsidP="0037604E">
      <w:pPr>
        <w:spacing w:after="0" w:line="240" w:lineRule="auto"/>
        <w:ind w:left="90" w:firstLine="0"/>
        <w:jc w:val="both"/>
        <w:rPr>
          <w:rFonts w:ascii="Cambria" w:eastAsia="Times New Roman" w:hAnsi="Cambria" w:cs="Times New Roman"/>
          <w:color w:val="000000"/>
          <w:sz w:val="24"/>
          <w:szCs w:val="24"/>
          <w:lang w:val="en-GB" w:eastAsia="ro-RO"/>
        </w:rPr>
      </w:pPr>
    </w:p>
    <w:p w:rsidR="0037604E" w:rsidRPr="0037604E" w:rsidRDefault="0037604E" w:rsidP="0037604E">
      <w:pPr>
        <w:autoSpaceDE w:val="0"/>
        <w:autoSpaceDN w:val="0"/>
        <w:adjustRightInd w:val="0"/>
        <w:spacing w:after="0" w:line="240" w:lineRule="auto"/>
        <w:ind w:firstLine="0"/>
        <w:jc w:val="both"/>
        <w:rPr>
          <w:rFonts w:asciiTheme="majorHAnsi" w:eastAsia="Calibri" w:hAnsiTheme="majorHAnsi" w:cs="TimesNewRoman"/>
          <w:sz w:val="24"/>
          <w:szCs w:val="24"/>
          <w:lang w:val="fr-FR" w:eastAsia="en-US"/>
        </w:rPr>
      </w:pPr>
      <w:r w:rsidRPr="0037604E">
        <w:rPr>
          <w:rFonts w:asciiTheme="majorHAnsi" w:eastAsia="Calibri" w:hAnsiTheme="majorHAnsi" w:cs="TimesNewRoman"/>
          <w:sz w:val="24"/>
          <w:szCs w:val="24"/>
          <w:lang w:val="fr-FR" w:eastAsia="en-US"/>
        </w:rPr>
        <w:t>Starting with gas year 2016 – 2017 the transmission capacity of the Transit 1 pipeline is traded by auctions, according to the CAM-NC at cross-border IPs and to ANRE Order 34/2016.</w:t>
      </w:r>
    </w:p>
    <w:p w:rsidR="0037604E" w:rsidRPr="0037604E" w:rsidRDefault="0037604E" w:rsidP="0037604E">
      <w:pPr>
        <w:autoSpaceDE w:val="0"/>
        <w:autoSpaceDN w:val="0"/>
        <w:adjustRightInd w:val="0"/>
        <w:spacing w:after="0" w:line="240" w:lineRule="auto"/>
        <w:ind w:firstLine="0"/>
        <w:jc w:val="both"/>
        <w:rPr>
          <w:rFonts w:asciiTheme="majorHAnsi" w:eastAsia="Calibri" w:hAnsiTheme="majorHAnsi" w:cs="TimesNewRoman"/>
          <w:sz w:val="24"/>
          <w:szCs w:val="24"/>
          <w:lang w:val="fr-FR" w:eastAsia="en-US"/>
        </w:rPr>
      </w:pPr>
    </w:p>
    <w:p w:rsidR="0037604E" w:rsidRPr="0037604E" w:rsidRDefault="0037604E" w:rsidP="0037604E">
      <w:pPr>
        <w:autoSpaceDE w:val="0"/>
        <w:autoSpaceDN w:val="0"/>
        <w:adjustRightInd w:val="0"/>
        <w:spacing w:after="0" w:line="240" w:lineRule="auto"/>
        <w:ind w:firstLine="0"/>
        <w:jc w:val="both"/>
        <w:rPr>
          <w:rFonts w:asciiTheme="majorHAnsi" w:eastAsia="Calibri" w:hAnsiTheme="majorHAnsi" w:cs="DokChampa"/>
          <w:sz w:val="24"/>
          <w:szCs w:val="24"/>
          <w:lang w:val="ro-RO" w:eastAsia="en-US"/>
        </w:rPr>
      </w:pPr>
      <w:r w:rsidRPr="0037604E">
        <w:rPr>
          <w:rFonts w:asciiTheme="majorHAnsi" w:eastAsia="Calibri" w:hAnsiTheme="majorHAnsi" w:cs="TimesNewRoman"/>
          <w:sz w:val="24"/>
          <w:szCs w:val="24"/>
          <w:lang w:val="ro-RO" w:eastAsia="en-US"/>
        </w:rPr>
        <w:t xml:space="preserve">Transmission through the T2 and T3 pipelines is not compliant with the European regulations on third party access, but with government agreements and contracts concluded with </w:t>
      </w:r>
      <w:r w:rsidRPr="0037604E">
        <w:rPr>
          <w:rFonts w:asciiTheme="majorHAnsi" w:eastAsia="Calibri" w:hAnsiTheme="majorHAnsi" w:cs="DokChampa"/>
          <w:sz w:val="24"/>
          <w:szCs w:val="24"/>
          <w:lang w:val="ro-RO" w:eastAsia="en-US"/>
        </w:rPr>
        <w:t xml:space="preserve">Gazprom Export. Setting the national regulatory framework for the </w:t>
      </w:r>
      <w:r w:rsidRPr="0037604E">
        <w:rPr>
          <w:rFonts w:asciiTheme="majorHAnsi" w:eastAsia="Calibri" w:hAnsiTheme="majorHAnsi" w:cs="TimesNewRoman"/>
          <w:sz w:val="24"/>
          <w:szCs w:val="24"/>
          <w:lang w:val="ro-RO" w:eastAsia="en-US"/>
        </w:rPr>
        <w:t xml:space="preserve">T2 and T3 pipelines is a complex process, mainly because of </w:t>
      </w:r>
      <w:r w:rsidRPr="0037604E">
        <w:rPr>
          <w:rFonts w:asciiTheme="majorHAnsi" w:eastAsia="Calibri" w:hAnsiTheme="majorHAnsi" w:cs="DokChampa"/>
          <w:sz w:val="24"/>
          <w:szCs w:val="24"/>
          <w:lang w:val="ro-RO" w:eastAsia="en-US"/>
        </w:rPr>
        <w:t xml:space="preserve">factors beyond Transgaz. </w:t>
      </w:r>
    </w:p>
    <w:p w:rsidR="0037604E" w:rsidRPr="0037604E" w:rsidRDefault="0037604E" w:rsidP="0037604E">
      <w:pPr>
        <w:autoSpaceDE w:val="0"/>
        <w:autoSpaceDN w:val="0"/>
        <w:adjustRightInd w:val="0"/>
        <w:spacing w:after="0" w:line="240" w:lineRule="auto"/>
        <w:ind w:firstLine="0"/>
        <w:jc w:val="both"/>
        <w:rPr>
          <w:rFonts w:asciiTheme="majorHAnsi" w:eastAsia="Calibri" w:hAnsiTheme="majorHAnsi" w:cs="DokChampa"/>
          <w:sz w:val="24"/>
          <w:szCs w:val="24"/>
          <w:lang w:val="ro-RO" w:eastAsia="en-US"/>
        </w:rPr>
      </w:pPr>
    </w:p>
    <w:p w:rsidR="0037604E" w:rsidRPr="0037604E" w:rsidRDefault="0037604E" w:rsidP="0037604E">
      <w:pPr>
        <w:autoSpaceDE w:val="0"/>
        <w:autoSpaceDN w:val="0"/>
        <w:adjustRightInd w:val="0"/>
        <w:spacing w:after="0" w:line="240" w:lineRule="auto"/>
        <w:ind w:firstLine="0"/>
        <w:jc w:val="both"/>
        <w:rPr>
          <w:rFonts w:asciiTheme="majorHAnsi" w:eastAsia="Calibri" w:hAnsiTheme="majorHAnsi" w:cs="DokChampa"/>
          <w:sz w:val="24"/>
          <w:szCs w:val="24"/>
          <w:lang w:val="ro-RO" w:eastAsia="en-US"/>
        </w:rPr>
      </w:pPr>
      <w:r w:rsidRPr="0037604E">
        <w:rPr>
          <w:rFonts w:asciiTheme="majorHAnsi" w:eastAsia="Calibri" w:hAnsiTheme="majorHAnsi" w:cs="DokChampa"/>
          <w:sz w:val="24"/>
          <w:szCs w:val="24"/>
          <w:lang w:val="ro-RO" w:eastAsia="en-US"/>
        </w:rPr>
        <w:t xml:space="preserve">Nevertheless, our Company intends to solve in 2017 all issues raised by the infringement procedure with the support of the European Commission and conformation of the </w:t>
      </w:r>
      <w:r w:rsidRPr="0037604E">
        <w:rPr>
          <w:rFonts w:asciiTheme="majorHAnsi" w:eastAsia="Calibri" w:hAnsiTheme="majorHAnsi" w:cs="DokChampa"/>
          <w:sz w:val="24"/>
          <w:szCs w:val="24"/>
          <w:lang w:val="ro-RO" w:eastAsia="en-US"/>
        </w:rPr>
        <w:lastRenderedPageBreak/>
        <w:t>national framework regarding third party access to the transmission capacity with the European regulations.</w:t>
      </w:r>
    </w:p>
    <w:p w:rsidR="0037604E" w:rsidRDefault="0037604E" w:rsidP="0037604E">
      <w:pPr>
        <w:autoSpaceDE w:val="0"/>
        <w:autoSpaceDN w:val="0"/>
        <w:adjustRightInd w:val="0"/>
        <w:spacing w:after="0" w:line="240" w:lineRule="auto"/>
        <w:ind w:firstLine="0"/>
        <w:jc w:val="both"/>
        <w:rPr>
          <w:rFonts w:asciiTheme="majorHAnsi" w:eastAsia="Calibri" w:hAnsiTheme="majorHAnsi" w:cs="DokChampa"/>
          <w:sz w:val="24"/>
          <w:szCs w:val="24"/>
          <w:lang w:val="ro-RO" w:eastAsia="en-US"/>
        </w:rPr>
      </w:pPr>
    </w:p>
    <w:p w:rsidR="0037604E" w:rsidRPr="00276073" w:rsidRDefault="00276073" w:rsidP="00276073">
      <w:pPr>
        <w:autoSpaceDE w:val="0"/>
        <w:autoSpaceDN w:val="0"/>
        <w:adjustRightInd w:val="0"/>
        <w:spacing w:after="0" w:line="240" w:lineRule="auto"/>
        <w:ind w:firstLine="0"/>
        <w:jc w:val="both"/>
        <w:rPr>
          <w:rFonts w:asciiTheme="majorHAnsi" w:eastAsia="Calibri" w:hAnsiTheme="majorHAnsi" w:cs="DokChampa"/>
          <w:sz w:val="24"/>
          <w:szCs w:val="24"/>
          <w:lang w:val="ro-RO" w:eastAsia="en-US"/>
        </w:rPr>
      </w:pPr>
      <w:r w:rsidRPr="00276073">
        <w:rPr>
          <w:rFonts w:asciiTheme="majorHAnsi" w:eastAsia="Calibri" w:hAnsiTheme="majorHAnsi" w:cs="DokChampa"/>
          <w:sz w:val="24"/>
          <w:szCs w:val="24"/>
          <w:lang w:val="ro-RO" w:eastAsia="en-US"/>
        </w:rPr>
        <w:t>In this respect, by the</w:t>
      </w:r>
      <w:r>
        <w:rPr>
          <w:rFonts w:asciiTheme="majorHAnsi" w:eastAsia="Calibri" w:hAnsiTheme="majorHAnsi" w:cs="DokChampa"/>
          <w:sz w:val="24"/>
          <w:szCs w:val="24"/>
          <w:lang w:val="ro-RO" w:eastAsia="en-US"/>
        </w:rPr>
        <w:t xml:space="preserve"> support of the</w:t>
      </w:r>
      <w:r w:rsidRPr="00276073">
        <w:rPr>
          <w:rFonts w:asciiTheme="majorHAnsi" w:eastAsia="Calibri" w:hAnsiTheme="majorHAnsi" w:cs="DokChampa"/>
          <w:sz w:val="24"/>
          <w:szCs w:val="24"/>
          <w:lang w:val="ro-RO" w:eastAsia="en-US"/>
        </w:rPr>
        <w:t xml:space="preserve"> European Commission, </w:t>
      </w:r>
      <w:r>
        <w:rPr>
          <w:rFonts w:asciiTheme="majorHAnsi" w:eastAsia="Calibri" w:hAnsiTheme="majorHAnsi" w:cs="DokChampa"/>
          <w:sz w:val="24"/>
          <w:szCs w:val="24"/>
          <w:lang w:val="ro-RO" w:eastAsia="en-US"/>
        </w:rPr>
        <w:t xml:space="preserve">the </w:t>
      </w:r>
      <w:r w:rsidRPr="00276073">
        <w:rPr>
          <w:rFonts w:asciiTheme="majorHAnsi" w:eastAsia="Calibri" w:hAnsiTheme="majorHAnsi" w:cs="DokChampa"/>
          <w:sz w:val="24"/>
          <w:szCs w:val="24"/>
          <w:lang w:val="ro-RO" w:eastAsia="en-US"/>
        </w:rPr>
        <w:t xml:space="preserve">discussions </w:t>
      </w:r>
      <w:r>
        <w:rPr>
          <w:rFonts w:asciiTheme="majorHAnsi" w:eastAsia="Calibri" w:hAnsiTheme="majorHAnsi" w:cs="DokChampa"/>
          <w:sz w:val="24"/>
          <w:szCs w:val="24"/>
          <w:lang w:val="ro-RO" w:eastAsia="en-US"/>
        </w:rPr>
        <w:t xml:space="preserve">for </w:t>
      </w:r>
      <w:r w:rsidRPr="00276073">
        <w:rPr>
          <w:rFonts w:asciiTheme="majorHAnsi" w:eastAsia="Calibri" w:hAnsiTheme="majorHAnsi" w:cs="DokChampa"/>
          <w:sz w:val="24"/>
          <w:szCs w:val="24"/>
          <w:lang w:val="ro-RO" w:eastAsia="en-US"/>
        </w:rPr>
        <w:t xml:space="preserve">agreeing on interconnection agreements for interconnection points Isaccea </w:t>
      </w:r>
      <w:r w:rsidRPr="0037604E">
        <w:rPr>
          <w:rFonts w:asciiTheme="majorHAnsi" w:eastAsia="Calibri" w:hAnsiTheme="majorHAnsi" w:cs="Times New Roman"/>
          <w:sz w:val="24"/>
          <w:szCs w:val="24"/>
          <w:lang w:val="ro-RO" w:eastAsia="en-US"/>
        </w:rPr>
        <w:t xml:space="preserve">2,3 </w:t>
      </w:r>
      <w:r>
        <w:rPr>
          <w:rFonts w:asciiTheme="majorHAnsi" w:eastAsia="Calibri" w:hAnsiTheme="majorHAnsi" w:cs="Times New Roman"/>
          <w:sz w:val="24"/>
          <w:szCs w:val="24"/>
          <w:lang w:val="ro-RO" w:eastAsia="en-US"/>
        </w:rPr>
        <w:t xml:space="preserve"> and </w:t>
      </w:r>
      <w:r>
        <w:rPr>
          <w:rFonts w:asciiTheme="majorHAnsi" w:eastAsia="Calibri" w:hAnsiTheme="majorHAnsi" w:cs="DokChampa"/>
          <w:sz w:val="24"/>
          <w:szCs w:val="24"/>
          <w:lang w:val="ro-RO" w:eastAsia="en-US"/>
        </w:rPr>
        <w:t>Negru Voda 2,3</w:t>
      </w:r>
      <w:r w:rsidRPr="00276073">
        <w:rPr>
          <w:rFonts w:asciiTheme="majorHAnsi" w:eastAsia="Calibri" w:hAnsiTheme="majorHAnsi" w:cs="DokChampa"/>
          <w:sz w:val="24"/>
          <w:szCs w:val="24"/>
          <w:lang w:val="ro-RO" w:eastAsia="en-US"/>
        </w:rPr>
        <w:t xml:space="preserve"> will be resumed during 2017.</w:t>
      </w:r>
    </w:p>
    <w:p w:rsidR="0037604E" w:rsidRPr="0037604E" w:rsidRDefault="0037604E" w:rsidP="0037604E">
      <w:pPr>
        <w:spacing w:after="0" w:line="240" w:lineRule="auto"/>
        <w:ind w:left="90" w:firstLine="0"/>
        <w:jc w:val="both"/>
        <w:rPr>
          <w:rFonts w:ascii="Cambria" w:eastAsia="Times New Roman" w:hAnsi="Cambria" w:cs="Times New Roman"/>
          <w:color w:val="000000"/>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DBE5F1" w:themeFill="accent1" w:themeFillTint="33"/>
        <w:spacing w:after="0" w:line="240" w:lineRule="auto"/>
        <w:ind w:firstLine="0"/>
        <w:outlineLvl w:val="2"/>
        <w:rPr>
          <w:rFonts w:ascii="Cambria" w:hAnsi="Cambria" w:cstheme="majorBidi"/>
          <w:b/>
          <w:bCs/>
          <w:i/>
          <w:iCs/>
          <w:sz w:val="24"/>
          <w:szCs w:val="24"/>
          <w:lang w:val="en-GB"/>
        </w:rPr>
      </w:pPr>
      <w:bookmarkStart w:id="28" w:name="_Toc414263623"/>
      <w:bookmarkStart w:id="29" w:name="_Toc446310821"/>
      <w:r w:rsidRPr="0037604E">
        <w:rPr>
          <w:rFonts w:ascii="Cambria" w:hAnsi="Cambria" w:cstheme="majorBidi"/>
          <w:b/>
          <w:bCs/>
          <w:i/>
          <w:iCs/>
          <w:sz w:val="24"/>
          <w:szCs w:val="24"/>
          <w:lang w:val="en-GB"/>
        </w:rPr>
        <w:t xml:space="preserve">3.1.4 </w:t>
      </w:r>
      <w:bookmarkEnd w:id="28"/>
      <w:r w:rsidRPr="0037604E">
        <w:rPr>
          <w:rFonts w:ascii="Cambria" w:eastAsia="Times New Roman" w:hAnsi="Cambria" w:cs="Times New Roman"/>
          <w:b/>
          <w:i/>
          <w:sz w:val="24"/>
          <w:szCs w:val="24"/>
          <w:lang w:val="en-GB"/>
        </w:rPr>
        <w:t>Other activities</w:t>
      </w:r>
      <w:bookmarkEnd w:id="29"/>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b/>
          <w:bCs/>
          <w:sz w:val="24"/>
          <w:szCs w:val="24"/>
          <w:lang w:val="en-GB"/>
        </w:rPr>
        <w:t xml:space="preserve">Other activities </w:t>
      </w:r>
      <w:r w:rsidRPr="0037604E">
        <w:rPr>
          <w:rFonts w:ascii="Cambria" w:eastAsia="Times New Roman" w:hAnsi="Cambria" w:cs="Cambria"/>
          <w:sz w:val="24"/>
          <w:szCs w:val="24"/>
          <w:lang w:val="en-GB"/>
        </w:rPr>
        <w:t>with a marginal contribution to the turnover of the company are mainly the sales of assets, rents and royalties</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DBE5F1" w:themeFill="accent1" w:themeFillTint="33"/>
        <w:spacing w:after="0" w:line="240" w:lineRule="auto"/>
        <w:ind w:firstLine="0"/>
        <w:outlineLvl w:val="2"/>
        <w:rPr>
          <w:rFonts w:ascii="Cambria" w:eastAsia="Times New Roman" w:hAnsi="Cambria" w:cs="Times New Roman"/>
          <w:b/>
          <w:i/>
          <w:iCs/>
          <w:sz w:val="24"/>
          <w:szCs w:val="24"/>
          <w:lang w:val="en-GB" w:eastAsia="ro-RO"/>
        </w:rPr>
      </w:pPr>
      <w:bookmarkStart w:id="30" w:name="_Toc414263624"/>
      <w:bookmarkStart w:id="31" w:name="_Toc446310822"/>
      <w:r w:rsidRPr="0037604E">
        <w:rPr>
          <w:rFonts w:ascii="Cambria" w:hAnsi="Cambria" w:cstheme="majorBidi"/>
          <w:b/>
          <w:bCs/>
          <w:i/>
          <w:iCs/>
          <w:sz w:val="24"/>
          <w:szCs w:val="24"/>
          <w:lang w:val="en-GB"/>
        </w:rPr>
        <w:t xml:space="preserve">3.1.5 </w:t>
      </w:r>
      <w:bookmarkEnd w:id="30"/>
      <w:r w:rsidRPr="0037604E">
        <w:rPr>
          <w:rFonts w:ascii="Cambria" w:eastAsia="Times New Roman" w:hAnsi="Cambria" w:cs="Cambria"/>
          <w:b/>
          <w:bCs/>
          <w:i/>
          <w:iCs/>
          <w:sz w:val="24"/>
          <w:szCs w:val="24"/>
          <w:lang w:val="en-GB"/>
        </w:rPr>
        <w:t>Evaluation of the provision of natural gas transmission service</w:t>
      </w:r>
      <w:bookmarkEnd w:id="31"/>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Transgaz is the only transmission system operator in Romania. The table below shows the evolution of the domestic and international gas transmission services for</w:t>
      </w:r>
      <w:r w:rsidRPr="0037604E">
        <w:rPr>
          <w:rFonts w:ascii="Cambria" w:eastAsia="Times New Roman" w:hAnsi="Cambria" w:cs="Times New Roman"/>
          <w:sz w:val="24"/>
          <w:szCs w:val="24"/>
          <w:lang w:val="en-GB" w:eastAsia="ro-RO"/>
        </w:rPr>
        <w:t xml:space="preserve"> the period 2013 - 2016.</w:t>
      </w:r>
    </w:p>
    <w:tbl>
      <w:tblPr>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13"/>
        <w:gridCol w:w="1599"/>
        <w:gridCol w:w="1466"/>
        <w:gridCol w:w="1276"/>
        <w:gridCol w:w="1275"/>
        <w:gridCol w:w="1276"/>
        <w:gridCol w:w="1276"/>
      </w:tblGrid>
      <w:tr w:rsidR="00CD2B62" w:rsidRPr="00CD2B62" w:rsidTr="00CD2B62">
        <w:trPr>
          <w:trHeight w:val="243"/>
          <w:tblCellSpacing w:w="20" w:type="dxa"/>
        </w:trPr>
        <w:tc>
          <w:tcPr>
            <w:tcW w:w="553" w:type="dxa"/>
            <w:vMerge w:val="restart"/>
            <w:shd w:val="clear" w:color="auto" w:fill="D6E0F4"/>
            <w:vAlign w:val="center"/>
            <w:hideMark/>
          </w:tcPr>
          <w:p w:rsidR="00CD2B62" w:rsidRPr="00CD2B62" w:rsidRDefault="00CD2B62" w:rsidP="008C7102">
            <w:pPr>
              <w:spacing w:after="0" w:line="240" w:lineRule="auto"/>
              <w:ind w:firstLine="0"/>
              <w:jc w:val="center"/>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No.</w:t>
            </w:r>
          </w:p>
        </w:tc>
        <w:tc>
          <w:tcPr>
            <w:tcW w:w="1559" w:type="dxa"/>
            <w:vMerge w:val="restart"/>
            <w:shd w:val="clear" w:color="auto" w:fill="D6E0F4"/>
            <w:vAlign w:val="center"/>
            <w:hideMark/>
          </w:tcPr>
          <w:p w:rsidR="00CD2B62" w:rsidRPr="00CD2B62" w:rsidRDefault="00CD2B62" w:rsidP="00CD2B62">
            <w:pPr>
              <w:spacing w:after="0" w:line="240" w:lineRule="auto"/>
              <w:ind w:firstLine="0"/>
              <w:jc w:val="center"/>
              <w:rPr>
                <w:rFonts w:ascii="Cambria" w:eastAsia="Times New Roman" w:hAnsi="Cambria" w:cs="Arial"/>
                <w:b/>
                <w:bCs/>
                <w:sz w:val="18"/>
                <w:szCs w:val="18"/>
                <w:lang w:val="ro-RO" w:eastAsia="ro-RO"/>
              </w:rPr>
            </w:pPr>
            <w:r w:rsidRPr="00CD2B62">
              <w:rPr>
                <w:rFonts w:asciiTheme="majorHAnsi" w:eastAsia="Times New Roman" w:hAnsiTheme="majorHAnsi" w:cs="Arial"/>
                <w:b/>
                <w:bCs/>
                <w:sz w:val="18"/>
                <w:szCs w:val="18"/>
                <w:lang w:val="en-GB" w:eastAsia="ro-RO"/>
              </w:rPr>
              <w:t>Specification</w:t>
            </w:r>
            <w:r w:rsidRPr="00CD2B62">
              <w:rPr>
                <w:rFonts w:ascii="Cambria" w:eastAsia="Times New Roman" w:hAnsi="Cambria" w:cs="Arial"/>
                <w:b/>
                <w:bCs/>
                <w:sz w:val="18"/>
                <w:szCs w:val="18"/>
                <w:lang w:val="ro-RO" w:eastAsia="ro-RO"/>
              </w:rPr>
              <w:t xml:space="preserve"> </w:t>
            </w:r>
          </w:p>
        </w:tc>
        <w:tc>
          <w:tcPr>
            <w:tcW w:w="5253" w:type="dxa"/>
            <w:gridSpan w:val="4"/>
            <w:shd w:val="clear" w:color="auto" w:fill="D6E0F4"/>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Theme="majorHAnsi" w:eastAsia="Times New Roman" w:hAnsiTheme="majorHAnsi" w:cs="Arial"/>
                <w:b/>
                <w:bCs/>
                <w:sz w:val="18"/>
                <w:szCs w:val="18"/>
                <w:lang w:val="en-GB" w:eastAsia="ro-RO"/>
              </w:rPr>
              <w:t>Achieved at 31 December</w:t>
            </w:r>
          </w:p>
        </w:tc>
        <w:tc>
          <w:tcPr>
            <w:tcW w:w="1216" w:type="dxa"/>
            <w:vMerge w:val="restart"/>
            <w:shd w:val="clear" w:color="auto" w:fill="D6E0F4"/>
            <w:vAlign w:val="center"/>
            <w:hideMark/>
          </w:tcPr>
          <w:p w:rsidR="00CD2B62" w:rsidRPr="00CD2B62" w:rsidRDefault="00CD2B62" w:rsidP="008C7102">
            <w:pPr>
              <w:spacing w:after="0" w:line="240" w:lineRule="auto"/>
              <w:ind w:firstLine="0"/>
              <w:jc w:val="center"/>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Dynamics (%)</w:t>
            </w:r>
          </w:p>
        </w:tc>
      </w:tr>
      <w:tr w:rsidR="00CD2B62" w:rsidRPr="00CD2B62" w:rsidTr="00CD2B62">
        <w:trPr>
          <w:trHeight w:val="158"/>
          <w:tblCellSpacing w:w="20" w:type="dxa"/>
        </w:trPr>
        <w:tc>
          <w:tcPr>
            <w:tcW w:w="553" w:type="dxa"/>
            <w:vMerge/>
            <w:shd w:val="clear" w:color="auto" w:fill="D6E0F4"/>
            <w:vAlign w:val="center"/>
            <w:hideMark/>
          </w:tcPr>
          <w:p w:rsidR="00CD2B62" w:rsidRPr="00CD2B62" w:rsidRDefault="00CD2B62" w:rsidP="008C7102">
            <w:pPr>
              <w:spacing w:after="0" w:line="240" w:lineRule="auto"/>
              <w:ind w:firstLine="0"/>
              <w:rPr>
                <w:rFonts w:ascii="Cambria" w:eastAsia="Times New Roman" w:hAnsi="Cambria" w:cs="Arial"/>
                <w:b/>
                <w:bCs/>
                <w:sz w:val="18"/>
                <w:szCs w:val="18"/>
                <w:lang w:val="ro-RO" w:eastAsia="ro-RO"/>
              </w:rPr>
            </w:pPr>
          </w:p>
        </w:tc>
        <w:tc>
          <w:tcPr>
            <w:tcW w:w="1559" w:type="dxa"/>
            <w:vMerge/>
            <w:shd w:val="clear" w:color="auto" w:fill="D6E0F4"/>
            <w:vAlign w:val="center"/>
            <w:hideMark/>
          </w:tcPr>
          <w:p w:rsidR="00CD2B62" w:rsidRPr="00CD2B62" w:rsidRDefault="00CD2B62" w:rsidP="008C7102">
            <w:pPr>
              <w:spacing w:after="0" w:line="240" w:lineRule="auto"/>
              <w:ind w:firstLine="0"/>
              <w:rPr>
                <w:rFonts w:ascii="Cambria" w:eastAsia="Times New Roman" w:hAnsi="Cambria" w:cs="Arial"/>
                <w:b/>
                <w:bCs/>
                <w:sz w:val="18"/>
                <w:szCs w:val="18"/>
                <w:lang w:val="ro-RO" w:eastAsia="ro-RO"/>
              </w:rPr>
            </w:pPr>
          </w:p>
        </w:tc>
        <w:tc>
          <w:tcPr>
            <w:tcW w:w="1426" w:type="dxa"/>
            <w:shd w:val="clear" w:color="auto" w:fill="D6E0F4"/>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2016</w:t>
            </w:r>
          </w:p>
        </w:tc>
        <w:tc>
          <w:tcPr>
            <w:tcW w:w="1236" w:type="dxa"/>
            <w:shd w:val="clear" w:color="auto" w:fill="D6E0F4"/>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2015</w:t>
            </w:r>
          </w:p>
        </w:tc>
        <w:tc>
          <w:tcPr>
            <w:tcW w:w="1235"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2014</w:t>
            </w:r>
          </w:p>
        </w:tc>
        <w:tc>
          <w:tcPr>
            <w:tcW w:w="1236"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2013</w:t>
            </w:r>
          </w:p>
        </w:tc>
        <w:tc>
          <w:tcPr>
            <w:tcW w:w="1216" w:type="dxa"/>
            <w:vMerge/>
            <w:shd w:val="clear" w:color="auto" w:fill="D6E0F4"/>
            <w:vAlign w:val="center"/>
            <w:hideMark/>
          </w:tcPr>
          <w:p w:rsidR="00CD2B62" w:rsidRPr="00CD2B62" w:rsidRDefault="00CD2B62" w:rsidP="008C7102">
            <w:pPr>
              <w:spacing w:after="0" w:line="240" w:lineRule="auto"/>
              <w:ind w:firstLine="0"/>
              <w:rPr>
                <w:rFonts w:ascii="Cambria" w:eastAsia="Times New Roman" w:hAnsi="Cambria" w:cs="Arial"/>
                <w:b/>
                <w:bCs/>
                <w:sz w:val="18"/>
                <w:szCs w:val="18"/>
                <w:lang w:val="ro-RO" w:eastAsia="ro-RO"/>
              </w:rPr>
            </w:pPr>
          </w:p>
        </w:tc>
      </w:tr>
      <w:tr w:rsidR="00CD2B62" w:rsidRPr="00CD2B62" w:rsidTr="00CD2B62">
        <w:trPr>
          <w:trHeight w:val="159"/>
          <w:tblCellSpacing w:w="20" w:type="dxa"/>
        </w:trPr>
        <w:tc>
          <w:tcPr>
            <w:tcW w:w="553"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0</w:t>
            </w:r>
          </w:p>
        </w:tc>
        <w:tc>
          <w:tcPr>
            <w:tcW w:w="1559"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w:t>
            </w:r>
          </w:p>
        </w:tc>
        <w:tc>
          <w:tcPr>
            <w:tcW w:w="1426" w:type="dxa"/>
            <w:shd w:val="clear" w:color="auto" w:fill="D6E0F4"/>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2</w:t>
            </w:r>
          </w:p>
        </w:tc>
        <w:tc>
          <w:tcPr>
            <w:tcW w:w="1236" w:type="dxa"/>
            <w:shd w:val="clear" w:color="auto" w:fill="D6E0F4"/>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3</w:t>
            </w:r>
          </w:p>
        </w:tc>
        <w:tc>
          <w:tcPr>
            <w:tcW w:w="1235"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4</w:t>
            </w:r>
          </w:p>
        </w:tc>
        <w:tc>
          <w:tcPr>
            <w:tcW w:w="1236"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5</w:t>
            </w:r>
          </w:p>
        </w:tc>
        <w:tc>
          <w:tcPr>
            <w:tcW w:w="1216" w:type="dxa"/>
            <w:shd w:val="clear" w:color="auto" w:fill="D6E0F4"/>
            <w:vAlign w:val="center"/>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6=2/3*100</w:t>
            </w:r>
          </w:p>
        </w:tc>
      </w:tr>
      <w:tr w:rsidR="00CD2B62" w:rsidRPr="00CD2B62" w:rsidTr="00CD2B62">
        <w:trPr>
          <w:trHeight w:val="152"/>
          <w:tblCellSpacing w:w="20" w:type="dxa"/>
        </w:trPr>
        <w:tc>
          <w:tcPr>
            <w:tcW w:w="553"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1.</w:t>
            </w:r>
          </w:p>
        </w:tc>
        <w:tc>
          <w:tcPr>
            <w:tcW w:w="8108" w:type="dxa"/>
            <w:gridSpan w:val="6"/>
            <w:shd w:val="clear" w:color="auto" w:fill="D6E0F4"/>
            <w:vAlign w:val="center"/>
          </w:tcPr>
          <w:p w:rsidR="00CD2B62" w:rsidRPr="00CD2B62" w:rsidRDefault="00CD2B62" w:rsidP="008C7102">
            <w:pPr>
              <w:spacing w:after="0" w:line="240" w:lineRule="auto"/>
              <w:ind w:firstLine="0"/>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Revenue from the transmission activity</w:t>
            </w:r>
            <w:r w:rsidRPr="00CD2B62">
              <w:rPr>
                <w:rFonts w:asciiTheme="majorHAnsi" w:eastAsia="Times New Roman" w:hAnsiTheme="majorHAnsi" w:cs="Arial"/>
                <w:sz w:val="18"/>
                <w:szCs w:val="18"/>
                <w:lang w:val="en-GB" w:eastAsia="ro-RO"/>
              </w:rPr>
              <w:t> </w:t>
            </w:r>
          </w:p>
        </w:tc>
      </w:tr>
      <w:tr w:rsidR="00CD2B62" w:rsidRPr="00CD2B62" w:rsidTr="00CD2B62">
        <w:trPr>
          <w:trHeight w:val="155"/>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thousand RON</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1.360.355</w:t>
            </w:r>
          </w:p>
        </w:tc>
        <w:tc>
          <w:tcPr>
            <w:tcW w:w="1236" w:type="dxa"/>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1.259.788</w:t>
            </w:r>
          </w:p>
        </w:tc>
        <w:tc>
          <w:tcPr>
            <w:tcW w:w="1235"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1.340.853</w:t>
            </w:r>
          </w:p>
        </w:tc>
        <w:tc>
          <w:tcPr>
            <w:tcW w:w="123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1.210.480</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107,98</w:t>
            </w:r>
          </w:p>
        </w:tc>
      </w:tr>
      <w:tr w:rsidR="00CD2B62" w:rsidRPr="00CD2B62" w:rsidTr="00CD2B62">
        <w:trPr>
          <w:trHeight w:val="159"/>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MWh</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129.786.374</w:t>
            </w:r>
          </w:p>
        </w:tc>
        <w:tc>
          <w:tcPr>
            <w:tcW w:w="1236" w:type="dxa"/>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131.259.673</w:t>
            </w:r>
          </w:p>
        </w:tc>
        <w:tc>
          <w:tcPr>
            <w:tcW w:w="1235"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126.703.188</w:t>
            </w:r>
          </w:p>
        </w:tc>
        <w:tc>
          <w:tcPr>
            <w:tcW w:w="123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119.741.363</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98,88</w:t>
            </w:r>
          </w:p>
        </w:tc>
      </w:tr>
      <w:tr w:rsidR="00CD2B62" w:rsidRPr="00CD2B62" w:rsidTr="00CD2B62">
        <w:trPr>
          <w:trHeight w:val="161"/>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RON/MWh</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10,48</w:t>
            </w:r>
          </w:p>
        </w:tc>
        <w:tc>
          <w:tcPr>
            <w:tcW w:w="1236" w:type="dxa"/>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9,60</w:t>
            </w:r>
          </w:p>
        </w:tc>
        <w:tc>
          <w:tcPr>
            <w:tcW w:w="1235"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10,58</w:t>
            </w:r>
          </w:p>
        </w:tc>
        <w:tc>
          <w:tcPr>
            <w:tcW w:w="123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10,11</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109,21</w:t>
            </w:r>
          </w:p>
        </w:tc>
      </w:tr>
      <w:tr w:rsidR="00CD2B62" w:rsidRPr="00CD2B62" w:rsidTr="00CD2B62">
        <w:trPr>
          <w:trHeight w:val="58"/>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thousand cm</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12.074.677</w:t>
            </w:r>
          </w:p>
        </w:tc>
        <w:tc>
          <w:tcPr>
            <w:tcW w:w="1236" w:type="dxa"/>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12.294.693</w:t>
            </w:r>
          </w:p>
        </w:tc>
        <w:tc>
          <w:tcPr>
            <w:tcW w:w="1235"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11.883.713</w:t>
            </w:r>
          </w:p>
        </w:tc>
        <w:tc>
          <w:tcPr>
            <w:tcW w:w="123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11.258.941</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98,21</w:t>
            </w:r>
          </w:p>
        </w:tc>
      </w:tr>
      <w:tr w:rsidR="00CD2B62" w:rsidRPr="00CD2B62" w:rsidTr="00CD2B62">
        <w:trPr>
          <w:trHeight w:val="157"/>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RON/1000 mc</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112,66</w:t>
            </w:r>
          </w:p>
        </w:tc>
        <w:tc>
          <w:tcPr>
            <w:tcW w:w="1236" w:type="dxa"/>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102,47</w:t>
            </w:r>
          </w:p>
        </w:tc>
        <w:tc>
          <w:tcPr>
            <w:tcW w:w="1235"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112,83</w:t>
            </w:r>
          </w:p>
        </w:tc>
        <w:tc>
          <w:tcPr>
            <w:tcW w:w="123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107,51</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109,95</w:t>
            </w:r>
          </w:p>
        </w:tc>
      </w:tr>
      <w:tr w:rsidR="00CD2B62" w:rsidRPr="00CD2B62" w:rsidTr="008C7102">
        <w:trPr>
          <w:trHeight w:val="171"/>
          <w:tblCellSpacing w:w="20" w:type="dxa"/>
        </w:trPr>
        <w:tc>
          <w:tcPr>
            <w:tcW w:w="553" w:type="dxa"/>
            <w:shd w:val="clear" w:color="auto" w:fill="D6E0F4"/>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2.</w:t>
            </w:r>
          </w:p>
        </w:tc>
        <w:tc>
          <w:tcPr>
            <w:tcW w:w="8108" w:type="dxa"/>
            <w:gridSpan w:val="6"/>
            <w:shd w:val="clear" w:color="auto" w:fill="D6E0F4"/>
            <w:vAlign w:val="center"/>
          </w:tcPr>
          <w:p w:rsidR="00CD2B62" w:rsidRPr="00CD2B62" w:rsidRDefault="00CD2B62" w:rsidP="008C7102">
            <w:pPr>
              <w:spacing w:after="0" w:line="240" w:lineRule="auto"/>
              <w:ind w:firstLine="0"/>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Revenue from the international gas transmission activity</w:t>
            </w:r>
          </w:p>
        </w:tc>
      </w:tr>
      <w:tr w:rsidR="00CD2B62" w:rsidRPr="00CD2B62" w:rsidTr="00CD2B62">
        <w:trPr>
          <w:trHeight w:val="141"/>
          <w:tblCellSpacing w:w="20" w:type="dxa"/>
        </w:trPr>
        <w:tc>
          <w:tcPr>
            <w:tcW w:w="553" w:type="dxa"/>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thousand RON</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328.571</w:t>
            </w:r>
          </w:p>
        </w:tc>
        <w:tc>
          <w:tcPr>
            <w:tcW w:w="123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318.752</w:t>
            </w:r>
          </w:p>
        </w:tc>
        <w:tc>
          <w:tcPr>
            <w:tcW w:w="1235"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273.760</w:t>
            </w:r>
          </w:p>
        </w:tc>
        <w:tc>
          <w:tcPr>
            <w:tcW w:w="1236"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268.537</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103,08</w:t>
            </w:r>
          </w:p>
        </w:tc>
      </w:tr>
      <w:tr w:rsidR="00CD2B62" w:rsidRPr="00CD2B62" w:rsidTr="00CD2B62">
        <w:trPr>
          <w:trHeight w:val="158"/>
          <w:tblCellSpacing w:w="20" w:type="dxa"/>
        </w:trPr>
        <w:tc>
          <w:tcPr>
            <w:tcW w:w="553" w:type="dxa"/>
            <w:shd w:val="clear" w:color="auto" w:fill="D6E0F4"/>
            <w:vAlign w:val="center"/>
            <w:hideMark/>
          </w:tcPr>
          <w:p w:rsidR="00CD2B62" w:rsidRPr="00CD2B62" w:rsidRDefault="00DB552B" w:rsidP="008C7102">
            <w:pPr>
              <w:spacing w:after="0" w:line="240" w:lineRule="auto"/>
              <w:ind w:firstLine="0"/>
              <w:jc w:val="center"/>
              <w:rPr>
                <w:rFonts w:ascii="Cambria" w:eastAsia="Times New Roman" w:hAnsi="Cambria" w:cs="Arial"/>
                <w:b/>
                <w:bCs/>
                <w:sz w:val="18"/>
                <w:szCs w:val="18"/>
                <w:lang w:val="ro-RO" w:eastAsia="ro-RO"/>
              </w:rPr>
            </w:pPr>
            <w:r>
              <w:rPr>
                <w:rFonts w:ascii="Cambria" w:eastAsia="Times New Roman" w:hAnsi="Cambria" w:cs="Arial"/>
                <w:b/>
                <w:bCs/>
                <w:sz w:val="18"/>
                <w:szCs w:val="18"/>
                <w:lang w:val="ro-RO" w:eastAsia="ro-RO"/>
              </w:rPr>
              <w:t>3</w:t>
            </w:r>
            <w:r w:rsidR="00CD2B62" w:rsidRPr="00CD2B62">
              <w:rPr>
                <w:rFonts w:ascii="Cambria" w:eastAsia="Times New Roman" w:hAnsi="Cambria" w:cs="Arial"/>
                <w:b/>
                <w:bCs/>
                <w:sz w:val="18"/>
                <w:szCs w:val="18"/>
                <w:lang w:val="ro-RO" w:eastAsia="ro-RO"/>
              </w:rPr>
              <w:t>.</w:t>
            </w:r>
          </w:p>
        </w:tc>
        <w:tc>
          <w:tcPr>
            <w:tcW w:w="8108" w:type="dxa"/>
            <w:gridSpan w:val="6"/>
            <w:shd w:val="clear" w:color="auto" w:fill="D6E0F4"/>
          </w:tcPr>
          <w:p w:rsidR="00CD2B62" w:rsidRPr="00CD2B62" w:rsidRDefault="00CD2B62" w:rsidP="008C7102">
            <w:pPr>
              <w:spacing w:after="0" w:line="240" w:lineRule="auto"/>
              <w:ind w:firstLine="0"/>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 xml:space="preserve">Other operating revenue </w:t>
            </w:r>
          </w:p>
        </w:tc>
      </w:tr>
      <w:tr w:rsidR="00CD2B62" w:rsidRPr="00CD2B62" w:rsidTr="00CD2B62">
        <w:trPr>
          <w:trHeight w:val="129"/>
          <w:tblCellSpacing w:w="20" w:type="dxa"/>
        </w:trPr>
        <w:tc>
          <w:tcPr>
            <w:tcW w:w="553" w:type="dxa"/>
            <w:shd w:val="clear" w:color="auto" w:fill="auto"/>
            <w:noWrap/>
            <w:vAlign w:val="center"/>
            <w:hideMark/>
          </w:tcPr>
          <w:p w:rsidR="00CD2B62" w:rsidRPr="00CD2B62" w:rsidRDefault="00CD2B62" w:rsidP="008C7102">
            <w:pPr>
              <w:spacing w:after="0" w:line="240" w:lineRule="auto"/>
              <w:ind w:firstLine="0"/>
              <w:jc w:val="center"/>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 </w:t>
            </w: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sz w:val="18"/>
                <w:szCs w:val="18"/>
                <w:lang w:val="en-GB" w:eastAsia="ro-RO"/>
              </w:rPr>
            </w:pPr>
            <w:r w:rsidRPr="00CD2B62">
              <w:rPr>
                <w:rFonts w:asciiTheme="majorHAnsi" w:eastAsia="Times New Roman" w:hAnsiTheme="majorHAnsi" w:cs="Arial"/>
                <w:sz w:val="18"/>
                <w:szCs w:val="18"/>
                <w:lang w:val="en-GB" w:eastAsia="ro-RO"/>
              </w:rPr>
              <w:t xml:space="preserve"> - thousand RON</w:t>
            </w:r>
          </w:p>
        </w:tc>
        <w:tc>
          <w:tcPr>
            <w:tcW w:w="142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126.459</w:t>
            </w:r>
          </w:p>
        </w:tc>
        <w:tc>
          <w:tcPr>
            <w:tcW w:w="1236" w:type="dxa"/>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84.858</w:t>
            </w:r>
          </w:p>
        </w:tc>
        <w:tc>
          <w:tcPr>
            <w:tcW w:w="1235"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40.706</w:t>
            </w:r>
          </w:p>
        </w:tc>
        <w:tc>
          <w:tcPr>
            <w:tcW w:w="1236"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37.623</w:t>
            </w:r>
          </w:p>
        </w:tc>
        <w:tc>
          <w:tcPr>
            <w:tcW w:w="1216" w:type="dxa"/>
            <w:shd w:val="clear" w:color="auto" w:fill="auto"/>
            <w:vAlign w:val="center"/>
          </w:tcPr>
          <w:p w:rsidR="00CD2B62" w:rsidRPr="00CD2B62" w:rsidRDefault="00CD2B62" w:rsidP="008C7102">
            <w:pPr>
              <w:spacing w:after="0" w:line="240" w:lineRule="auto"/>
              <w:ind w:firstLine="0"/>
              <w:jc w:val="right"/>
              <w:rPr>
                <w:rFonts w:ascii="Cambria" w:eastAsia="Times New Roman" w:hAnsi="Cambria" w:cs="Arial"/>
                <w:sz w:val="18"/>
                <w:szCs w:val="18"/>
                <w:lang w:val="ro-RO" w:eastAsia="ro-RO"/>
              </w:rPr>
            </w:pPr>
            <w:r w:rsidRPr="00CD2B62">
              <w:rPr>
                <w:rFonts w:ascii="Cambria" w:eastAsia="Times New Roman" w:hAnsi="Cambria" w:cs="Arial"/>
                <w:sz w:val="18"/>
                <w:szCs w:val="18"/>
                <w:lang w:val="ro-RO" w:eastAsia="ro-RO"/>
              </w:rPr>
              <w:t>149,02</w:t>
            </w:r>
          </w:p>
        </w:tc>
      </w:tr>
      <w:tr w:rsidR="00CD2B62" w:rsidRPr="00CD2B62" w:rsidTr="008C7102">
        <w:trPr>
          <w:trHeight w:val="139"/>
          <w:tblCellSpacing w:w="20" w:type="dxa"/>
        </w:trPr>
        <w:tc>
          <w:tcPr>
            <w:tcW w:w="553" w:type="dxa"/>
            <w:vMerge w:val="restart"/>
            <w:shd w:val="clear" w:color="auto" w:fill="auto"/>
            <w:vAlign w:val="center"/>
            <w:hideMark/>
          </w:tcPr>
          <w:p w:rsidR="00CD2B62" w:rsidRPr="00CD2B62" w:rsidRDefault="00CD2B62" w:rsidP="008C7102">
            <w:pPr>
              <w:spacing w:after="0" w:line="240" w:lineRule="auto"/>
              <w:ind w:firstLine="0"/>
              <w:jc w:val="center"/>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 </w:t>
            </w:r>
          </w:p>
        </w:tc>
        <w:tc>
          <w:tcPr>
            <w:tcW w:w="8108" w:type="dxa"/>
            <w:gridSpan w:val="6"/>
            <w:shd w:val="clear" w:color="auto" w:fill="DBE5F1"/>
            <w:vAlign w:val="center"/>
          </w:tcPr>
          <w:p w:rsidR="00CD2B62" w:rsidRPr="00CD2B62" w:rsidRDefault="00CD2B62" w:rsidP="00E82AC7">
            <w:pPr>
              <w:spacing w:after="0" w:line="240" w:lineRule="auto"/>
              <w:ind w:firstLine="0"/>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 xml:space="preserve">TOTAL OPERATING REVENUE before </w:t>
            </w:r>
            <w:r w:rsidR="00DB552B">
              <w:rPr>
                <w:rFonts w:asciiTheme="majorHAnsi" w:eastAsia="Times New Roman" w:hAnsiTheme="majorHAnsi" w:cs="Arial"/>
                <w:b/>
                <w:bCs/>
                <w:sz w:val="18"/>
                <w:szCs w:val="18"/>
                <w:lang w:val="en-GB" w:eastAsia="ro-RO"/>
              </w:rPr>
              <w:t xml:space="preserve">balancing and </w:t>
            </w:r>
            <w:r w:rsidR="00E82AC7">
              <w:rPr>
                <w:rFonts w:asciiTheme="majorHAnsi" w:eastAsia="Times New Roman" w:hAnsiTheme="majorHAnsi" w:cs="Arial"/>
                <w:b/>
                <w:bCs/>
                <w:sz w:val="18"/>
                <w:szCs w:val="18"/>
                <w:lang w:val="en-GB" w:eastAsia="ro-RO"/>
              </w:rPr>
              <w:t xml:space="preserve">the </w:t>
            </w:r>
            <w:r w:rsidRPr="00CD2B62">
              <w:rPr>
                <w:rFonts w:asciiTheme="majorHAnsi" w:eastAsia="Times New Roman" w:hAnsiTheme="majorHAnsi" w:cs="Arial"/>
                <w:b/>
                <w:bCs/>
                <w:sz w:val="18"/>
                <w:szCs w:val="18"/>
                <w:lang w:val="en-GB" w:eastAsia="ro-RO"/>
              </w:rPr>
              <w:t>construction activity according to IFRIC12</w:t>
            </w:r>
          </w:p>
        </w:tc>
      </w:tr>
      <w:tr w:rsidR="00CD2B62" w:rsidRPr="00CD2B62" w:rsidTr="00CD2B62">
        <w:trPr>
          <w:trHeight w:val="158"/>
          <w:tblCellSpacing w:w="20" w:type="dxa"/>
        </w:trPr>
        <w:tc>
          <w:tcPr>
            <w:tcW w:w="553" w:type="dxa"/>
            <w:vMerge/>
            <w:vAlign w:val="center"/>
            <w:hideMark/>
          </w:tcPr>
          <w:p w:rsidR="00CD2B62" w:rsidRPr="00CD2B62" w:rsidRDefault="00CD2B62" w:rsidP="008C7102">
            <w:pPr>
              <w:spacing w:after="0" w:line="240" w:lineRule="auto"/>
              <w:ind w:firstLine="0"/>
              <w:rPr>
                <w:rFonts w:ascii="Cambria" w:eastAsia="Times New Roman" w:hAnsi="Cambria" w:cs="Arial"/>
                <w:b/>
                <w:bCs/>
                <w:sz w:val="18"/>
                <w:szCs w:val="18"/>
                <w:lang w:val="ro-RO" w:eastAsia="ro-RO"/>
              </w:rPr>
            </w:pPr>
          </w:p>
        </w:tc>
        <w:tc>
          <w:tcPr>
            <w:tcW w:w="1559" w:type="dxa"/>
            <w:shd w:val="clear" w:color="auto" w:fill="auto"/>
            <w:vAlign w:val="center"/>
            <w:hideMark/>
          </w:tcPr>
          <w:p w:rsidR="00CD2B62" w:rsidRPr="00CD2B62" w:rsidRDefault="00CD2B62" w:rsidP="008C7102">
            <w:pPr>
              <w:spacing w:after="0" w:line="240" w:lineRule="auto"/>
              <w:ind w:firstLine="0"/>
              <w:rPr>
                <w:rFonts w:asciiTheme="majorHAnsi" w:eastAsia="Times New Roman" w:hAnsiTheme="majorHAnsi" w:cs="Arial"/>
                <w:b/>
                <w:bCs/>
                <w:sz w:val="18"/>
                <w:szCs w:val="18"/>
                <w:lang w:val="en-GB" w:eastAsia="ro-RO"/>
              </w:rPr>
            </w:pPr>
            <w:r w:rsidRPr="00CD2B62">
              <w:rPr>
                <w:rFonts w:asciiTheme="majorHAnsi" w:eastAsia="Times New Roman" w:hAnsiTheme="majorHAnsi" w:cs="Arial"/>
                <w:b/>
                <w:bCs/>
                <w:sz w:val="18"/>
                <w:szCs w:val="18"/>
                <w:lang w:val="en-GB" w:eastAsia="ro-RO"/>
              </w:rPr>
              <w:t>Thousand RON</w:t>
            </w:r>
          </w:p>
        </w:tc>
        <w:tc>
          <w:tcPr>
            <w:tcW w:w="1426" w:type="dxa"/>
          </w:tcPr>
          <w:p w:rsidR="00CD2B62" w:rsidRPr="00CD2B62" w:rsidRDefault="00DB552B" w:rsidP="008C7102">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1.8</w:t>
            </w:r>
            <w:r>
              <w:rPr>
                <w:rFonts w:ascii="Cambria" w:eastAsia="Times New Roman" w:hAnsi="Cambria" w:cs="Arial"/>
                <w:b/>
                <w:bCs/>
                <w:sz w:val="18"/>
                <w:szCs w:val="18"/>
                <w:lang w:val="ro-RO" w:eastAsia="ro-RO"/>
              </w:rPr>
              <w:t>15</w:t>
            </w:r>
            <w:r w:rsidRPr="00DE498D">
              <w:rPr>
                <w:rFonts w:ascii="Cambria" w:eastAsia="Times New Roman" w:hAnsi="Cambria" w:cs="Arial"/>
                <w:b/>
                <w:bCs/>
                <w:sz w:val="18"/>
                <w:szCs w:val="18"/>
                <w:lang w:val="ro-RO" w:eastAsia="ro-RO"/>
              </w:rPr>
              <w:t>.</w:t>
            </w:r>
            <w:r>
              <w:rPr>
                <w:rFonts w:ascii="Cambria" w:eastAsia="Times New Roman" w:hAnsi="Cambria" w:cs="Arial"/>
                <w:b/>
                <w:bCs/>
                <w:sz w:val="18"/>
                <w:szCs w:val="18"/>
                <w:lang w:val="ro-RO" w:eastAsia="ro-RO"/>
              </w:rPr>
              <w:t>385</w:t>
            </w:r>
          </w:p>
        </w:tc>
        <w:tc>
          <w:tcPr>
            <w:tcW w:w="1236" w:type="dxa"/>
          </w:tcPr>
          <w:p w:rsidR="00CD2B62" w:rsidRPr="00CD2B62" w:rsidRDefault="00CD2B62" w:rsidP="008C7102">
            <w:pPr>
              <w:spacing w:after="0" w:line="240" w:lineRule="auto"/>
              <w:ind w:firstLine="0"/>
              <w:jc w:val="right"/>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1.663.398</w:t>
            </w:r>
          </w:p>
        </w:tc>
        <w:tc>
          <w:tcPr>
            <w:tcW w:w="1235"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1.655.319</w:t>
            </w:r>
          </w:p>
        </w:tc>
        <w:tc>
          <w:tcPr>
            <w:tcW w:w="1236" w:type="dxa"/>
            <w:shd w:val="clear" w:color="auto" w:fill="auto"/>
            <w:vAlign w:val="center"/>
            <w:hideMark/>
          </w:tcPr>
          <w:p w:rsidR="00CD2B62" w:rsidRPr="00CD2B62" w:rsidRDefault="00CD2B62" w:rsidP="008C7102">
            <w:pPr>
              <w:spacing w:after="0" w:line="240" w:lineRule="auto"/>
              <w:ind w:firstLine="0"/>
              <w:jc w:val="right"/>
              <w:rPr>
                <w:rFonts w:ascii="Cambria" w:eastAsia="Times New Roman" w:hAnsi="Cambria" w:cs="Arial"/>
                <w:b/>
                <w:bCs/>
                <w:sz w:val="18"/>
                <w:szCs w:val="18"/>
                <w:lang w:val="ro-RO" w:eastAsia="ro-RO"/>
              </w:rPr>
            </w:pPr>
            <w:r w:rsidRPr="00CD2B62">
              <w:rPr>
                <w:rFonts w:ascii="Cambria" w:eastAsia="Times New Roman" w:hAnsi="Cambria" w:cs="Arial"/>
                <w:b/>
                <w:bCs/>
                <w:sz w:val="18"/>
                <w:szCs w:val="18"/>
                <w:lang w:val="ro-RO" w:eastAsia="ro-RO"/>
              </w:rPr>
              <w:t>1.516.640</w:t>
            </w:r>
          </w:p>
        </w:tc>
        <w:tc>
          <w:tcPr>
            <w:tcW w:w="1216" w:type="dxa"/>
            <w:shd w:val="clear" w:color="auto" w:fill="auto"/>
            <w:vAlign w:val="center"/>
          </w:tcPr>
          <w:p w:rsidR="00CD2B62" w:rsidRPr="00CD2B62" w:rsidRDefault="00DB552B" w:rsidP="008C7102">
            <w:pPr>
              <w:spacing w:after="0" w:line="240" w:lineRule="auto"/>
              <w:ind w:firstLine="0"/>
              <w:jc w:val="right"/>
              <w:rPr>
                <w:rFonts w:ascii="Cambria" w:eastAsia="Times New Roman" w:hAnsi="Cambria" w:cs="Arial"/>
                <w:b/>
                <w:sz w:val="18"/>
                <w:szCs w:val="18"/>
                <w:lang w:val="ro-RO" w:eastAsia="ro-RO"/>
              </w:rPr>
            </w:pPr>
            <w:r w:rsidRPr="00DE498D">
              <w:rPr>
                <w:rFonts w:ascii="Cambria" w:eastAsia="Times New Roman" w:hAnsi="Cambria" w:cs="Arial"/>
                <w:b/>
                <w:sz w:val="18"/>
                <w:szCs w:val="18"/>
                <w:lang w:val="ro-RO" w:eastAsia="ro-RO"/>
              </w:rPr>
              <w:t>1</w:t>
            </w:r>
            <w:r>
              <w:rPr>
                <w:rFonts w:ascii="Cambria" w:eastAsia="Times New Roman" w:hAnsi="Cambria" w:cs="Arial"/>
                <w:b/>
                <w:sz w:val="18"/>
                <w:szCs w:val="18"/>
                <w:lang w:val="ro-RO" w:eastAsia="ro-RO"/>
              </w:rPr>
              <w:t>09</w:t>
            </w:r>
            <w:r w:rsidRPr="00DE498D">
              <w:rPr>
                <w:rFonts w:ascii="Cambria" w:eastAsia="Times New Roman" w:hAnsi="Cambria" w:cs="Arial"/>
                <w:b/>
                <w:sz w:val="18"/>
                <w:szCs w:val="18"/>
                <w:lang w:val="ro-RO" w:eastAsia="ro-RO"/>
              </w:rPr>
              <w:t>,</w:t>
            </w:r>
            <w:r>
              <w:rPr>
                <w:rFonts w:ascii="Cambria" w:eastAsia="Times New Roman" w:hAnsi="Cambria" w:cs="Arial"/>
                <w:b/>
                <w:sz w:val="18"/>
                <w:szCs w:val="18"/>
                <w:lang w:val="ro-RO" w:eastAsia="ro-RO"/>
              </w:rPr>
              <w:t>14</w:t>
            </w:r>
          </w:p>
        </w:tc>
      </w:tr>
    </w:tbl>
    <w:p w:rsidR="0037604E" w:rsidRPr="0037604E" w:rsidRDefault="0037604E" w:rsidP="00CD2B62">
      <w:pPr>
        <w:spacing w:after="0" w:line="240" w:lineRule="auto"/>
        <w:ind w:firstLine="0"/>
        <w:jc w:val="both"/>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b/>
          <w:i/>
          <w:sz w:val="16"/>
          <w:szCs w:val="16"/>
          <w:lang w:val="en-GB" w:eastAsia="ro-RO"/>
        </w:rPr>
        <w:t xml:space="preserve">                 Table 23– </w:t>
      </w:r>
      <w:r w:rsidRPr="0037604E">
        <w:rPr>
          <w:rFonts w:ascii="Cambria" w:eastAsia="Times New Roman" w:hAnsi="Cambria" w:cs="Cambria"/>
          <w:b/>
          <w:bCs/>
          <w:i/>
          <w:iCs/>
          <w:sz w:val="16"/>
          <w:szCs w:val="16"/>
          <w:lang w:val="en-GB"/>
        </w:rPr>
        <w:t>Evolution of revenue from domestic and international natural gas transmission in</w:t>
      </w:r>
      <w:r w:rsidRPr="0037604E">
        <w:rPr>
          <w:rFonts w:ascii="Cambria" w:eastAsia="Times New Roman" w:hAnsi="Cambria" w:cs="Times New Roman"/>
          <w:b/>
          <w:i/>
          <w:sz w:val="16"/>
          <w:szCs w:val="16"/>
          <w:lang w:val="en-GB" w:eastAsia="ro-RO"/>
        </w:rPr>
        <w:t xml:space="preserve"> the period 2013-2016</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The transmission of natural gas via NTS covers over 90% of the natural gas consumed in Romania and, therefore, it may be deemed that the company</w:t>
      </w:r>
      <w:r w:rsidRPr="0037604E">
        <w:rPr>
          <w:rFonts w:ascii="Cambria" w:eastAsia="Times New Roman" w:hAnsi="Cambria" w:cs="Times New Roman"/>
          <w:sz w:val="24"/>
          <w:szCs w:val="24"/>
          <w:lang w:val="en-GB" w:eastAsia="ro-RO"/>
        </w:rPr>
        <w:t xml:space="preserve">: </w:t>
      </w:r>
    </w:p>
    <w:p w:rsidR="0037604E" w:rsidRPr="0037604E" w:rsidRDefault="0037604E" w:rsidP="00FA6EB9">
      <w:pPr>
        <w:numPr>
          <w:ilvl w:val="0"/>
          <w:numId w:val="37"/>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does not deal with competition situations in the field</w:t>
      </w:r>
      <w:r w:rsidRPr="0037604E">
        <w:rPr>
          <w:rFonts w:ascii="Cambria" w:eastAsia="Times New Roman" w:hAnsi="Cambria" w:cs="Times New Roman"/>
          <w:sz w:val="24"/>
          <w:szCs w:val="24"/>
          <w:lang w:val="en-GB" w:eastAsia="ro-RO"/>
        </w:rPr>
        <w:t>;</w:t>
      </w:r>
    </w:p>
    <w:p w:rsidR="0037604E" w:rsidRPr="0037604E" w:rsidRDefault="0037604E" w:rsidP="00FA6EB9">
      <w:pPr>
        <w:numPr>
          <w:ilvl w:val="0"/>
          <w:numId w:val="37"/>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is not significantly dependent on a client/group of clients in its portfolio</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300" w:lineRule="auto"/>
        <w:ind w:hanging="601"/>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        </w:t>
      </w:r>
    </w:p>
    <w:p w:rsidR="0037604E" w:rsidRPr="0037604E" w:rsidRDefault="0037604E" w:rsidP="0037604E">
      <w:pPr>
        <w:spacing w:after="0" w:line="300" w:lineRule="auto"/>
        <w:ind w:hanging="601"/>
        <w:rPr>
          <w:rFonts w:ascii="Cambria" w:eastAsia="Times New Roman" w:hAnsi="Cambria" w:cs="Times New Roman"/>
          <w:b/>
          <w:i/>
          <w:sz w:val="16"/>
          <w:szCs w:val="16"/>
          <w:lang w:val="en-GB" w:eastAsia="ro-RO"/>
        </w:rPr>
      </w:pPr>
    </w:p>
    <w:p w:rsidR="0037604E" w:rsidRPr="0037604E" w:rsidRDefault="0037604E" w:rsidP="0037604E">
      <w:pPr>
        <w:spacing w:after="0" w:line="300" w:lineRule="auto"/>
        <w:ind w:hanging="601"/>
        <w:rPr>
          <w:rFonts w:ascii="Cambria" w:eastAsia="Times New Roman" w:hAnsi="Cambria" w:cs="Times New Roman"/>
          <w:b/>
          <w:i/>
          <w:sz w:val="16"/>
          <w:szCs w:val="16"/>
          <w:lang w:val="en-GB" w:eastAsia="ro-RO"/>
        </w:rPr>
      </w:pPr>
    </w:p>
    <w:p w:rsidR="0037604E" w:rsidRPr="0037604E" w:rsidRDefault="0037604E" w:rsidP="0037604E">
      <w:pPr>
        <w:spacing w:after="0" w:line="300" w:lineRule="auto"/>
        <w:ind w:hanging="601"/>
        <w:rPr>
          <w:rFonts w:ascii="Cambria" w:eastAsia="Times New Roman" w:hAnsi="Cambria" w:cs="Times New Roman"/>
          <w:b/>
          <w:i/>
          <w:sz w:val="16"/>
          <w:szCs w:val="16"/>
          <w:lang w:val="en-GB" w:eastAsia="ro-RO"/>
        </w:rPr>
      </w:pPr>
    </w:p>
    <w:p w:rsidR="0037604E" w:rsidRPr="0037604E" w:rsidRDefault="0037604E" w:rsidP="0037604E">
      <w:pPr>
        <w:spacing w:after="0" w:line="300" w:lineRule="auto"/>
        <w:ind w:hanging="601"/>
        <w:rPr>
          <w:rFonts w:ascii="Cambria" w:eastAsia="Times New Roman" w:hAnsi="Cambria" w:cs="Times New Roman"/>
          <w:b/>
          <w:i/>
          <w:sz w:val="16"/>
          <w:szCs w:val="16"/>
          <w:lang w:val="en-GB" w:eastAsia="ro-RO"/>
        </w:rPr>
      </w:pPr>
    </w:p>
    <w:p w:rsidR="0037604E" w:rsidRPr="0037604E" w:rsidRDefault="0037604E" w:rsidP="0037604E">
      <w:pPr>
        <w:shd w:val="clear" w:color="auto" w:fill="E4E9EF"/>
        <w:spacing w:after="120" w:line="30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 xml:space="preserve">Results in 2016 versus results in 2015 </w:t>
      </w:r>
    </w:p>
    <w:p w:rsidR="0037604E" w:rsidRPr="0037604E" w:rsidRDefault="0037604E" w:rsidP="0037604E">
      <w:pPr>
        <w:spacing w:after="0" w:line="25" w:lineRule="atLeast"/>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The situation of the financial results at</w:t>
      </w:r>
      <w:r w:rsidRPr="0037604E">
        <w:rPr>
          <w:rFonts w:ascii="Cambria" w:eastAsia="Times New Roman" w:hAnsi="Cambria" w:cs="Times New Roman"/>
          <w:sz w:val="24"/>
          <w:szCs w:val="24"/>
          <w:lang w:val="en-GB" w:eastAsia="ro-RO"/>
        </w:rPr>
        <w:t xml:space="preserve"> 31 December 2016 </w:t>
      </w:r>
      <w:r w:rsidRPr="0037604E">
        <w:rPr>
          <w:rFonts w:ascii="Cambria" w:eastAsia="Times New Roman" w:hAnsi="Cambria" w:cs="Cambria"/>
          <w:sz w:val="24"/>
          <w:szCs w:val="24"/>
          <w:lang w:val="en-GB"/>
        </w:rPr>
        <w:t>as compared to results achieved in the same period of year</w:t>
      </w:r>
      <w:r w:rsidRPr="0037604E">
        <w:rPr>
          <w:rFonts w:ascii="Cambria" w:eastAsia="Times New Roman" w:hAnsi="Cambria" w:cs="Times New Roman"/>
          <w:sz w:val="24"/>
          <w:szCs w:val="24"/>
          <w:lang w:val="en-GB" w:eastAsia="ro-RO"/>
        </w:rPr>
        <w:t xml:space="preserve"> 2015 </w:t>
      </w:r>
      <w:r w:rsidRPr="0037604E">
        <w:rPr>
          <w:rFonts w:ascii="Cambria" w:eastAsia="Times New Roman" w:hAnsi="Cambria" w:cs="Cambria"/>
          <w:sz w:val="24"/>
          <w:szCs w:val="24"/>
          <w:lang w:val="en-GB"/>
        </w:rPr>
        <w:t>is presented in the table below</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5" w:lineRule="atLeast"/>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left="5760" w:firstLine="72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Thousand RON</w:t>
      </w:r>
    </w:p>
    <w:tbl>
      <w:tblPr>
        <w:tblW w:w="849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40"/>
        <w:gridCol w:w="1417"/>
        <w:gridCol w:w="1281"/>
        <w:gridCol w:w="1558"/>
      </w:tblGrid>
      <w:tr w:rsidR="00CD2B62" w:rsidRPr="0037604E" w:rsidTr="00CD2B62">
        <w:trPr>
          <w:trHeight w:val="315"/>
          <w:tblCellSpacing w:w="20" w:type="dxa"/>
          <w:jc w:val="center"/>
        </w:trPr>
        <w:tc>
          <w:tcPr>
            <w:tcW w:w="4185"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lastRenderedPageBreak/>
              <w:t>Name</w:t>
            </w:r>
          </w:p>
        </w:tc>
        <w:tc>
          <w:tcPr>
            <w:tcW w:w="1377" w:type="dxa"/>
            <w:shd w:val="clear" w:color="auto" w:fill="D6E0F4"/>
            <w:vAlign w:val="center"/>
          </w:tcPr>
          <w:p w:rsidR="00CD2B62" w:rsidRPr="002B1D7A" w:rsidRDefault="00CD2B62" w:rsidP="008C7102">
            <w:pPr>
              <w:spacing w:after="0" w:line="240" w:lineRule="auto"/>
              <w:ind w:firstLine="0"/>
              <w:jc w:val="center"/>
              <w:rPr>
                <w:rFonts w:ascii="Cambria" w:eastAsia="Times New Roman" w:hAnsi="Cambria" w:cs="Times New Roman"/>
                <w:b/>
                <w:bCs/>
                <w:sz w:val="18"/>
                <w:szCs w:val="18"/>
                <w:lang w:eastAsia="en-US"/>
              </w:rPr>
            </w:pPr>
            <w:r>
              <w:rPr>
                <w:rFonts w:ascii="Cambria" w:eastAsia="Times New Roman" w:hAnsi="Cambria" w:cs="Times New Roman"/>
                <w:b/>
                <w:bCs/>
                <w:sz w:val="18"/>
                <w:szCs w:val="18"/>
                <w:lang w:eastAsia="en-US"/>
              </w:rPr>
              <w:t>Achieved</w:t>
            </w:r>
          </w:p>
          <w:p w:rsidR="00CD2B62" w:rsidRPr="002B1D7A" w:rsidRDefault="00CD2B62" w:rsidP="008C7102">
            <w:pPr>
              <w:spacing w:after="0" w:line="240" w:lineRule="auto"/>
              <w:ind w:firstLine="0"/>
              <w:jc w:val="center"/>
              <w:rPr>
                <w:rFonts w:ascii="Cambria" w:eastAsia="Times New Roman" w:hAnsi="Cambria" w:cs="Times New Roman"/>
                <w:b/>
                <w:bCs/>
                <w:sz w:val="18"/>
                <w:szCs w:val="18"/>
                <w:lang w:eastAsia="en-US"/>
              </w:rPr>
            </w:pPr>
            <w:r w:rsidRPr="002B1D7A">
              <w:rPr>
                <w:rFonts w:ascii="Cambria" w:eastAsia="Times New Roman" w:hAnsi="Cambria" w:cs="Times New Roman"/>
                <w:b/>
                <w:bCs/>
                <w:sz w:val="18"/>
                <w:szCs w:val="18"/>
                <w:lang w:eastAsia="en-US"/>
              </w:rPr>
              <w:t>2016</w:t>
            </w:r>
          </w:p>
        </w:tc>
        <w:tc>
          <w:tcPr>
            <w:tcW w:w="1236"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Achieved</w:t>
            </w:r>
          </w:p>
          <w:p w:rsidR="00CD2B62" w:rsidRPr="0037604E" w:rsidRDefault="00CD2B62" w:rsidP="0037604E">
            <w:pPr>
              <w:spacing w:after="0" w:line="240" w:lineRule="auto"/>
              <w:ind w:firstLine="0"/>
              <w:jc w:val="center"/>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2015</w:t>
            </w:r>
          </w:p>
        </w:tc>
        <w:tc>
          <w:tcPr>
            <w:tcW w:w="1498"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Modifications</w:t>
            </w:r>
          </w:p>
        </w:tc>
      </w:tr>
      <w:tr w:rsidR="00CD2B62" w:rsidRPr="0037604E" w:rsidTr="00CD2B62">
        <w:trPr>
          <w:trHeight w:val="235"/>
          <w:tblCellSpacing w:w="20" w:type="dxa"/>
          <w:jc w:val="center"/>
        </w:trPr>
        <w:tc>
          <w:tcPr>
            <w:tcW w:w="4185"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1</w:t>
            </w:r>
          </w:p>
        </w:tc>
        <w:tc>
          <w:tcPr>
            <w:tcW w:w="1377" w:type="dxa"/>
            <w:shd w:val="clear" w:color="auto" w:fill="D6E0F4"/>
            <w:vAlign w:val="center"/>
          </w:tcPr>
          <w:p w:rsidR="00CD2B62" w:rsidRPr="002B1D7A" w:rsidRDefault="00CD2B62" w:rsidP="008C7102">
            <w:pPr>
              <w:spacing w:after="0" w:line="240" w:lineRule="auto"/>
              <w:ind w:firstLine="0"/>
              <w:jc w:val="center"/>
              <w:rPr>
                <w:rFonts w:ascii="Cambria" w:eastAsia="Times New Roman" w:hAnsi="Cambria" w:cs="Times New Roman"/>
                <w:sz w:val="18"/>
                <w:szCs w:val="18"/>
                <w:lang w:eastAsia="en-US"/>
              </w:rPr>
            </w:pPr>
            <w:r w:rsidRPr="002B1D7A">
              <w:rPr>
                <w:rFonts w:ascii="Cambria" w:eastAsia="Times New Roman" w:hAnsi="Cambria" w:cs="Times New Roman"/>
                <w:sz w:val="18"/>
                <w:szCs w:val="18"/>
                <w:lang w:eastAsia="en-US"/>
              </w:rPr>
              <w:t>2</w:t>
            </w:r>
          </w:p>
        </w:tc>
        <w:tc>
          <w:tcPr>
            <w:tcW w:w="1236"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3</w:t>
            </w:r>
          </w:p>
        </w:tc>
        <w:tc>
          <w:tcPr>
            <w:tcW w:w="1498" w:type="dxa"/>
            <w:shd w:val="clear" w:color="auto" w:fill="D6E0F4"/>
            <w:vAlign w:val="center"/>
            <w:hideMark/>
          </w:tcPr>
          <w:p w:rsidR="00CD2B62" w:rsidRPr="0037604E" w:rsidRDefault="00CD2B62"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4=2/3x100-100</w:t>
            </w:r>
          </w:p>
        </w:tc>
      </w:tr>
      <w:tr w:rsidR="00DB552B" w:rsidRPr="0037604E" w:rsidTr="00CD2B62">
        <w:trPr>
          <w:trHeight w:val="217"/>
          <w:tblCellSpacing w:w="20" w:type="dxa"/>
          <w:jc w:val="center"/>
        </w:trPr>
        <w:tc>
          <w:tcPr>
            <w:tcW w:w="4185" w:type="dxa"/>
            <w:shd w:val="clear" w:color="000000" w:fill="FFFFFF"/>
            <w:vAlign w:val="center"/>
            <w:hideMark/>
          </w:tcPr>
          <w:p w:rsidR="00DB552B" w:rsidRPr="0037604E" w:rsidRDefault="00DB552B" w:rsidP="00E82AC7">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xml:space="preserve">Operating revenue before </w:t>
            </w:r>
            <w:r>
              <w:rPr>
                <w:rFonts w:asciiTheme="majorHAnsi" w:eastAsia="Times New Roman" w:hAnsiTheme="majorHAnsi" w:cs="Times New Roman"/>
                <w:sz w:val="18"/>
                <w:szCs w:val="18"/>
                <w:lang w:val="en-GB" w:eastAsia="en-US"/>
              </w:rPr>
              <w:t xml:space="preserve">balancing and </w:t>
            </w:r>
            <w:r w:rsidR="00E82AC7">
              <w:rPr>
                <w:rFonts w:asciiTheme="majorHAnsi" w:eastAsia="Times New Roman" w:hAnsiTheme="majorHAnsi" w:cs="Times New Roman"/>
                <w:sz w:val="18"/>
                <w:szCs w:val="18"/>
                <w:lang w:val="en-GB" w:eastAsia="en-US"/>
              </w:rPr>
              <w:t xml:space="preserve">the </w:t>
            </w:r>
            <w:r w:rsidRPr="0037604E">
              <w:rPr>
                <w:rFonts w:asciiTheme="majorHAnsi" w:eastAsia="Times New Roman" w:hAnsiTheme="majorHAnsi" w:cs="Times New Roman"/>
                <w:sz w:val="18"/>
                <w:szCs w:val="18"/>
                <w:lang w:val="en-GB" w:eastAsia="en-US"/>
              </w:rPr>
              <w:t>construction activity acc. to IFRIC12</w:t>
            </w:r>
          </w:p>
        </w:tc>
        <w:tc>
          <w:tcPr>
            <w:tcW w:w="1377" w:type="dxa"/>
            <w:shd w:val="clear" w:color="000000" w:fill="FFFFFF"/>
            <w:vAlign w:val="center"/>
          </w:tcPr>
          <w:p w:rsidR="00DB552B" w:rsidRPr="002B1D7A" w:rsidRDefault="00DB552B" w:rsidP="00A64BC6">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1.8</w:t>
            </w:r>
            <w:r>
              <w:rPr>
                <w:rFonts w:ascii="Cambria" w:eastAsia="Calibri" w:hAnsi="Cambria" w:cs="Times New Roman"/>
                <w:sz w:val="18"/>
                <w:szCs w:val="18"/>
                <w:lang w:eastAsia="en-US"/>
              </w:rPr>
              <w:t>15</w:t>
            </w:r>
            <w:r w:rsidRPr="002B1D7A">
              <w:rPr>
                <w:rFonts w:ascii="Cambria" w:eastAsia="Calibri" w:hAnsi="Cambria" w:cs="Times New Roman"/>
                <w:sz w:val="18"/>
                <w:szCs w:val="18"/>
                <w:lang w:eastAsia="en-US"/>
              </w:rPr>
              <w:t>.</w:t>
            </w:r>
            <w:r>
              <w:rPr>
                <w:rFonts w:ascii="Cambria" w:eastAsia="Calibri" w:hAnsi="Cambria" w:cs="Times New Roman"/>
                <w:sz w:val="18"/>
                <w:szCs w:val="18"/>
                <w:lang w:eastAsia="en-US"/>
              </w:rPr>
              <w:t>385</w:t>
            </w:r>
          </w:p>
        </w:tc>
        <w:tc>
          <w:tcPr>
            <w:tcW w:w="1236" w:type="dxa"/>
            <w:shd w:val="clear" w:color="000000" w:fill="FFFFFF"/>
            <w:vAlign w:val="center"/>
          </w:tcPr>
          <w:p w:rsidR="00DB552B" w:rsidRPr="0037604E" w:rsidRDefault="00DB552B"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1.663.398</w:t>
            </w:r>
          </w:p>
        </w:tc>
        <w:tc>
          <w:tcPr>
            <w:tcW w:w="1498" w:type="dxa"/>
            <w:shd w:val="clear" w:color="000000" w:fill="FFFFFF"/>
            <w:vAlign w:val="center"/>
          </w:tcPr>
          <w:p w:rsidR="00DB552B" w:rsidRPr="002B1D7A" w:rsidRDefault="00DB552B" w:rsidP="008C7102">
            <w:pPr>
              <w:spacing w:after="0" w:line="240" w:lineRule="auto"/>
              <w:jc w:val="right"/>
              <w:rPr>
                <w:rFonts w:ascii="Cambria" w:eastAsia="Times New Roman" w:hAnsi="Cambria" w:cs="Arial"/>
                <w:sz w:val="18"/>
                <w:szCs w:val="18"/>
              </w:rPr>
            </w:pPr>
            <w:r>
              <w:rPr>
                <w:rFonts w:ascii="Cambria" w:eastAsia="Times New Roman" w:hAnsi="Cambria" w:cs="Arial"/>
                <w:sz w:val="18"/>
                <w:szCs w:val="18"/>
              </w:rPr>
              <w:t>9</w:t>
            </w:r>
            <w:r w:rsidRPr="002B1D7A">
              <w:rPr>
                <w:rFonts w:ascii="Cambria" w:eastAsia="Times New Roman" w:hAnsi="Cambria" w:cs="Arial"/>
                <w:sz w:val="18"/>
                <w:szCs w:val="18"/>
              </w:rPr>
              <w:t>%</w:t>
            </w:r>
          </w:p>
        </w:tc>
      </w:tr>
      <w:tr w:rsidR="00193A21" w:rsidRPr="0037604E" w:rsidTr="00CD2B62">
        <w:trPr>
          <w:trHeight w:val="172"/>
          <w:tblCellSpacing w:w="20" w:type="dxa"/>
          <w:jc w:val="center"/>
        </w:trPr>
        <w:tc>
          <w:tcPr>
            <w:tcW w:w="4185" w:type="dxa"/>
            <w:shd w:val="clear" w:color="000000" w:fill="FFFFFF"/>
            <w:vAlign w:val="center"/>
          </w:tcPr>
          <w:p w:rsidR="00193A21" w:rsidRPr="0037604E" w:rsidRDefault="00193A21" w:rsidP="0037604E">
            <w:pPr>
              <w:spacing w:after="0" w:line="240" w:lineRule="auto"/>
              <w:ind w:firstLine="0"/>
              <w:rPr>
                <w:rFonts w:asciiTheme="majorHAnsi" w:eastAsia="Times New Roman" w:hAnsiTheme="majorHAnsi" w:cs="Times New Roman"/>
                <w:sz w:val="18"/>
                <w:szCs w:val="18"/>
                <w:lang w:val="en-GB" w:eastAsia="en-US"/>
              </w:rPr>
            </w:pPr>
            <w:r>
              <w:rPr>
                <w:rFonts w:asciiTheme="majorHAnsi" w:eastAsia="Times New Roman" w:hAnsiTheme="majorHAnsi" w:cs="Times New Roman"/>
                <w:sz w:val="18"/>
                <w:szCs w:val="18"/>
                <w:lang w:val="en-GB" w:eastAsia="en-US"/>
              </w:rPr>
              <w:t>Balancing activity revenue</w:t>
            </w:r>
          </w:p>
        </w:tc>
        <w:tc>
          <w:tcPr>
            <w:tcW w:w="1377" w:type="dxa"/>
            <w:shd w:val="clear" w:color="000000" w:fill="FFFFFF"/>
            <w:vAlign w:val="center"/>
          </w:tcPr>
          <w:p w:rsidR="00193A21" w:rsidRPr="002B1D7A" w:rsidRDefault="00193A2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57.404</w:t>
            </w:r>
          </w:p>
        </w:tc>
        <w:tc>
          <w:tcPr>
            <w:tcW w:w="1236" w:type="dxa"/>
            <w:shd w:val="clear" w:color="000000" w:fill="FFFFFF"/>
            <w:vAlign w:val="center"/>
          </w:tcPr>
          <w:p w:rsidR="00193A21" w:rsidRPr="002B1D7A" w:rsidRDefault="00193A2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x</w:t>
            </w:r>
          </w:p>
        </w:tc>
        <w:tc>
          <w:tcPr>
            <w:tcW w:w="1498" w:type="dxa"/>
            <w:shd w:val="clear" w:color="000000" w:fill="FFFFFF"/>
            <w:vAlign w:val="center"/>
          </w:tcPr>
          <w:p w:rsidR="00193A21" w:rsidRPr="002B1D7A" w:rsidRDefault="00193A21" w:rsidP="00A64BC6">
            <w:pPr>
              <w:spacing w:after="0" w:line="240" w:lineRule="auto"/>
              <w:jc w:val="right"/>
              <w:rPr>
                <w:rFonts w:ascii="Cambria" w:eastAsia="Times New Roman" w:hAnsi="Cambria" w:cs="Arial"/>
                <w:sz w:val="18"/>
                <w:szCs w:val="18"/>
              </w:rPr>
            </w:pPr>
            <w:r>
              <w:rPr>
                <w:rFonts w:ascii="Cambria" w:eastAsia="Times New Roman" w:hAnsi="Cambria" w:cs="Arial"/>
                <w:sz w:val="18"/>
                <w:szCs w:val="18"/>
              </w:rPr>
              <w:t>x</w:t>
            </w:r>
          </w:p>
        </w:tc>
      </w:tr>
      <w:tr w:rsidR="00CD2B62" w:rsidRPr="0037604E" w:rsidTr="00CD2B62">
        <w:trPr>
          <w:trHeight w:val="172"/>
          <w:tblCellSpacing w:w="20" w:type="dxa"/>
          <w:jc w:val="center"/>
        </w:trPr>
        <w:tc>
          <w:tcPr>
            <w:tcW w:w="4185" w:type="dxa"/>
            <w:shd w:val="clear" w:color="000000" w:fill="FFFFFF"/>
            <w:vAlign w:val="center"/>
          </w:tcPr>
          <w:p w:rsidR="00CD2B62" w:rsidRPr="0037604E" w:rsidRDefault="00CD2B6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Revenue from the construction activity acc. to IFRIC12</w:t>
            </w:r>
          </w:p>
        </w:tc>
        <w:tc>
          <w:tcPr>
            <w:tcW w:w="1377" w:type="dxa"/>
            <w:shd w:val="clear" w:color="000000" w:fill="FFFFFF"/>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118.504</w:t>
            </w:r>
          </w:p>
        </w:tc>
        <w:tc>
          <w:tcPr>
            <w:tcW w:w="1236" w:type="dxa"/>
            <w:shd w:val="clear" w:color="000000" w:fill="FFFFFF"/>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211.125</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-44%</w:t>
            </w:r>
          </w:p>
        </w:tc>
      </w:tr>
      <w:tr w:rsidR="00CD2B62" w:rsidRPr="0037604E" w:rsidTr="00CD2B62">
        <w:trPr>
          <w:trHeight w:val="172"/>
          <w:tblCellSpacing w:w="20" w:type="dxa"/>
          <w:jc w:val="center"/>
        </w:trPr>
        <w:tc>
          <w:tcPr>
            <w:tcW w:w="4185" w:type="dxa"/>
            <w:shd w:val="clear" w:color="000000" w:fill="FFFFFF"/>
            <w:vAlign w:val="center"/>
            <w:hideMark/>
          </w:tcPr>
          <w:p w:rsidR="00CD2B62" w:rsidRPr="0037604E" w:rsidRDefault="00CD2B6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income</w:t>
            </w:r>
          </w:p>
        </w:tc>
        <w:tc>
          <w:tcPr>
            <w:tcW w:w="1377" w:type="dxa"/>
            <w:shd w:val="clear" w:color="000000" w:fill="FFFFFF"/>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32.231</w:t>
            </w:r>
          </w:p>
        </w:tc>
        <w:tc>
          <w:tcPr>
            <w:tcW w:w="1236" w:type="dxa"/>
            <w:shd w:val="clear" w:color="000000" w:fill="FFFFFF"/>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43.237</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-25%</w:t>
            </w:r>
          </w:p>
        </w:tc>
      </w:tr>
      <w:tr w:rsidR="00CD2B62" w:rsidRPr="0037604E" w:rsidTr="00CD2B62">
        <w:trPr>
          <w:trHeight w:val="164"/>
          <w:tblCellSpacing w:w="20" w:type="dxa"/>
          <w:jc w:val="center"/>
        </w:trPr>
        <w:tc>
          <w:tcPr>
            <w:tcW w:w="4185" w:type="dxa"/>
            <w:shd w:val="clear" w:color="auto" w:fill="D6E0F4"/>
            <w:vAlign w:val="center"/>
          </w:tcPr>
          <w:p w:rsidR="00CD2B62" w:rsidRPr="0037604E" w:rsidRDefault="00CD2B62" w:rsidP="0037604E">
            <w:pPr>
              <w:spacing w:after="0" w:line="240" w:lineRule="auto"/>
              <w:ind w:firstLine="0"/>
              <w:rPr>
                <w:rFonts w:asciiTheme="majorHAnsi" w:eastAsia="Times New Roman" w:hAnsiTheme="majorHAnsi" w:cs="Times New Roman"/>
                <w:b/>
                <w:bCs/>
                <w:sz w:val="10"/>
                <w:szCs w:val="10"/>
                <w:lang w:val="en-GB" w:eastAsia="en-US"/>
              </w:rPr>
            </w:pPr>
          </w:p>
        </w:tc>
        <w:tc>
          <w:tcPr>
            <w:tcW w:w="1377" w:type="dxa"/>
            <w:shd w:val="clear" w:color="auto" w:fill="D6E0F4"/>
            <w:vAlign w:val="center"/>
          </w:tcPr>
          <w:p w:rsidR="00CD2B62" w:rsidRPr="002B1D7A" w:rsidRDefault="00CD2B62" w:rsidP="008C7102">
            <w:pPr>
              <w:spacing w:after="0" w:line="240" w:lineRule="auto"/>
              <w:ind w:firstLine="0"/>
              <w:jc w:val="right"/>
              <w:rPr>
                <w:rFonts w:ascii="Cambria" w:eastAsia="Calibri" w:hAnsi="Cambria" w:cs="Times New Roman"/>
                <w:b/>
                <w:sz w:val="10"/>
                <w:szCs w:val="10"/>
                <w:lang w:eastAsia="en-US"/>
              </w:rPr>
            </w:pPr>
          </w:p>
        </w:tc>
        <w:tc>
          <w:tcPr>
            <w:tcW w:w="1236" w:type="dxa"/>
            <w:shd w:val="clear" w:color="auto" w:fill="D6E0F4"/>
            <w:vAlign w:val="center"/>
          </w:tcPr>
          <w:p w:rsidR="00CD2B62" w:rsidRPr="0037604E" w:rsidRDefault="00CD2B62" w:rsidP="0037604E">
            <w:pPr>
              <w:spacing w:after="0" w:line="240" w:lineRule="auto"/>
              <w:ind w:firstLine="0"/>
              <w:jc w:val="right"/>
              <w:rPr>
                <w:rFonts w:asciiTheme="majorHAnsi" w:eastAsia="Calibri" w:hAnsiTheme="majorHAnsi" w:cs="Times New Roman"/>
                <w:b/>
                <w:sz w:val="10"/>
                <w:szCs w:val="10"/>
                <w:lang w:eastAsia="en-US"/>
              </w:rPr>
            </w:pPr>
          </w:p>
        </w:tc>
        <w:tc>
          <w:tcPr>
            <w:tcW w:w="1498" w:type="dxa"/>
            <w:shd w:val="clear" w:color="auto" w:fill="D6E0F4"/>
            <w:vAlign w:val="center"/>
          </w:tcPr>
          <w:p w:rsidR="00CD2B62" w:rsidRPr="002B1D7A" w:rsidRDefault="00CD2B62" w:rsidP="008C7102">
            <w:pPr>
              <w:spacing w:after="0" w:line="240" w:lineRule="auto"/>
              <w:jc w:val="right"/>
              <w:rPr>
                <w:rFonts w:ascii="Cambria" w:eastAsia="Times New Roman" w:hAnsi="Cambria" w:cs="Arial"/>
                <w:b/>
                <w:sz w:val="10"/>
                <w:szCs w:val="10"/>
              </w:rPr>
            </w:pPr>
          </w:p>
        </w:tc>
      </w:tr>
      <w:tr w:rsidR="001578A4" w:rsidRPr="0037604E" w:rsidTr="00CD2B62">
        <w:trPr>
          <w:trHeight w:val="226"/>
          <w:tblCellSpacing w:w="20" w:type="dxa"/>
          <w:jc w:val="center"/>
        </w:trPr>
        <w:tc>
          <w:tcPr>
            <w:tcW w:w="4185" w:type="dxa"/>
            <w:shd w:val="clear" w:color="000000" w:fill="FFFFFF"/>
            <w:vAlign w:val="center"/>
            <w:hideMark/>
          </w:tcPr>
          <w:p w:rsidR="001578A4" w:rsidRPr="0037604E" w:rsidRDefault="001578A4" w:rsidP="00E84EAB">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xml:space="preserve">Operating expense before </w:t>
            </w:r>
            <w:r>
              <w:rPr>
                <w:rFonts w:asciiTheme="majorHAnsi" w:eastAsia="Times New Roman" w:hAnsiTheme="majorHAnsi" w:cs="Times New Roman"/>
                <w:sz w:val="18"/>
                <w:szCs w:val="18"/>
                <w:lang w:val="en-GB" w:eastAsia="en-US"/>
              </w:rPr>
              <w:t>balancing and</w:t>
            </w:r>
            <w:r w:rsidRPr="0037604E">
              <w:rPr>
                <w:rFonts w:asciiTheme="majorHAnsi" w:eastAsia="Times New Roman" w:hAnsiTheme="majorHAnsi" w:cs="Times New Roman"/>
                <w:sz w:val="18"/>
                <w:szCs w:val="18"/>
                <w:lang w:val="en-GB" w:eastAsia="en-US"/>
              </w:rPr>
              <w:t xml:space="preserve"> </w:t>
            </w:r>
            <w:r w:rsidR="00E84EAB">
              <w:rPr>
                <w:rFonts w:asciiTheme="majorHAnsi" w:eastAsia="Times New Roman" w:hAnsiTheme="majorHAnsi" w:cs="Times New Roman"/>
                <w:sz w:val="18"/>
                <w:szCs w:val="18"/>
                <w:lang w:val="en-GB" w:eastAsia="en-US"/>
              </w:rPr>
              <w:t xml:space="preserve">the </w:t>
            </w:r>
            <w:r w:rsidRPr="0037604E">
              <w:rPr>
                <w:rFonts w:asciiTheme="majorHAnsi" w:eastAsia="Times New Roman" w:hAnsiTheme="majorHAnsi" w:cs="Times New Roman"/>
                <w:sz w:val="18"/>
                <w:szCs w:val="18"/>
                <w:lang w:val="en-GB" w:eastAsia="en-US"/>
              </w:rPr>
              <w:t>construction activity acc. to IFRIC12</w:t>
            </w:r>
          </w:p>
        </w:tc>
        <w:tc>
          <w:tcPr>
            <w:tcW w:w="1377" w:type="dxa"/>
            <w:shd w:val="clear" w:color="000000" w:fill="FFFFFF"/>
            <w:vAlign w:val="center"/>
          </w:tcPr>
          <w:p w:rsidR="001578A4" w:rsidRPr="002B1D7A" w:rsidRDefault="001578A4" w:rsidP="00A64BC6">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1.1</w:t>
            </w:r>
            <w:r>
              <w:rPr>
                <w:rFonts w:ascii="Cambria" w:eastAsia="Calibri" w:hAnsi="Cambria" w:cs="Times New Roman"/>
                <w:sz w:val="18"/>
                <w:szCs w:val="18"/>
                <w:lang w:eastAsia="en-US"/>
              </w:rPr>
              <w:t>25</w:t>
            </w:r>
            <w:r w:rsidRPr="002B1D7A">
              <w:rPr>
                <w:rFonts w:ascii="Cambria" w:eastAsia="Calibri" w:hAnsi="Cambria" w:cs="Times New Roman"/>
                <w:sz w:val="18"/>
                <w:szCs w:val="18"/>
                <w:lang w:eastAsia="en-US"/>
              </w:rPr>
              <w:t>.</w:t>
            </w:r>
            <w:r>
              <w:rPr>
                <w:rFonts w:ascii="Cambria" w:eastAsia="Calibri" w:hAnsi="Cambria" w:cs="Times New Roman"/>
                <w:sz w:val="18"/>
                <w:szCs w:val="18"/>
                <w:lang w:eastAsia="en-US"/>
              </w:rPr>
              <w:t>268</w:t>
            </w:r>
          </w:p>
        </w:tc>
        <w:tc>
          <w:tcPr>
            <w:tcW w:w="1236" w:type="dxa"/>
            <w:shd w:val="clear" w:color="000000" w:fill="FFFFFF"/>
            <w:vAlign w:val="center"/>
          </w:tcPr>
          <w:p w:rsidR="001578A4" w:rsidRPr="002B1D7A" w:rsidRDefault="001578A4" w:rsidP="00A64BC6">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1.077.219</w:t>
            </w:r>
          </w:p>
        </w:tc>
        <w:tc>
          <w:tcPr>
            <w:tcW w:w="1498" w:type="dxa"/>
            <w:shd w:val="clear" w:color="000000" w:fill="FFFFFF"/>
            <w:vAlign w:val="center"/>
          </w:tcPr>
          <w:p w:rsidR="001578A4" w:rsidRPr="002B1D7A" w:rsidRDefault="001578A4" w:rsidP="00A64BC6">
            <w:pPr>
              <w:spacing w:after="0" w:line="240" w:lineRule="auto"/>
              <w:jc w:val="right"/>
              <w:rPr>
                <w:rFonts w:ascii="Cambria" w:eastAsia="Times New Roman" w:hAnsi="Cambria" w:cs="Arial"/>
                <w:sz w:val="18"/>
                <w:szCs w:val="18"/>
              </w:rPr>
            </w:pPr>
            <w:r>
              <w:rPr>
                <w:rFonts w:ascii="Cambria" w:eastAsia="Times New Roman" w:hAnsi="Cambria" w:cs="Arial"/>
                <w:sz w:val="18"/>
                <w:szCs w:val="18"/>
              </w:rPr>
              <w:t>4</w:t>
            </w:r>
            <w:r w:rsidRPr="002B1D7A">
              <w:rPr>
                <w:rFonts w:ascii="Cambria" w:eastAsia="Times New Roman" w:hAnsi="Cambria" w:cs="Arial"/>
                <w:sz w:val="18"/>
                <w:szCs w:val="18"/>
              </w:rPr>
              <w:t>%</w:t>
            </w:r>
          </w:p>
        </w:tc>
      </w:tr>
      <w:tr w:rsidR="001578A4" w:rsidRPr="0037604E" w:rsidTr="00CD2B62">
        <w:trPr>
          <w:trHeight w:val="226"/>
          <w:tblCellSpacing w:w="20" w:type="dxa"/>
          <w:jc w:val="center"/>
        </w:trPr>
        <w:tc>
          <w:tcPr>
            <w:tcW w:w="4185" w:type="dxa"/>
            <w:shd w:val="clear" w:color="000000" w:fill="FFFFFF"/>
            <w:vAlign w:val="center"/>
          </w:tcPr>
          <w:p w:rsidR="001578A4" w:rsidRPr="0037604E" w:rsidRDefault="00BF70ED" w:rsidP="0037604E">
            <w:pPr>
              <w:spacing w:after="0" w:line="240" w:lineRule="auto"/>
              <w:ind w:firstLine="0"/>
              <w:rPr>
                <w:rFonts w:asciiTheme="majorHAnsi" w:eastAsia="Times New Roman" w:hAnsiTheme="majorHAnsi" w:cs="Times New Roman"/>
                <w:sz w:val="18"/>
                <w:szCs w:val="18"/>
                <w:lang w:val="en-GB" w:eastAsia="en-US"/>
              </w:rPr>
            </w:pPr>
            <w:r>
              <w:rPr>
                <w:rFonts w:asciiTheme="majorHAnsi" w:eastAsia="Times New Roman" w:hAnsiTheme="majorHAnsi" w:cs="Arial"/>
                <w:sz w:val="18"/>
                <w:szCs w:val="18"/>
                <w:lang w:val="en-GB" w:eastAsia="ro-RO"/>
              </w:rPr>
              <w:t>Expenses</w:t>
            </w:r>
            <w:r w:rsidR="001578A4">
              <w:rPr>
                <w:rFonts w:asciiTheme="majorHAnsi" w:eastAsia="Times New Roman" w:hAnsiTheme="majorHAnsi" w:cs="Arial"/>
                <w:sz w:val="18"/>
                <w:szCs w:val="18"/>
                <w:lang w:val="en-GB" w:eastAsia="ro-RO"/>
              </w:rPr>
              <w:t xml:space="preserve"> with balancing gas</w:t>
            </w:r>
          </w:p>
        </w:tc>
        <w:tc>
          <w:tcPr>
            <w:tcW w:w="1377" w:type="dxa"/>
            <w:shd w:val="clear" w:color="000000" w:fill="FFFFFF"/>
            <w:vAlign w:val="center"/>
          </w:tcPr>
          <w:p w:rsidR="001578A4" w:rsidRPr="002B1D7A" w:rsidRDefault="001578A4"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56.093</w:t>
            </w:r>
          </w:p>
        </w:tc>
        <w:tc>
          <w:tcPr>
            <w:tcW w:w="1236" w:type="dxa"/>
            <w:shd w:val="clear" w:color="000000" w:fill="FFFFFF"/>
            <w:vAlign w:val="center"/>
          </w:tcPr>
          <w:p w:rsidR="001578A4" w:rsidRPr="002B1D7A" w:rsidRDefault="001578A4"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x</w:t>
            </w:r>
          </w:p>
        </w:tc>
        <w:tc>
          <w:tcPr>
            <w:tcW w:w="1498" w:type="dxa"/>
            <w:shd w:val="clear" w:color="000000" w:fill="FFFFFF"/>
            <w:vAlign w:val="center"/>
          </w:tcPr>
          <w:p w:rsidR="001578A4" w:rsidRPr="002B1D7A" w:rsidRDefault="001578A4" w:rsidP="00A64BC6">
            <w:pPr>
              <w:spacing w:after="0" w:line="240" w:lineRule="auto"/>
              <w:jc w:val="right"/>
              <w:rPr>
                <w:rFonts w:ascii="Cambria" w:eastAsia="Times New Roman" w:hAnsi="Cambria" w:cs="Arial"/>
                <w:sz w:val="18"/>
                <w:szCs w:val="18"/>
              </w:rPr>
            </w:pPr>
            <w:r>
              <w:rPr>
                <w:rFonts w:ascii="Cambria" w:eastAsia="Times New Roman" w:hAnsi="Cambria" w:cs="Arial"/>
                <w:sz w:val="18"/>
                <w:szCs w:val="18"/>
              </w:rPr>
              <w:t>x</w:t>
            </w:r>
          </w:p>
        </w:tc>
      </w:tr>
      <w:tr w:rsidR="00CD2B62" w:rsidRPr="0037604E" w:rsidTr="00CD2B62">
        <w:trPr>
          <w:trHeight w:val="172"/>
          <w:tblCellSpacing w:w="20" w:type="dxa"/>
          <w:jc w:val="center"/>
        </w:trPr>
        <w:tc>
          <w:tcPr>
            <w:tcW w:w="4185" w:type="dxa"/>
            <w:shd w:val="clear" w:color="000000" w:fill="FFFFFF"/>
            <w:vAlign w:val="center"/>
          </w:tcPr>
          <w:p w:rsidR="00CD2B62" w:rsidRPr="0037604E" w:rsidRDefault="00CD2B6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Cost of assets acc. to IFRIC12</w:t>
            </w:r>
          </w:p>
        </w:tc>
        <w:tc>
          <w:tcPr>
            <w:tcW w:w="1377" w:type="dxa"/>
            <w:shd w:val="clear" w:color="000000" w:fill="FFFFFF"/>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118.504</w:t>
            </w:r>
          </w:p>
        </w:tc>
        <w:tc>
          <w:tcPr>
            <w:tcW w:w="1236" w:type="dxa"/>
            <w:shd w:val="clear" w:color="000000" w:fill="FFFFFF"/>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211.125</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-44%</w:t>
            </w:r>
          </w:p>
        </w:tc>
      </w:tr>
      <w:tr w:rsidR="00CD2B62" w:rsidRPr="0037604E" w:rsidTr="00CD2B62">
        <w:trPr>
          <w:trHeight w:val="172"/>
          <w:tblCellSpacing w:w="20" w:type="dxa"/>
          <w:jc w:val="center"/>
        </w:trPr>
        <w:tc>
          <w:tcPr>
            <w:tcW w:w="4185" w:type="dxa"/>
            <w:shd w:val="clear" w:color="000000" w:fill="FFFFFF"/>
            <w:vAlign w:val="center"/>
            <w:hideMark/>
          </w:tcPr>
          <w:p w:rsidR="00CD2B62" w:rsidRPr="0037604E" w:rsidRDefault="00CD2B6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cost</w:t>
            </w:r>
          </w:p>
        </w:tc>
        <w:tc>
          <w:tcPr>
            <w:tcW w:w="1377" w:type="dxa"/>
            <w:shd w:val="clear" w:color="000000" w:fill="FFFFFF"/>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9.683</w:t>
            </w:r>
          </w:p>
        </w:tc>
        <w:tc>
          <w:tcPr>
            <w:tcW w:w="1236" w:type="dxa"/>
            <w:shd w:val="clear" w:color="000000" w:fill="FFFFFF"/>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22.315</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-57%</w:t>
            </w:r>
          </w:p>
        </w:tc>
      </w:tr>
      <w:tr w:rsidR="00CD2B62" w:rsidRPr="0037604E" w:rsidTr="00CD2B62">
        <w:trPr>
          <w:trHeight w:val="222"/>
          <w:tblCellSpacing w:w="20" w:type="dxa"/>
          <w:jc w:val="center"/>
        </w:trPr>
        <w:tc>
          <w:tcPr>
            <w:tcW w:w="4185" w:type="dxa"/>
            <w:shd w:val="clear" w:color="auto" w:fill="D6E0F4"/>
            <w:vAlign w:val="center"/>
          </w:tcPr>
          <w:p w:rsidR="00CD2B62" w:rsidRPr="0037604E" w:rsidRDefault="00CD2B62" w:rsidP="0037604E">
            <w:pPr>
              <w:spacing w:after="0" w:line="240" w:lineRule="auto"/>
              <w:ind w:firstLine="0"/>
              <w:rPr>
                <w:rFonts w:asciiTheme="majorHAnsi" w:eastAsia="Times New Roman" w:hAnsiTheme="majorHAnsi" w:cs="Times New Roman"/>
                <w:b/>
                <w:bCs/>
                <w:sz w:val="10"/>
                <w:szCs w:val="10"/>
                <w:lang w:val="en-GB" w:eastAsia="en-US"/>
              </w:rPr>
            </w:pPr>
          </w:p>
        </w:tc>
        <w:tc>
          <w:tcPr>
            <w:tcW w:w="1377" w:type="dxa"/>
            <w:shd w:val="clear" w:color="auto" w:fill="D6E0F4"/>
            <w:vAlign w:val="center"/>
          </w:tcPr>
          <w:p w:rsidR="00CD2B62" w:rsidRPr="002B1D7A" w:rsidRDefault="00CD2B62" w:rsidP="008C7102">
            <w:pPr>
              <w:spacing w:after="0" w:line="240" w:lineRule="auto"/>
              <w:ind w:firstLine="0"/>
              <w:jc w:val="right"/>
              <w:rPr>
                <w:rFonts w:ascii="Cambria" w:eastAsia="Calibri" w:hAnsi="Cambria" w:cs="Times New Roman"/>
                <w:b/>
                <w:sz w:val="10"/>
                <w:szCs w:val="10"/>
                <w:lang w:eastAsia="en-US"/>
              </w:rPr>
            </w:pPr>
          </w:p>
        </w:tc>
        <w:tc>
          <w:tcPr>
            <w:tcW w:w="1236" w:type="dxa"/>
            <w:shd w:val="clear" w:color="auto" w:fill="D6E0F4"/>
            <w:vAlign w:val="center"/>
          </w:tcPr>
          <w:p w:rsidR="00CD2B62" w:rsidRPr="0037604E" w:rsidRDefault="00CD2B62" w:rsidP="0037604E">
            <w:pPr>
              <w:spacing w:after="0" w:line="240" w:lineRule="auto"/>
              <w:ind w:firstLine="0"/>
              <w:jc w:val="right"/>
              <w:rPr>
                <w:rFonts w:asciiTheme="majorHAnsi" w:eastAsia="Times New Roman" w:hAnsiTheme="majorHAnsi" w:cs="Times New Roman"/>
                <w:b/>
                <w:bCs/>
                <w:sz w:val="10"/>
                <w:szCs w:val="10"/>
                <w:lang w:eastAsia="en-US"/>
              </w:rPr>
            </w:pPr>
          </w:p>
        </w:tc>
        <w:tc>
          <w:tcPr>
            <w:tcW w:w="1498" w:type="dxa"/>
            <w:shd w:val="clear" w:color="auto" w:fill="D6E0F4"/>
            <w:vAlign w:val="center"/>
          </w:tcPr>
          <w:p w:rsidR="00CD2B62" w:rsidRPr="002B1D7A" w:rsidRDefault="00CD2B62" w:rsidP="008C7102">
            <w:pPr>
              <w:spacing w:after="0" w:line="240" w:lineRule="auto"/>
              <w:jc w:val="right"/>
              <w:rPr>
                <w:rFonts w:ascii="Cambria" w:eastAsia="Times New Roman" w:hAnsi="Cambria" w:cs="Arial"/>
                <w:b/>
                <w:sz w:val="10"/>
                <w:szCs w:val="10"/>
              </w:rPr>
            </w:pPr>
          </w:p>
        </w:tc>
      </w:tr>
      <w:tr w:rsidR="00CD2B62" w:rsidRPr="0037604E" w:rsidTr="00CD2B62">
        <w:trPr>
          <w:trHeight w:val="190"/>
          <w:tblCellSpacing w:w="20" w:type="dxa"/>
          <w:jc w:val="center"/>
        </w:trPr>
        <w:tc>
          <w:tcPr>
            <w:tcW w:w="4185" w:type="dxa"/>
            <w:shd w:val="clear" w:color="auto" w:fill="DBE5F1" w:themeFill="accent1" w:themeFillTint="33"/>
            <w:vAlign w:val="center"/>
            <w:hideMark/>
          </w:tcPr>
          <w:p w:rsidR="00CD2B62" w:rsidRPr="0037604E" w:rsidRDefault="00CD2B62" w:rsidP="0037604E">
            <w:pPr>
              <w:spacing w:after="0" w:line="240" w:lineRule="auto"/>
              <w:ind w:firstLine="0"/>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GROSS PROFIT -total,   of which:</w:t>
            </w:r>
          </w:p>
        </w:tc>
        <w:tc>
          <w:tcPr>
            <w:tcW w:w="1377" w:type="dxa"/>
            <w:shd w:val="clear" w:color="auto" w:fill="DBE5F1" w:themeFill="accent1" w:themeFillTint="33"/>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713.975</w:t>
            </w:r>
          </w:p>
        </w:tc>
        <w:tc>
          <w:tcPr>
            <w:tcW w:w="1236" w:type="dxa"/>
            <w:shd w:val="clear" w:color="auto" w:fill="DBE5F1" w:themeFill="accent1" w:themeFillTint="33"/>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607.101</w:t>
            </w:r>
          </w:p>
        </w:tc>
        <w:tc>
          <w:tcPr>
            <w:tcW w:w="1498" w:type="dxa"/>
            <w:shd w:val="clear" w:color="auto" w:fill="DBE5F1" w:themeFill="accent1" w:themeFillTint="33"/>
            <w:vAlign w:val="center"/>
          </w:tcPr>
          <w:p w:rsidR="00CD2B62" w:rsidRPr="002B1D7A" w:rsidRDefault="00CD2B62" w:rsidP="008C7102">
            <w:pPr>
              <w:spacing w:after="0" w:line="240" w:lineRule="auto"/>
              <w:jc w:val="right"/>
              <w:rPr>
                <w:rFonts w:ascii="Cambria" w:eastAsia="Times New Roman" w:hAnsi="Cambria" w:cs="Arial"/>
                <w:b/>
                <w:sz w:val="18"/>
                <w:szCs w:val="18"/>
              </w:rPr>
            </w:pPr>
            <w:r w:rsidRPr="002B1D7A">
              <w:rPr>
                <w:rFonts w:ascii="Cambria" w:eastAsia="Times New Roman" w:hAnsi="Cambria" w:cs="Arial"/>
                <w:b/>
                <w:sz w:val="18"/>
                <w:szCs w:val="18"/>
              </w:rPr>
              <w:t>18%</w:t>
            </w:r>
          </w:p>
        </w:tc>
      </w:tr>
      <w:tr w:rsidR="00CD2B62" w:rsidRPr="0037604E" w:rsidTr="00CD2B62">
        <w:trPr>
          <w:trHeight w:val="253"/>
          <w:tblCellSpacing w:w="20" w:type="dxa"/>
          <w:jc w:val="center"/>
        </w:trPr>
        <w:tc>
          <w:tcPr>
            <w:tcW w:w="4185" w:type="dxa"/>
            <w:shd w:val="clear" w:color="000000" w:fill="FFFFFF"/>
            <w:vAlign w:val="center"/>
            <w:hideMark/>
          </w:tcPr>
          <w:p w:rsidR="00CD2B62" w:rsidRPr="0037604E" w:rsidRDefault="00CD2B62" w:rsidP="0037604E">
            <w:pPr>
              <w:spacing w:after="0" w:line="240" w:lineRule="auto"/>
              <w:ind w:firstLineChars="600" w:firstLine="108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from operation</w:t>
            </w:r>
          </w:p>
        </w:tc>
        <w:tc>
          <w:tcPr>
            <w:tcW w:w="1377" w:type="dxa"/>
            <w:shd w:val="clear" w:color="000000" w:fill="FFFFFF"/>
            <w:vAlign w:val="center"/>
          </w:tcPr>
          <w:p w:rsidR="00CD2B62" w:rsidRPr="002B1D7A" w:rsidRDefault="00CD2B62" w:rsidP="008C7102">
            <w:pPr>
              <w:spacing w:after="0" w:line="240" w:lineRule="auto"/>
              <w:ind w:firstLine="0"/>
              <w:jc w:val="right"/>
              <w:rPr>
                <w:rFonts w:ascii="Cambria" w:eastAsia="Calibri" w:hAnsi="Cambria" w:cs="Times New Roman"/>
                <w:sz w:val="18"/>
                <w:szCs w:val="18"/>
                <w:lang w:eastAsia="en-US"/>
              </w:rPr>
            </w:pPr>
            <w:r w:rsidRPr="002B1D7A">
              <w:rPr>
                <w:rFonts w:ascii="Cambria" w:eastAsia="Calibri" w:hAnsi="Cambria" w:cs="Times New Roman"/>
                <w:sz w:val="18"/>
                <w:szCs w:val="18"/>
                <w:lang w:eastAsia="en-US"/>
              </w:rPr>
              <w:t>691.427</w:t>
            </w:r>
          </w:p>
        </w:tc>
        <w:tc>
          <w:tcPr>
            <w:tcW w:w="1236" w:type="dxa"/>
            <w:shd w:val="clear" w:color="000000" w:fill="FFFFFF"/>
            <w:vAlign w:val="center"/>
          </w:tcPr>
          <w:p w:rsidR="00CD2B62" w:rsidRPr="0037604E" w:rsidRDefault="00CD2B62"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586.179</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18%</w:t>
            </w:r>
          </w:p>
        </w:tc>
      </w:tr>
      <w:tr w:rsidR="00CD2B62" w:rsidRPr="0037604E" w:rsidTr="00CD2B62">
        <w:trPr>
          <w:trHeight w:val="190"/>
          <w:tblCellSpacing w:w="20" w:type="dxa"/>
          <w:jc w:val="center"/>
        </w:trPr>
        <w:tc>
          <w:tcPr>
            <w:tcW w:w="4185" w:type="dxa"/>
            <w:shd w:val="clear" w:color="000000" w:fill="FFFFFF"/>
            <w:vAlign w:val="center"/>
            <w:hideMark/>
          </w:tcPr>
          <w:p w:rsidR="00CD2B62" w:rsidRPr="0037604E" w:rsidRDefault="00CD2B62" w:rsidP="0037604E">
            <w:pPr>
              <w:spacing w:after="0" w:line="240" w:lineRule="auto"/>
              <w:ind w:firstLineChars="600" w:firstLine="108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from the financial activity</w:t>
            </w:r>
          </w:p>
        </w:tc>
        <w:tc>
          <w:tcPr>
            <w:tcW w:w="1377"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22.547</w:t>
            </w:r>
          </w:p>
        </w:tc>
        <w:tc>
          <w:tcPr>
            <w:tcW w:w="1236" w:type="dxa"/>
            <w:shd w:val="clear" w:color="000000" w:fill="FFFFFF"/>
            <w:vAlign w:val="center"/>
          </w:tcPr>
          <w:p w:rsidR="00CD2B62" w:rsidRPr="0037604E" w:rsidRDefault="00CD2B62" w:rsidP="0037604E">
            <w:pPr>
              <w:spacing w:after="0" w:line="240" w:lineRule="auto"/>
              <w:jc w:val="right"/>
              <w:rPr>
                <w:rFonts w:asciiTheme="majorHAnsi" w:eastAsia="Times New Roman" w:hAnsiTheme="majorHAnsi" w:cs="Arial"/>
                <w:sz w:val="18"/>
                <w:szCs w:val="18"/>
              </w:rPr>
            </w:pPr>
            <w:r w:rsidRPr="0037604E">
              <w:rPr>
                <w:rFonts w:asciiTheme="majorHAnsi" w:eastAsia="Times New Roman" w:hAnsiTheme="majorHAnsi" w:cs="Arial"/>
                <w:sz w:val="18"/>
                <w:szCs w:val="18"/>
              </w:rPr>
              <w:t>20.922</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8%</w:t>
            </w:r>
          </w:p>
        </w:tc>
      </w:tr>
      <w:tr w:rsidR="00CD2B62" w:rsidRPr="0037604E" w:rsidTr="00CD2B62">
        <w:trPr>
          <w:trHeight w:val="163"/>
          <w:tblCellSpacing w:w="20" w:type="dxa"/>
          <w:jc w:val="center"/>
        </w:trPr>
        <w:tc>
          <w:tcPr>
            <w:tcW w:w="4185" w:type="dxa"/>
            <w:shd w:val="clear" w:color="000000" w:fill="FFFFFF"/>
            <w:vAlign w:val="center"/>
            <w:hideMark/>
          </w:tcPr>
          <w:p w:rsidR="00CD2B62" w:rsidRPr="0037604E" w:rsidRDefault="00CD2B6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Tax on profit</w:t>
            </w:r>
          </w:p>
        </w:tc>
        <w:tc>
          <w:tcPr>
            <w:tcW w:w="1377"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bCs/>
                <w:sz w:val="18"/>
                <w:szCs w:val="18"/>
              </w:rPr>
            </w:pPr>
            <w:r w:rsidRPr="002B1D7A">
              <w:rPr>
                <w:rFonts w:ascii="Cambria" w:eastAsia="Times New Roman" w:hAnsi="Cambria" w:cs="Arial"/>
                <w:bCs/>
                <w:sz w:val="18"/>
                <w:szCs w:val="18"/>
              </w:rPr>
              <w:t>119.410</w:t>
            </w:r>
          </w:p>
        </w:tc>
        <w:tc>
          <w:tcPr>
            <w:tcW w:w="1236" w:type="dxa"/>
            <w:shd w:val="clear" w:color="000000" w:fill="FFFFFF"/>
            <w:vAlign w:val="center"/>
          </w:tcPr>
          <w:p w:rsidR="00CD2B62" w:rsidRPr="0037604E" w:rsidRDefault="00CD2B62" w:rsidP="0037604E">
            <w:pPr>
              <w:spacing w:after="0" w:line="240" w:lineRule="auto"/>
              <w:jc w:val="right"/>
              <w:rPr>
                <w:rFonts w:asciiTheme="majorHAnsi" w:eastAsia="Times New Roman" w:hAnsiTheme="majorHAnsi" w:cs="Arial"/>
                <w:bCs/>
                <w:sz w:val="18"/>
                <w:szCs w:val="18"/>
              </w:rPr>
            </w:pPr>
            <w:r w:rsidRPr="0037604E">
              <w:rPr>
                <w:rFonts w:asciiTheme="majorHAnsi" w:eastAsia="Times New Roman" w:hAnsiTheme="majorHAnsi" w:cs="Arial"/>
                <w:bCs/>
                <w:sz w:val="18"/>
                <w:szCs w:val="18"/>
              </w:rPr>
              <w:t>118.372</w:t>
            </w:r>
          </w:p>
        </w:tc>
        <w:tc>
          <w:tcPr>
            <w:tcW w:w="1498" w:type="dxa"/>
            <w:shd w:val="clear" w:color="000000"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1%</w:t>
            </w:r>
          </w:p>
        </w:tc>
      </w:tr>
      <w:tr w:rsidR="00CD2B62" w:rsidRPr="0037604E" w:rsidTr="00CD2B62">
        <w:trPr>
          <w:trHeight w:val="190"/>
          <w:tblCellSpacing w:w="20" w:type="dxa"/>
          <w:jc w:val="center"/>
        </w:trPr>
        <w:tc>
          <w:tcPr>
            <w:tcW w:w="4185" w:type="dxa"/>
            <w:shd w:val="clear" w:color="auto" w:fill="D6E0F4"/>
            <w:vAlign w:val="center"/>
            <w:hideMark/>
          </w:tcPr>
          <w:p w:rsidR="00CD2B62" w:rsidRPr="0037604E" w:rsidRDefault="00CD2B62" w:rsidP="0037604E">
            <w:pPr>
              <w:spacing w:after="0" w:line="240" w:lineRule="auto"/>
              <w:ind w:firstLine="0"/>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 xml:space="preserve">NET PROFIT </w:t>
            </w:r>
          </w:p>
        </w:tc>
        <w:tc>
          <w:tcPr>
            <w:tcW w:w="1377" w:type="dxa"/>
            <w:shd w:val="clear" w:color="auto" w:fill="D6E0F4"/>
            <w:vAlign w:val="center"/>
          </w:tcPr>
          <w:p w:rsidR="00CD2B62" w:rsidRPr="002B1D7A" w:rsidRDefault="00CD2B62" w:rsidP="008C7102">
            <w:pPr>
              <w:spacing w:after="0" w:line="240" w:lineRule="auto"/>
              <w:ind w:firstLine="0"/>
              <w:jc w:val="right"/>
              <w:rPr>
                <w:rFonts w:ascii="Cambria" w:eastAsia="Times New Roman" w:hAnsi="Cambria" w:cs="Arial"/>
                <w:b/>
                <w:bCs/>
                <w:sz w:val="18"/>
                <w:szCs w:val="18"/>
              </w:rPr>
            </w:pPr>
            <w:r w:rsidRPr="002B1D7A">
              <w:rPr>
                <w:rFonts w:ascii="Cambria" w:eastAsia="Times New Roman" w:hAnsi="Cambria" w:cs="Arial"/>
                <w:b/>
                <w:bCs/>
                <w:sz w:val="18"/>
                <w:szCs w:val="18"/>
              </w:rPr>
              <w:t>594.565</w:t>
            </w:r>
          </w:p>
        </w:tc>
        <w:tc>
          <w:tcPr>
            <w:tcW w:w="1236" w:type="dxa"/>
            <w:shd w:val="clear" w:color="auto" w:fill="D6E0F4"/>
            <w:vAlign w:val="center"/>
          </w:tcPr>
          <w:p w:rsidR="00CD2B62" w:rsidRPr="0037604E" w:rsidRDefault="00CD2B62" w:rsidP="0037604E">
            <w:pPr>
              <w:spacing w:after="0" w:line="240" w:lineRule="auto"/>
              <w:ind w:firstLine="0"/>
              <w:jc w:val="right"/>
              <w:rPr>
                <w:rFonts w:asciiTheme="majorHAnsi" w:eastAsia="Times New Roman" w:hAnsiTheme="majorHAnsi" w:cs="Arial"/>
                <w:b/>
                <w:bCs/>
                <w:sz w:val="18"/>
                <w:szCs w:val="18"/>
              </w:rPr>
            </w:pPr>
            <w:r w:rsidRPr="0037604E">
              <w:rPr>
                <w:rFonts w:asciiTheme="majorHAnsi" w:eastAsia="Times New Roman" w:hAnsiTheme="majorHAnsi" w:cs="Arial"/>
                <w:b/>
                <w:bCs/>
                <w:sz w:val="18"/>
                <w:szCs w:val="18"/>
              </w:rPr>
              <w:t>488.729</w:t>
            </w:r>
          </w:p>
        </w:tc>
        <w:tc>
          <w:tcPr>
            <w:tcW w:w="1498" w:type="dxa"/>
            <w:shd w:val="clear" w:color="auto" w:fill="D6E0F4"/>
            <w:vAlign w:val="center"/>
          </w:tcPr>
          <w:p w:rsidR="00CD2B62" w:rsidRPr="002B1D7A" w:rsidRDefault="00CD2B62" w:rsidP="008C7102">
            <w:pPr>
              <w:spacing w:after="0" w:line="240" w:lineRule="auto"/>
              <w:jc w:val="right"/>
              <w:rPr>
                <w:rFonts w:ascii="Cambria" w:eastAsia="Times New Roman" w:hAnsi="Cambria" w:cs="Arial"/>
                <w:b/>
                <w:sz w:val="18"/>
                <w:szCs w:val="18"/>
              </w:rPr>
            </w:pPr>
            <w:r w:rsidRPr="002B1D7A">
              <w:rPr>
                <w:rFonts w:ascii="Cambria" w:eastAsia="Times New Roman" w:hAnsi="Cambria" w:cs="Arial"/>
                <w:b/>
                <w:sz w:val="18"/>
                <w:szCs w:val="18"/>
              </w:rPr>
              <w:t>22%</w:t>
            </w:r>
          </w:p>
        </w:tc>
      </w:tr>
      <w:tr w:rsidR="00CD2B62" w:rsidRPr="0037604E" w:rsidTr="00CD2B62">
        <w:trPr>
          <w:trHeight w:val="190"/>
          <w:tblCellSpacing w:w="20" w:type="dxa"/>
          <w:jc w:val="center"/>
        </w:trPr>
        <w:tc>
          <w:tcPr>
            <w:tcW w:w="4185" w:type="dxa"/>
            <w:shd w:val="clear" w:color="auto" w:fill="FFFFFF"/>
            <w:vAlign w:val="center"/>
          </w:tcPr>
          <w:p w:rsidR="00CD2B62" w:rsidRPr="0037604E" w:rsidRDefault="00CD2B62" w:rsidP="0037604E">
            <w:pPr>
              <w:spacing w:after="0" w:line="240" w:lineRule="auto"/>
              <w:ind w:firstLine="0"/>
              <w:rPr>
                <w:rFonts w:asciiTheme="majorHAnsi" w:eastAsia="Times New Roman" w:hAnsiTheme="majorHAnsi" w:cs="Times New Roman"/>
                <w:bCs/>
                <w:sz w:val="18"/>
                <w:szCs w:val="18"/>
                <w:lang w:val="en-GB" w:eastAsia="en-US"/>
              </w:rPr>
            </w:pPr>
            <w:r w:rsidRPr="0037604E">
              <w:rPr>
                <w:rFonts w:asciiTheme="majorHAnsi" w:eastAsia="Times New Roman" w:hAnsiTheme="majorHAnsi" w:cs="Times New Roman"/>
                <w:bCs/>
                <w:sz w:val="18"/>
                <w:szCs w:val="18"/>
                <w:lang w:val="en-GB" w:eastAsia="en-US"/>
              </w:rPr>
              <w:t>Other items of the comprehensive result</w:t>
            </w:r>
          </w:p>
        </w:tc>
        <w:tc>
          <w:tcPr>
            <w:tcW w:w="1377" w:type="dxa"/>
            <w:shd w:val="clear" w:color="auto" w:fill="FFFFFF"/>
            <w:vAlign w:val="center"/>
          </w:tcPr>
          <w:p w:rsidR="00CD2B62" w:rsidRPr="002B1D7A" w:rsidRDefault="00CD2B62" w:rsidP="008C7102">
            <w:pPr>
              <w:spacing w:after="0" w:line="240" w:lineRule="auto"/>
              <w:ind w:firstLine="0"/>
              <w:jc w:val="right"/>
              <w:rPr>
                <w:rFonts w:ascii="Cambria" w:eastAsia="Times New Roman" w:hAnsi="Cambria" w:cs="Arial"/>
                <w:bCs/>
                <w:sz w:val="18"/>
                <w:szCs w:val="18"/>
              </w:rPr>
            </w:pPr>
            <w:r w:rsidRPr="002B1D7A">
              <w:rPr>
                <w:rFonts w:ascii="Cambria" w:eastAsia="Times New Roman" w:hAnsi="Cambria" w:cs="Arial"/>
                <w:bCs/>
                <w:sz w:val="18"/>
                <w:szCs w:val="18"/>
              </w:rPr>
              <w:t>-1.026</w:t>
            </w:r>
          </w:p>
        </w:tc>
        <w:tc>
          <w:tcPr>
            <w:tcW w:w="1236" w:type="dxa"/>
            <w:shd w:val="clear" w:color="auto" w:fill="FFFFFF"/>
            <w:vAlign w:val="center"/>
          </w:tcPr>
          <w:p w:rsidR="00CD2B62" w:rsidRPr="0037604E" w:rsidRDefault="00CD2B62" w:rsidP="0037604E">
            <w:pPr>
              <w:spacing w:after="0" w:line="240" w:lineRule="auto"/>
              <w:ind w:firstLine="0"/>
              <w:jc w:val="right"/>
              <w:rPr>
                <w:rFonts w:asciiTheme="majorHAnsi" w:eastAsia="Times New Roman" w:hAnsiTheme="majorHAnsi" w:cs="Arial"/>
                <w:bCs/>
                <w:sz w:val="18"/>
                <w:szCs w:val="18"/>
              </w:rPr>
            </w:pPr>
            <w:r w:rsidRPr="0037604E">
              <w:rPr>
                <w:rFonts w:asciiTheme="majorHAnsi" w:eastAsia="Times New Roman" w:hAnsiTheme="majorHAnsi" w:cs="Arial"/>
                <w:bCs/>
                <w:sz w:val="18"/>
                <w:szCs w:val="18"/>
              </w:rPr>
              <w:t>10.211</w:t>
            </w:r>
          </w:p>
        </w:tc>
        <w:tc>
          <w:tcPr>
            <w:tcW w:w="1498" w:type="dxa"/>
            <w:shd w:val="clear" w:color="auto" w:fill="FFFFFF"/>
            <w:vAlign w:val="center"/>
          </w:tcPr>
          <w:p w:rsidR="00CD2B62" w:rsidRPr="002B1D7A" w:rsidRDefault="00CD2B62" w:rsidP="008C7102">
            <w:pPr>
              <w:spacing w:after="0" w:line="240" w:lineRule="auto"/>
              <w:jc w:val="right"/>
              <w:rPr>
                <w:rFonts w:ascii="Cambria" w:eastAsia="Times New Roman" w:hAnsi="Cambria" w:cs="Arial"/>
                <w:sz w:val="18"/>
                <w:szCs w:val="18"/>
              </w:rPr>
            </w:pPr>
            <w:r w:rsidRPr="002B1D7A">
              <w:rPr>
                <w:rFonts w:ascii="Cambria" w:eastAsia="Times New Roman" w:hAnsi="Cambria" w:cs="Arial"/>
                <w:sz w:val="18"/>
                <w:szCs w:val="18"/>
              </w:rPr>
              <w:t>X</w:t>
            </w:r>
          </w:p>
        </w:tc>
      </w:tr>
      <w:tr w:rsidR="00CD2B62" w:rsidRPr="0037604E" w:rsidTr="00CD2B62">
        <w:trPr>
          <w:trHeight w:val="190"/>
          <w:tblCellSpacing w:w="20" w:type="dxa"/>
          <w:jc w:val="center"/>
        </w:trPr>
        <w:tc>
          <w:tcPr>
            <w:tcW w:w="4185" w:type="dxa"/>
            <w:shd w:val="clear" w:color="auto" w:fill="D6E0F4"/>
            <w:vAlign w:val="center"/>
          </w:tcPr>
          <w:p w:rsidR="00CD2B62" w:rsidRPr="0037604E" w:rsidRDefault="00CD2B62" w:rsidP="0037604E">
            <w:pPr>
              <w:spacing w:after="0" w:line="240" w:lineRule="auto"/>
              <w:ind w:firstLine="0"/>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Total comprehensive result for the period</w:t>
            </w:r>
          </w:p>
        </w:tc>
        <w:tc>
          <w:tcPr>
            <w:tcW w:w="1377" w:type="dxa"/>
            <w:shd w:val="clear" w:color="auto" w:fill="D6E0F4"/>
            <w:vAlign w:val="center"/>
          </w:tcPr>
          <w:p w:rsidR="00CD2B62" w:rsidRPr="002B1D7A" w:rsidRDefault="00CD2B62" w:rsidP="008C7102">
            <w:pPr>
              <w:spacing w:after="0" w:line="240" w:lineRule="auto"/>
              <w:ind w:firstLine="0"/>
              <w:jc w:val="right"/>
              <w:rPr>
                <w:rFonts w:ascii="Cambria" w:eastAsia="Times New Roman" w:hAnsi="Cambria" w:cs="Arial"/>
                <w:b/>
                <w:bCs/>
                <w:sz w:val="18"/>
                <w:szCs w:val="18"/>
              </w:rPr>
            </w:pPr>
            <w:r w:rsidRPr="002B1D7A">
              <w:rPr>
                <w:rFonts w:ascii="Cambria" w:eastAsia="Times New Roman" w:hAnsi="Cambria" w:cs="Arial"/>
                <w:b/>
                <w:bCs/>
                <w:sz w:val="18"/>
                <w:szCs w:val="18"/>
              </w:rPr>
              <w:t>593.539</w:t>
            </w:r>
          </w:p>
        </w:tc>
        <w:tc>
          <w:tcPr>
            <w:tcW w:w="1236" w:type="dxa"/>
            <w:shd w:val="clear" w:color="auto" w:fill="D6E0F4"/>
            <w:vAlign w:val="center"/>
          </w:tcPr>
          <w:p w:rsidR="00CD2B62" w:rsidRPr="0037604E" w:rsidRDefault="00CD2B62" w:rsidP="0037604E">
            <w:pPr>
              <w:spacing w:after="0" w:line="240" w:lineRule="auto"/>
              <w:ind w:firstLine="0"/>
              <w:jc w:val="right"/>
              <w:rPr>
                <w:rFonts w:asciiTheme="majorHAnsi" w:eastAsia="Times New Roman" w:hAnsiTheme="majorHAnsi" w:cs="Arial"/>
                <w:b/>
                <w:bCs/>
                <w:sz w:val="18"/>
                <w:szCs w:val="18"/>
              </w:rPr>
            </w:pPr>
            <w:r w:rsidRPr="0037604E">
              <w:rPr>
                <w:rFonts w:asciiTheme="majorHAnsi" w:eastAsia="Times New Roman" w:hAnsiTheme="majorHAnsi" w:cs="Arial"/>
                <w:b/>
                <w:bCs/>
                <w:sz w:val="18"/>
                <w:szCs w:val="18"/>
              </w:rPr>
              <w:t>498.940</w:t>
            </w:r>
          </w:p>
        </w:tc>
        <w:tc>
          <w:tcPr>
            <w:tcW w:w="1498" w:type="dxa"/>
            <w:shd w:val="clear" w:color="auto" w:fill="D6E0F4"/>
            <w:vAlign w:val="center"/>
          </w:tcPr>
          <w:p w:rsidR="00CD2B62" w:rsidRPr="002B1D7A" w:rsidRDefault="00CD2B62" w:rsidP="008C7102">
            <w:pPr>
              <w:spacing w:after="0" w:line="240" w:lineRule="auto"/>
              <w:jc w:val="right"/>
              <w:rPr>
                <w:rFonts w:ascii="Cambria" w:eastAsia="Times New Roman" w:hAnsi="Cambria" w:cs="Arial"/>
                <w:b/>
                <w:sz w:val="18"/>
                <w:szCs w:val="18"/>
              </w:rPr>
            </w:pPr>
            <w:r w:rsidRPr="002B1D7A">
              <w:rPr>
                <w:rFonts w:ascii="Cambria" w:eastAsia="Times New Roman" w:hAnsi="Cambria" w:cs="Arial"/>
                <w:b/>
                <w:sz w:val="18"/>
                <w:szCs w:val="18"/>
              </w:rPr>
              <w:t>19%</w:t>
            </w:r>
          </w:p>
        </w:tc>
      </w:tr>
    </w:tbl>
    <w:p w:rsidR="0037604E" w:rsidRPr="0037604E" w:rsidRDefault="0037604E" w:rsidP="0037604E">
      <w:pPr>
        <w:spacing w:after="0" w:line="25" w:lineRule="atLeast"/>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30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Table 24- </w:t>
      </w:r>
      <w:r w:rsidRPr="0037604E">
        <w:rPr>
          <w:rFonts w:ascii="Cambria" w:eastAsia="Times New Roman" w:hAnsi="Cambria" w:cs="Cambria"/>
          <w:b/>
          <w:bCs/>
          <w:i/>
          <w:iCs/>
          <w:sz w:val="16"/>
          <w:szCs w:val="16"/>
          <w:lang w:val="en-GB"/>
        </w:rPr>
        <w:t>Financial results</w:t>
      </w:r>
      <w:r w:rsidR="00F52A6F">
        <w:rPr>
          <w:rFonts w:ascii="Cambria" w:eastAsia="Times New Roman" w:hAnsi="Cambria" w:cs="Times New Roman"/>
          <w:b/>
          <w:i/>
          <w:sz w:val="16"/>
          <w:szCs w:val="16"/>
          <w:lang w:val="en-GB" w:eastAsia="ro-RO"/>
        </w:rPr>
        <w:t xml:space="preserve"> in </w:t>
      </w:r>
      <w:r w:rsidRPr="0037604E">
        <w:rPr>
          <w:rFonts w:ascii="Cambria" w:eastAsia="Times New Roman" w:hAnsi="Cambria" w:cs="Times New Roman"/>
          <w:b/>
          <w:i/>
          <w:sz w:val="16"/>
          <w:szCs w:val="16"/>
          <w:lang w:val="en-GB" w:eastAsia="ro-RO"/>
        </w:rPr>
        <w:t>2016 vs financial results 2015</w:t>
      </w:r>
    </w:p>
    <w:p w:rsidR="0037604E" w:rsidRPr="0037604E" w:rsidRDefault="008C7102" w:rsidP="0037604E">
      <w:pPr>
        <w:spacing w:after="0" w:line="300" w:lineRule="auto"/>
        <w:ind w:firstLine="0"/>
        <w:jc w:val="center"/>
        <w:rPr>
          <w:rFonts w:ascii="Cambria" w:eastAsia="Times New Roman" w:hAnsi="Cambria" w:cs="Times New Roman"/>
          <w:b/>
          <w:i/>
          <w:sz w:val="16"/>
          <w:szCs w:val="16"/>
          <w:lang w:val="en-GB" w:eastAsia="ro-RO"/>
        </w:rPr>
      </w:pPr>
      <w:r w:rsidRPr="00715E6E">
        <w:rPr>
          <w:rFonts w:ascii="Cambria" w:eastAsia="Calibri" w:hAnsi="Cambria" w:cs="Times New Roman"/>
          <w:b/>
          <w:i/>
          <w:noProof/>
          <w:lang w:val="ro-RO" w:eastAsia="ro-RO"/>
        </w:rPr>
        <w:drawing>
          <wp:anchor distT="0" distB="0" distL="114300" distR="114300" simplePos="0" relativeHeight="251978752" behindDoc="0" locked="0" layoutInCell="1" allowOverlap="1" wp14:anchorId="6402CF77" wp14:editId="5ADDEA89">
            <wp:simplePos x="0" y="0"/>
            <wp:positionH relativeFrom="margin">
              <wp:posOffset>-400050</wp:posOffset>
            </wp:positionH>
            <wp:positionV relativeFrom="paragraph">
              <wp:posOffset>116840</wp:posOffset>
            </wp:positionV>
            <wp:extent cx="6305550" cy="2581275"/>
            <wp:effectExtent l="0" t="0" r="0" b="0"/>
            <wp:wrapSquare wrapText="bothSides"/>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rsidR="008C7102" w:rsidRDefault="008C7102" w:rsidP="008C7102">
      <w:pPr>
        <w:spacing w:after="0" w:line="300" w:lineRule="auto"/>
        <w:ind w:firstLine="0"/>
        <w:rPr>
          <w:rFonts w:ascii="Cambria" w:eastAsia="Times New Roman" w:hAnsi="Cambria" w:cs="Times New Roman"/>
          <w:b/>
          <w:i/>
          <w:sz w:val="16"/>
          <w:szCs w:val="16"/>
          <w:lang w:val="en-GB" w:eastAsia="ro-RO"/>
        </w:rPr>
      </w:pPr>
    </w:p>
    <w:p w:rsidR="0037604E" w:rsidRPr="0037604E" w:rsidRDefault="0037604E" w:rsidP="0037604E">
      <w:pPr>
        <w:spacing w:after="0" w:line="30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b/>
          <w:i/>
          <w:sz w:val="16"/>
          <w:szCs w:val="16"/>
          <w:lang w:val="en-GB" w:eastAsia="ro-RO"/>
        </w:rPr>
        <w:t>Chart 29 – Financial results in  2016 vs financial results in 2015 (thousand RON)</w:t>
      </w:r>
    </w:p>
    <w:p w:rsidR="0037604E" w:rsidRPr="0037604E" w:rsidRDefault="00DB39C1" w:rsidP="0037604E">
      <w:pPr>
        <w:spacing w:after="0" w:line="240" w:lineRule="auto"/>
        <w:ind w:firstLine="0"/>
        <w:jc w:val="both"/>
        <w:rPr>
          <w:rFonts w:ascii="Cambria" w:eastAsia="Times New Roman" w:hAnsi="Cambria" w:cs="Times New Roman"/>
          <w:b/>
          <w:i/>
          <w:sz w:val="24"/>
          <w:szCs w:val="24"/>
          <w:lang w:val="en-GB" w:eastAsia="ro-RO"/>
        </w:rPr>
      </w:pPr>
      <w:r w:rsidRPr="00715E6E">
        <w:rPr>
          <w:rFonts w:ascii="Cambria" w:eastAsia="Calibri" w:hAnsi="Cambria" w:cs="Times New Roman"/>
          <w:b/>
          <w:i/>
          <w:noProof/>
          <w:lang w:val="ro-RO" w:eastAsia="ro-RO"/>
        </w:rPr>
        <w:drawing>
          <wp:inline distT="0" distB="0" distL="0" distR="0" wp14:anchorId="0E7B6F9A" wp14:editId="307514A7">
            <wp:extent cx="5732145" cy="1259840"/>
            <wp:effectExtent l="0" t="0" r="190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37604E" w:rsidRDefault="0037604E" w:rsidP="0037604E">
      <w:pPr>
        <w:spacing w:after="0" w:line="30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30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b/>
          <w:i/>
          <w:sz w:val="16"/>
          <w:szCs w:val="16"/>
          <w:lang w:val="en-GB" w:eastAsia="ro-RO"/>
        </w:rPr>
        <w:lastRenderedPageBreak/>
        <w:t>Chart 30 – Financial results 2016 vs financial results 2015</w:t>
      </w:r>
      <w:r w:rsidRPr="0037604E">
        <w:rPr>
          <w:rFonts w:ascii="Cambria" w:eastAsia="Times New Roman" w:hAnsi="Cambria" w:cs="Times New Roman"/>
          <w:sz w:val="24"/>
          <w:szCs w:val="24"/>
          <w:lang w:val="en-GB" w:eastAsia="ro-RO"/>
        </w:rPr>
        <w:t xml:space="preserve"> </w:t>
      </w:r>
      <w:r w:rsidRPr="0037604E">
        <w:rPr>
          <w:rFonts w:ascii="Cambria" w:eastAsia="Times New Roman" w:hAnsi="Cambria" w:cs="Times New Roman"/>
          <w:b/>
          <w:i/>
          <w:sz w:val="16"/>
          <w:szCs w:val="16"/>
          <w:lang w:val="en-GB" w:eastAsia="ro-RO"/>
        </w:rPr>
        <w:t>(%)</w:t>
      </w: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F52A6F"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F52A6F">
        <w:rPr>
          <w:rFonts w:ascii="Cambria" w:eastAsia="Times New Roman" w:hAnsi="Cambria" w:cs="Times New Roman"/>
          <w:b/>
          <w:i/>
          <w:sz w:val="24"/>
          <w:szCs w:val="24"/>
          <w:lang w:val="en-GB" w:eastAsia="ro-RO"/>
        </w:rPr>
        <w:t xml:space="preserve">The operating revenue before </w:t>
      </w:r>
      <w:r w:rsidR="00357186">
        <w:rPr>
          <w:rFonts w:ascii="Cambria" w:eastAsia="Times New Roman" w:hAnsi="Cambria" w:cs="Times New Roman"/>
          <w:b/>
          <w:i/>
          <w:sz w:val="24"/>
          <w:szCs w:val="24"/>
          <w:lang w:val="en-GB" w:eastAsia="ro-RO"/>
        </w:rPr>
        <w:t>balancing and</w:t>
      </w:r>
      <w:r w:rsidRPr="00F52A6F">
        <w:rPr>
          <w:rFonts w:ascii="Cambria" w:eastAsia="Times New Roman" w:hAnsi="Cambria" w:cs="Times New Roman"/>
          <w:b/>
          <w:i/>
          <w:sz w:val="24"/>
          <w:szCs w:val="24"/>
          <w:lang w:val="en-GB" w:eastAsia="ro-RO"/>
        </w:rPr>
        <w:t xml:space="preserve"> </w:t>
      </w:r>
      <w:r w:rsidR="00E82AC7">
        <w:rPr>
          <w:rFonts w:ascii="Cambria" w:eastAsia="Times New Roman" w:hAnsi="Cambria" w:cs="Times New Roman"/>
          <w:b/>
          <w:i/>
          <w:sz w:val="24"/>
          <w:szCs w:val="24"/>
          <w:lang w:val="en-GB" w:eastAsia="ro-RO"/>
        </w:rPr>
        <w:t xml:space="preserve">the </w:t>
      </w:r>
      <w:r w:rsidRPr="00F52A6F">
        <w:rPr>
          <w:rFonts w:ascii="Cambria" w:eastAsia="Times New Roman" w:hAnsi="Cambria" w:cs="Times New Roman"/>
          <w:b/>
          <w:i/>
          <w:sz w:val="24"/>
          <w:szCs w:val="24"/>
          <w:lang w:val="en-GB" w:eastAsia="ro-RO"/>
        </w:rPr>
        <w:t xml:space="preserve">construction activity acc. to IFRIC12 </w:t>
      </w:r>
      <w:r w:rsidR="00F52A6F" w:rsidRPr="00F52A6F">
        <w:rPr>
          <w:rFonts w:ascii="Cambria" w:eastAsia="Times New Roman" w:hAnsi="Cambria" w:cs="Times New Roman"/>
          <w:sz w:val="24"/>
          <w:szCs w:val="24"/>
          <w:lang w:val="en-GB" w:eastAsia="ro-RO"/>
        </w:rPr>
        <w:t xml:space="preserve">increased </w:t>
      </w:r>
      <w:r w:rsidR="00357186">
        <w:rPr>
          <w:rFonts w:ascii="Cambria" w:eastAsia="Times New Roman" w:hAnsi="Cambria" w:cs="Times New Roman"/>
          <w:sz w:val="24"/>
          <w:szCs w:val="24"/>
          <w:lang w:val="en-GB" w:eastAsia="ro-RO"/>
        </w:rPr>
        <w:t>by 9</w:t>
      </w:r>
      <w:r w:rsidR="00F52A6F">
        <w:rPr>
          <w:rFonts w:ascii="Cambria" w:eastAsia="Times New Roman" w:hAnsi="Cambria" w:cs="Times New Roman"/>
          <w:sz w:val="24"/>
          <w:szCs w:val="24"/>
          <w:lang w:val="en-GB" w:eastAsia="ro-RO"/>
        </w:rPr>
        <w:t>% as compared to</w:t>
      </w:r>
      <w:r w:rsidRPr="00F52A6F">
        <w:rPr>
          <w:rFonts w:ascii="Cambria" w:eastAsia="Times New Roman" w:hAnsi="Cambria" w:cs="Times New Roman"/>
          <w:sz w:val="24"/>
          <w:szCs w:val="24"/>
          <w:lang w:val="en-GB" w:eastAsia="ro-RO"/>
        </w:rPr>
        <w:t xml:space="preserve"> the results obtained </w:t>
      </w:r>
      <w:r w:rsidR="00F52A6F">
        <w:rPr>
          <w:rFonts w:ascii="Cambria" w:eastAsia="Times New Roman" w:hAnsi="Cambria" w:cs="Times New Roman"/>
          <w:sz w:val="24"/>
          <w:szCs w:val="24"/>
          <w:lang w:val="en-GB" w:eastAsia="ro-RO"/>
        </w:rPr>
        <w:t>in 2015</w:t>
      </w:r>
      <w:r w:rsidRPr="00F52A6F">
        <w:rPr>
          <w:rFonts w:ascii="Cambria" w:eastAsia="Times New Roman" w:hAnsi="Cambria" w:cs="Times New Roman"/>
          <w:sz w:val="24"/>
          <w:szCs w:val="24"/>
          <w:lang w:val="en-GB" w:eastAsia="ro-RO"/>
        </w:rPr>
        <w:t xml:space="preserve">, which is higher by de </w:t>
      </w:r>
      <w:r w:rsidRPr="00F52A6F">
        <w:rPr>
          <w:rFonts w:ascii="Cambria" w:eastAsia="Times New Roman" w:hAnsi="Cambria" w:cs="Times New Roman"/>
          <w:b/>
          <w:sz w:val="24"/>
          <w:szCs w:val="24"/>
          <w:lang w:val="en-GB" w:eastAsia="ro-RO"/>
        </w:rPr>
        <w:t>RON</w:t>
      </w:r>
      <w:r w:rsidRPr="00F52A6F">
        <w:rPr>
          <w:rFonts w:ascii="Cambria" w:eastAsia="Times New Roman" w:hAnsi="Cambria" w:cs="Times New Roman"/>
          <w:sz w:val="24"/>
          <w:szCs w:val="24"/>
          <w:lang w:val="en-GB" w:eastAsia="ro-RO"/>
        </w:rPr>
        <w:t xml:space="preserve"> </w:t>
      </w:r>
      <w:r w:rsidR="00357186">
        <w:rPr>
          <w:rFonts w:ascii="Cambria" w:eastAsia="Calibri" w:hAnsi="Cambria" w:cs="DokChampa"/>
          <w:b/>
          <w:sz w:val="24"/>
          <w:szCs w:val="24"/>
          <w:lang w:val="ro-RO" w:eastAsia="en-US"/>
        </w:rPr>
        <w:t>151</w:t>
      </w:r>
      <w:r w:rsidR="00357186" w:rsidRPr="003903DF">
        <w:rPr>
          <w:rFonts w:ascii="Cambria" w:eastAsia="Calibri" w:hAnsi="Cambria" w:cs="DokChampa"/>
          <w:b/>
          <w:sz w:val="24"/>
          <w:szCs w:val="24"/>
          <w:lang w:val="ro-RO" w:eastAsia="en-US"/>
        </w:rPr>
        <w:t>.</w:t>
      </w:r>
      <w:r w:rsidR="00357186">
        <w:rPr>
          <w:rFonts w:ascii="Cambria" w:eastAsia="Calibri" w:hAnsi="Cambria" w:cs="DokChampa"/>
          <w:b/>
          <w:sz w:val="24"/>
          <w:szCs w:val="24"/>
          <w:lang w:val="ro-RO" w:eastAsia="en-US"/>
        </w:rPr>
        <w:t>987</w:t>
      </w:r>
      <w:r w:rsidR="00357186" w:rsidRPr="003903DF">
        <w:rPr>
          <w:rFonts w:ascii="Cambria" w:eastAsia="Calibri" w:hAnsi="Cambria" w:cs="DokChampa"/>
          <w:b/>
          <w:sz w:val="24"/>
          <w:szCs w:val="24"/>
          <w:lang w:val="ro-RO" w:eastAsia="en-US"/>
        </w:rPr>
        <w:t xml:space="preserve"> </w:t>
      </w:r>
      <w:r w:rsidRPr="00F52A6F">
        <w:rPr>
          <w:rFonts w:ascii="Cambria" w:eastAsia="Times New Roman" w:hAnsi="Cambria" w:cs="Times New Roman"/>
          <w:b/>
          <w:sz w:val="24"/>
          <w:szCs w:val="24"/>
          <w:lang w:val="en-GB" w:eastAsia="ro-RO"/>
        </w:rPr>
        <w:t>thousands</w:t>
      </w:r>
      <w:r w:rsidRPr="00F52A6F">
        <w:rPr>
          <w:rFonts w:ascii="Cambria" w:eastAsia="Times New Roman" w:hAnsi="Cambria" w:cs="Times New Roman"/>
          <w:b/>
          <w:i/>
          <w:sz w:val="24"/>
          <w:szCs w:val="24"/>
          <w:lang w:val="en-GB" w:eastAsia="ro-RO"/>
        </w:rPr>
        <w:t>.</w:t>
      </w:r>
    </w:p>
    <w:p w:rsidR="0037604E" w:rsidRPr="00F52A6F"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F52A6F" w:rsidRDefault="0037604E" w:rsidP="0037604E">
      <w:pPr>
        <w:spacing w:after="0" w:line="240" w:lineRule="auto"/>
        <w:ind w:firstLine="0"/>
        <w:jc w:val="both"/>
        <w:rPr>
          <w:rFonts w:ascii="Cambria" w:eastAsia="Times New Roman" w:hAnsi="Cambria" w:cs="Times New Roman"/>
          <w:b/>
          <w:sz w:val="24"/>
          <w:szCs w:val="24"/>
          <w:lang w:val="en-GB" w:eastAsia="ro-RO"/>
        </w:rPr>
      </w:pPr>
      <w:r w:rsidRPr="00F52A6F">
        <w:rPr>
          <w:rFonts w:ascii="Cambria" w:eastAsia="Times New Roman" w:hAnsi="Cambria" w:cs="Times New Roman"/>
          <w:b/>
          <w:sz w:val="24"/>
          <w:szCs w:val="24"/>
          <w:lang w:val="en-GB" w:eastAsia="ro-RO"/>
        </w:rPr>
        <w:t>Revenue was influenced mainly by the following factors:</w:t>
      </w:r>
    </w:p>
    <w:p w:rsidR="0037604E" w:rsidRPr="00F52A6F" w:rsidRDefault="00F52A6F" w:rsidP="00FA6EB9">
      <w:pPr>
        <w:numPr>
          <w:ilvl w:val="0"/>
          <w:numId w:val="38"/>
        </w:numPr>
        <w:spacing w:after="0" w:line="240" w:lineRule="auto"/>
        <w:jc w:val="both"/>
        <w:rPr>
          <w:rFonts w:asciiTheme="majorHAnsi" w:hAnsiTheme="majorHAnsi"/>
          <w:i/>
          <w:sz w:val="24"/>
          <w:szCs w:val="24"/>
          <w:lang w:val="en-GB"/>
        </w:rPr>
      </w:pPr>
      <w:r w:rsidRPr="00DB39C1">
        <w:rPr>
          <w:rFonts w:asciiTheme="majorHAnsi" w:hAnsiTheme="majorHAnsi"/>
          <w:i/>
          <w:sz w:val="24"/>
          <w:szCs w:val="24"/>
          <w:lang w:val="en-GB"/>
        </w:rPr>
        <w:t>Capacity booking revenue</w:t>
      </w:r>
      <w:r w:rsidRPr="00F52A6F">
        <w:rPr>
          <w:rFonts w:asciiTheme="majorHAnsi" w:hAnsiTheme="majorHAnsi"/>
          <w:sz w:val="24"/>
          <w:szCs w:val="24"/>
          <w:lang w:val="en-GB"/>
        </w:rPr>
        <w:t xml:space="preserve"> </w:t>
      </w:r>
      <w:r w:rsidR="0037604E" w:rsidRPr="00F52A6F">
        <w:rPr>
          <w:rFonts w:asciiTheme="majorHAnsi" w:hAnsiTheme="majorHAnsi"/>
          <w:sz w:val="24"/>
          <w:szCs w:val="24"/>
          <w:lang w:val="en-GB"/>
        </w:rPr>
        <w:t xml:space="preserve">higher by </w:t>
      </w:r>
      <w:r w:rsidR="0037604E" w:rsidRPr="00F52A6F">
        <w:rPr>
          <w:rFonts w:asciiTheme="majorHAnsi" w:hAnsiTheme="majorHAnsi"/>
          <w:b/>
          <w:i/>
          <w:sz w:val="24"/>
          <w:szCs w:val="24"/>
          <w:lang w:val="en-GB"/>
        </w:rPr>
        <w:t>RON</w:t>
      </w:r>
      <w:r w:rsidR="0037604E" w:rsidRPr="00F52A6F">
        <w:rPr>
          <w:rFonts w:asciiTheme="majorHAnsi" w:eastAsia="Calibri" w:hAnsiTheme="majorHAnsi"/>
          <w:sz w:val="24"/>
          <w:szCs w:val="24"/>
          <w:lang w:val="en-GB"/>
        </w:rPr>
        <w:t xml:space="preserve"> </w:t>
      </w:r>
      <w:r w:rsidRPr="00F52A6F">
        <w:rPr>
          <w:rFonts w:ascii="Cambria" w:eastAsia="Calibri" w:hAnsi="Cambria" w:cs="Times New Roman"/>
          <w:b/>
          <w:i/>
          <w:sz w:val="24"/>
          <w:szCs w:val="24"/>
          <w:lang w:val="en-GB" w:eastAsia="en-US"/>
        </w:rPr>
        <w:t xml:space="preserve">247.771 </w:t>
      </w:r>
      <w:r w:rsidR="0037604E" w:rsidRPr="00F52A6F">
        <w:rPr>
          <w:rFonts w:asciiTheme="majorHAnsi" w:eastAsia="Calibri" w:hAnsiTheme="majorHAnsi"/>
          <w:b/>
          <w:i/>
          <w:sz w:val="24"/>
          <w:szCs w:val="24"/>
          <w:lang w:val="en-GB"/>
        </w:rPr>
        <w:t>thousand</w:t>
      </w:r>
      <w:r w:rsidR="0037604E" w:rsidRPr="00F52A6F">
        <w:rPr>
          <w:rFonts w:asciiTheme="majorHAnsi" w:eastAsia="Calibri" w:hAnsiTheme="majorHAnsi"/>
          <w:sz w:val="24"/>
          <w:szCs w:val="24"/>
          <w:lang w:val="en-GB"/>
        </w:rPr>
        <w:t xml:space="preserve"> due to:</w:t>
      </w:r>
    </w:p>
    <w:p w:rsidR="0037604E" w:rsidRPr="00D12BE8" w:rsidRDefault="0037604E" w:rsidP="00FA6EB9">
      <w:pPr>
        <w:numPr>
          <w:ilvl w:val="1"/>
          <w:numId w:val="39"/>
        </w:numPr>
        <w:spacing w:after="0" w:line="240" w:lineRule="auto"/>
        <w:contextualSpacing/>
        <w:jc w:val="both"/>
        <w:rPr>
          <w:rFonts w:asciiTheme="majorHAnsi" w:eastAsia="Calibri" w:hAnsiTheme="majorHAnsi"/>
          <w:i/>
          <w:sz w:val="24"/>
          <w:szCs w:val="24"/>
          <w:lang w:val="en-GB"/>
        </w:rPr>
      </w:pPr>
      <w:r w:rsidRPr="00F52A6F">
        <w:rPr>
          <w:rFonts w:asciiTheme="majorHAnsi" w:hAnsiTheme="majorHAnsi"/>
          <w:sz w:val="24"/>
          <w:szCs w:val="24"/>
          <w:lang w:val="en-GB"/>
        </w:rPr>
        <w:t>the increasing of the fixed component share in the total revenue to</w:t>
      </w:r>
      <w:r w:rsidRPr="00F52A6F">
        <w:rPr>
          <w:rFonts w:asciiTheme="majorHAnsi" w:eastAsia="Calibri" w:hAnsiTheme="majorHAnsi"/>
          <w:sz w:val="24"/>
          <w:szCs w:val="24"/>
          <w:lang w:val="en-GB"/>
        </w:rPr>
        <w:t xml:space="preserve"> 60%;</w:t>
      </w:r>
    </w:p>
    <w:p w:rsidR="00D12BE8" w:rsidRPr="00D12BE8" w:rsidRDefault="00D12BE8" w:rsidP="00FA6EB9">
      <w:pPr>
        <w:numPr>
          <w:ilvl w:val="1"/>
          <w:numId w:val="39"/>
        </w:numPr>
        <w:spacing w:after="0" w:line="240" w:lineRule="auto"/>
        <w:contextualSpacing/>
        <w:jc w:val="both"/>
        <w:rPr>
          <w:rFonts w:asciiTheme="majorHAnsi" w:eastAsia="Calibri" w:hAnsiTheme="majorHAnsi"/>
          <w:sz w:val="24"/>
          <w:szCs w:val="24"/>
          <w:lang w:val="en-GB"/>
        </w:rPr>
      </w:pPr>
      <w:r>
        <w:rPr>
          <w:rFonts w:asciiTheme="majorHAnsi" w:eastAsia="Calibri" w:hAnsiTheme="majorHAnsi"/>
          <w:sz w:val="24"/>
          <w:szCs w:val="24"/>
          <w:lang w:val="en-GB"/>
        </w:rPr>
        <w:t>the invoicing</w:t>
      </w:r>
      <w:r w:rsidRPr="00D12BE8">
        <w:rPr>
          <w:rFonts w:asciiTheme="majorHAnsi" w:eastAsia="Calibri" w:hAnsiTheme="majorHAnsi"/>
          <w:sz w:val="24"/>
          <w:szCs w:val="24"/>
          <w:lang w:val="en-GB"/>
        </w:rPr>
        <w:t xml:space="preserve"> of </w:t>
      </w:r>
      <w:r>
        <w:rPr>
          <w:rFonts w:asciiTheme="majorHAnsi" w:eastAsia="Calibri" w:hAnsiTheme="majorHAnsi"/>
          <w:sz w:val="24"/>
          <w:szCs w:val="24"/>
          <w:lang w:val="en-GB"/>
        </w:rPr>
        <w:t xml:space="preserve">the amount of the surplus </w:t>
      </w:r>
      <w:r w:rsidRPr="00D12BE8">
        <w:rPr>
          <w:rFonts w:asciiTheme="majorHAnsi" w:eastAsia="Calibri" w:hAnsiTheme="majorHAnsi"/>
          <w:sz w:val="24"/>
          <w:szCs w:val="24"/>
          <w:lang w:val="en-GB"/>
        </w:rPr>
        <w:t>capacity for the year</w:t>
      </w:r>
      <w:r>
        <w:rPr>
          <w:rFonts w:asciiTheme="majorHAnsi" w:eastAsia="Calibri" w:hAnsiTheme="majorHAnsi"/>
          <w:sz w:val="24"/>
          <w:szCs w:val="24"/>
          <w:lang w:val="en-GB"/>
        </w:rPr>
        <w:t xml:space="preserve"> 2016 amounting to 143.</w:t>
      </w:r>
      <w:r w:rsidRPr="00D12BE8">
        <w:rPr>
          <w:rFonts w:asciiTheme="majorHAnsi" w:eastAsia="Calibri" w:hAnsiTheme="majorHAnsi"/>
          <w:sz w:val="24"/>
          <w:szCs w:val="24"/>
          <w:lang w:val="en-GB"/>
        </w:rPr>
        <w:t>132 thousand according to ANRE Order No. 1 / 01.18.2016, ANRE Order no.14 / March 30, 2016 and ANRE Order no.160 / November 26, 2015;</w:t>
      </w:r>
    </w:p>
    <w:p w:rsidR="0037604E" w:rsidRPr="00F52A6F" w:rsidRDefault="0037604E" w:rsidP="00FA6EB9">
      <w:pPr>
        <w:numPr>
          <w:ilvl w:val="0"/>
          <w:numId w:val="38"/>
        </w:numPr>
        <w:spacing w:after="0" w:line="240" w:lineRule="auto"/>
        <w:contextualSpacing/>
        <w:jc w:val="both"/>
        <w:rPr>
          <w:rFonts w:asciiTheme="majorHAnsi" w:eastAsia="Calibri" w:hAnsiTheme="majorHAnsi"/>
          <w:sz w:val="24"/>
          <w:szCs w:val="24"/>
          <w:lang w:val="en-GB"/>
        </w:rPr>
      </w:pPr>
      <w:r w:rsidRPr="00F52A6F">
        <w:rPr>
          <w:rFonts w:asciiTheme="majorHAnsi" w:hAnsiTheme="majorHAnsi"/>
          <w:i/>
          <w:sz w:val="24"/>
          <w:szCs w:val="24"/>
          <w:lang w:val="en-GB"/>
        </w:rPr>
        <w:t>volumetric component revenue</w:t>
      </w:r>
      <w:r w:rsidRPr="00F52A6F">
        <w:rPr>
          <w:rFonts w:asciiTheme="majorHAnsi" w:hAnsiTheme="majorHAnsi"/>
          <w:sz w:val="24"/>
          <w:szCs w:val="24"/>
          <w:lang w:val="en-GB"/>
        </w:rPr>
        <w:t xml:space="preserve"> lower by </w:t>
      </w:r>
      <w:r w:rsidRPr="00F52A6F">
        <w:rPr>
          <w:rFonts w:asciiTheme="majorHAnsi" w:hAnsiTheme="majorHAnsi"/>
          <w:b/>
          <w:i/>
          <w:sz w:val="24"/>
          <w:szCs w:val="24"/>
          <w:lang w:val="en-GB"/>
        </w:rPr>
        <w:t>RON</w:t>
      </w:r>
      <w:r w:rsidRPr="00F52A6F">
        <w:rPr>
          <w:rFonts w:asciiTheme="majorHAnsi" w:eastAsia="Calibri" w:hAnsiTheme="majorHAnsi"/>
          <w:b/>
          <w:i/>
          <w:sz w:val="24"/>
          <w:szCs w:val="24"/>
          <w:lang w:val="en-GB"/>
        </w:rPr>
        <w:t xml:space="preserve"> </w:t>
      </w:r>
      <w:r w:rsidR="00D12BE8" w:rsidRPr="00D12BE8">
        <w:rPr>
          <w:rFonts w:ascii="Cambria" w:eastAsia="Calibri" w:hAnsi="Cambria" w:cs="Times New Roman"/>
          <w:b/>
          <w:i/>
          <w:sz w:val="24"/>
          <w:szCs w:val="24"/>
          <w:lang w:val="en-GB" w:eastAsia="en-US"/>
        </w:rPr>
        <w:t xml:space="preserve">147.204 </w:t>
      </w:r>
      <w:r w:rsidRPr="00F52A6F">
        <w:rPr>
          <w:rFonts w:asciiTheme="majorHAnsi" w:eastAsia="Calibri" w:hAnsiTheme="majorHAnsi"/>
          <w:b/>
          <w:i/>
          <w:sz w:val="24"/>
          <w:szCs w:val="24"/>
          <w:lang w:val="en-GB"/>
        </w:rPr>
        <w:t>thousand</w:t>
      </w:r>
      <w:r w:rsidRPr="00F52A6F">
        <w:rPr>
          <w:rFonts w:asciiTheme="majorHAnsi" w:hAnsiTheme="majorHAnsi"/>
          <w:sz w:val="24"/>
          <w:szCs w:val="24"/>
          <w:lang w:val="en-GB"/>
        </w:rPr>
        <w:t xml:space="preserve"> due to</w:t>
      </w:r>
      <w:r w:rsidRPr="00F52A6F">
        <w:rPr>
          <w:rFonts w:asciiTheme="majorHAnsi" w:eastAsia="Calibri" w:hAnsiTheme="majorHAnsi"/>
          <w:sz w:val="24"/>
          <w:szCs w:val="24"/>
          <w:lang w:val="en-GB"/>
        </w:rPr>
        <w:t>:</w:t>
      </w:r>
    </w:p>
    <w:p w:rsidR="0037604E" w:rsidRPr="00F52A6F" w:rsidRDefault="0037604E" w:rsidP="00FA6EB9">
      <w:pPr>
        <w:numPr>
          <w:ilvl w:val="1"/>
          <w:numId w:val="39"/>
        </w:numPr>
        <w:spacing w:after="0" w:line="240" w:lineRule="auto"/>
        <w:contextualSpacing/>
        <w:jc w:val="both"/>
        <w:rPr>
          <w:rFonts w:asciiTheme="majorHAnsi" w:eastAsia="Calibri" w:hAnsiTheme="majorHAnsi"/>
          <w:i/>
          <w:sz w:val="24"/>
          <w:szCs w:val="24"/>
          <w:lang w:val="en-GB"/>
        </w:rPr>
      </w:pPr>
      <w:r w:rsidRPr="00F52A6F">
        <w:rPr>
          <w:rFonts w:asciiTheme="majorHAnsi" w:eastAsia="Calibri" w:hAnsiTheme="majorHAnsi"/>
          <w:sz w:val="24"/>
          <w:szCs w:val="24"/>
          <w:lang w:val="en-GB"/>
        </w:rPr>
        <w:t>the decreasing of the variable component share in the total revenue to 40%;</w:t>
      </w:r>
    </w:p>
    <w:p w:rsidR="0037604E" w:rsidRPr="00F52A6F" w:rsidRDefault="00D12BE8" w:rsidP="00FA6EB9">
      <w:pPr>
        <w:numPr>
          <w:ilvl w:val="1"/>
          <w:numId w:val="39"/>
        </w:numPr>
        <w:spacing w:after="0" w:line="240" w:lineRule="auto"/>
        <w:jc w:val="both"/>
        <w:rPr>
          <w:rFonts w:asciiTheme="majorHAnsi" w:eastAsia="Calibri" w:hAnsiTheme="majorHAnsi"/>
          <w:sz w:val="24"/>
          <w:szCs w:val="24"/>
          <w:lang w:val="en-GB"/>
        </w:rPr>
      </w:pPr>
      <w:r>
        <w:rPr>
          <w:rFonts w:asciiTheme="majorHAnsi" w:eastAsia="Calibri" w:hAnsiTheme="majorHAnsi"/>
          <w:sz w:val="24"/>
          <w:szCs w:val="24"/>
          <w:lang w:val="en-GB"/>
        </w:rPr>
        <w:t>the de</w:t>
      </w:r>
      <w:r w:rsidR="0037604E" w:rsidRPr="00F52A6F">
        <w:rPr>
          <w:rFonts w:asciiTheme="majorHAnsi" w:eastAsia="Calibri" w:hAnsiTheme="majorHAnsi"/>
          <w:sz w:val="24"/>
          <w:szCs w:val="24"/>
          <w:lang w:val="en-GB"/>
        </w:rPr>
        <w:t xml:space="preserve">creasing of the quantity of invoiced gas by </w:t>
      </w:r>
      <w:r w:rsidRPr="00D12BE8">
        <w:rPr>
          <w:rFonts w:ascii="Cambria" w:eastAsia="Calibri" w:hAnsi="Cambria" w:cs="Times New Roman"/>
          <w:sz w:val="24"/>
          <w:szCs w:val="24"/>
          <w:lang w:val="en-GB" w:eastAsia="en-US"/>
        </w:rPr>
        <w:t xml:space="preserve">1.473.299 </w:t>
      </w:r>
      <w:r w:rsidR="0037604E" w:rsidRPr="00F52A6F">
        <w:rPr>
          <w:rFonts w:asciiTheme="majorHAnsi" w:eastAsia="Calibri" w:hAnsiTheme="majorHAnsi"/>
          <w:sz w:val="24"/>
          <w:szCs w:val="24"/>
          <w:lang w:val="en-GB"/>
        </w:rPr>
        <w:t>MWh (</w:t>
      </w:r>
      <w:r w:rsidRPr="003903DF">
        <w:rPr>
          <w:rFonts w:ascii="Cambria" w:eastAsia="Calibri" w:hAnsi="Cambria" w:cs="DokChampa"/>
          <w:sz w:val="24"/>
          <w:szCs w:val="24"/>
          <w:lang w:val="ro-RO" w:eastAsia="en-US"/>
        </w:rPr>
        <w:t xml:space="preserve">220.016 </w:t>
      </w:r>
      <w:r w:rsidR="0037604E" w:rsidRPr="00F52A6F">
        <w:rPr>
          <w:rFonts w:asciiTheme="majorHAnsi" w:eastAsia="Calibri" w:hAnsiTheme="majorHAnsi"/>
          <w:sz w:val="24"/>
          <w:szCs w:val="24"/>
          <w:lang w:val="en-GB"/>
        </w:rPr>
        <w:t>thousand m</w:t>
      </w:r>
      <w:r w:rsidR="0037604E" w:rsidRPr="00F52A6F">
        <w:rPr>
          <w:rFonts w:asciiTheme="majorHAnsi" w:eastAsia="Calibri" w:hAnsiTheme="majorHAnsi"/>
          <w:sz w:val="24"/>
          <w:szCs w:val="24"/>
          <w:vertAlign w:val="superscript"/>
          <w:lang w:val="en-GB"/>
        </w:rPr>
        <w:t>3</w:t>
      </w:r>
      <w:r w:rsidR="0037604E" w:rsidRPr="00F52A6F">
        <w:rPr>
          <w:rFonts w:asciiTheme="majorHAnsi" w:eastAsia="Calibri" w:hAnsiTheme="majorHAnsi"/>
          <w:sz w:val="24"/>
          <w:szCs w:val="24"/>
          <w:lang w:val="en-GB"/>
        </w:rPr>
        <w:t>), detailed by categories of consumers as follows:</w:t>
      </w:r>
    </w:p>
    <w:p w:rsidR="0037604E" w:rsidRPr="00F52A6F" w:rsidRDefault="0037604E" w:rsidP="0037604E">
      <w:pPr>
        <w:spacing w:after="0" w:line="240" w:lineRule="auto"/>
        <w:ind w:left="1086"/>
        <w:jc w:val="both"/>
        <w:rPr>
          <w:rFonts w:asciiTheme="majorHAnsi" w:hAnsiTheme="majorHAnsi"/>
          <w:sz w:val="24"/>
          <w:szCs w:val="24"/>
          <w:lang w:val="en-GB"/>
        </w:rPr>
      </w:pPr>
    </w:p>
    <w:tbl>
      <w:tblPr>
        <w:tblW w:w="904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691"/>
        <w:gridCol w:w="1494"/>
        <w:gridCol w:w="1571"/>
        <w:gridCol w:w="1571"/>
        <w:gridCol w:w="1716"/>
      </w:tblGrid>
      <w:tr w:rsidR="0037604E" w:rsidRPr="0037604E" w:rsidTr="0037604E">
        <w:trPr>
          <w:tblCellSpacing w:w="20" w:type="dxa"/>
          <w:jc w:val="center"/>
        </w:trPr>
        <w:tc>
          <w:tcPr>
            <w:tcW w:w="2631" w:type="dxa"/>
            <w:shd w:val="clear" w:color="auto" w:fill="D6E0F4"/>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p>
        </w:tc>
        <w:tc>
          <w:tcPr>
            <w:tcW w:w="1454" w:type="dxa"/>
            <w:shd w:val="clear" w:color="auto" w:fill="D6E0F4"/>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p>
        </w:tc>
        <w:tc>
          <w:tcPr>
            <w:tcW w:w="1531" w:type="dxa"/>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 xml:space="preserve">12 </w:t>
            </w:r>
            <w:r w:rsidRPr="0037604E">
              <w:rPr>
                <w:rFonts w:asciiTheme="majorHAnsi" w:hAnsiTheme="majorHAnsi"/>
                <w:b/>
                <w:sz w:val="20"/>
                <w:szCs w:val="20"/>
                <w:lang w:val="en-GB"/>
              </w:rPr>
              <w:t xml:space="preserve">months </w:t>
            </w:r>
            <w:r w:rsidRPr="0037604E">
              <w:rPr>
                <w:rFonts w:ascii="Cambria" w:eastAsia="Times New Roman" w:hAnsi="Cambria" w:cs="Times New Roman"/>
                <w:b/>
                <w:sz w:val="20"/>
                <w:szCs w:val="20"/>
                <w:lang w:val="en-GB"/>
              </w:rPr>
              <w:t>2016</w:t>
            </w:r>
          </w:p>
        </w:tc>
        <w:tc>
          <w:tcPr>
            <w:tcW w:w="1531" w:type="dxa"/>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rPr>
            </w:pPr>
            <w:r w:rsidRPr="0037604E">
              <w:rPr>
                <w:rFonts w:asciiTheme="majorHAnsi" w:hAnsiTheme="majorHAnsi"/>
                <w:b/>
                <w:sz w:val="20"/>
                <w:szCs w:val="20"/>
                <w:lang w:val="en-GB"/>
              </w:rPr>
              <w:t xml:space="preserve">months </w:t>
            </w:r>
            <w:r w:rsidRPr="0037604E">
              <w:rPr>
                <w:rFonts w:ascii="Cambria" w:eastAsia="Times New Roman" w:hAnsi="Cambria" w:cs="Times New Roman"/>
                <w:b/>
                <w:sz w:val="20"/>
                <w:szCs w:val="20"/>
                <w:lang w:val="en-GB"/>
              </w:rPr>
              <w:t>2015</w:t>
            </w:r>
          </w:p>
        </w:tc>
        <w:tc>
          <w:tcPr>
            <w:tcW w:w="1656" w:type="dxa"/>
            <w:shd w:val="clear" w:color="auto" w:fill="D6E0F4"/>
            <w:vAlign w:val="center"/>
          </w:tcPr>
          <w:p w:rsidR="0037604E" w:rsidRPr="0037604E" w:rsidRDefault="0037604E" w:rsidP="0037604E">
            <w:pPr>
              <w:spacing w:after="0" w:line="240" w:lineRule="auto"/>
              <w:jc w:val="center"/>
              <w:rPr>
                <w:rFonts w:ascii="Cambria" w:eastAsia="Times New Roman" w:hAnsi="Cambria" w:cs="Times New Roman"/>
                <w:b/>
                <w:sz w:val="20"/>
                <w:szCs w:val="20"/>
                <w:lang w:val="en-GB"/>
              </w:rPr>
            </w:pPr>
            <w:r w:rsidRPr="0037604E">
              <w:rPr>
                <w:rFonts w:asciiTheme="majorHAnsi" w:hAnsiTheme="majorHAnsi"/>
                <w:b/>
                <w:sz w:val="20"/>
                <w:szCs w:val="20"/>
                <w:lang w:val="en-GB"/>
              </w:rPr>
              <w:t>Differences</w:t>
            </w:r>
          </w:p>
        </w:tc>
      </w:tr>
      <w:tr w:rsidR="00DB39C1" w:rsidRPr="0037604E" w:rsidTr="0037604E">
        <w:trPr>
          <w:tblCellSpacing w:w="20" w:type="dxa"/>
          <w:jc w:val="center"/>
        </w:trPr>
        <w:tc>
          <w:tcPr>
            <w:tcW w:w="2631" w:type="dxa"/>
            <w:vMerge w:val="restart"/>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Theme="majorHAnsi" w:hAnsiTheme="majorHAnsi"/>
                <w:sz w:val="20"/>
                <w:szCs w:val="20"/>
                <w:lang w:val="en-GB"/>
              </w:rPr>
              <w:t>Quantity transmitted for direct consumers</w:t>
            </w: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MWh</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53.346.659</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58.206.285</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-4.859.626</w:t>
            </w:r>
          </w:p>
        </w:tc>
      </w:tr>
      <w:tr w:rsidR="00DB39C1" w:rsidRPr="0037604E" w:rsidTr="0037604E">
        <w:trPr>
          <w:tblCellSpacing w:w="20" w:type="dxa"/>
          <w:jc w:val="center"/>
        </w:trPr>
        <w:tc>
          <w:tcPr>
            <w:tcW w:w="2631" w:type="dxa"/>
            <w:vMerge/>
            <w:shd w:val="clear" w:color="auto" w:fill="auto"/>
            <w:vAlign w:val="center"/>
          </w:tcPr>
          <w:p w:rsidR="00DB39C1" w:rsidRPr="0037604E" w:rsidRDefault="00DB39C1" w:rsidP="0037604E">
            <w:pPr>
              <w:spacing w:after="0" w:line="240" w:lineRule="auto"/>
              <w:rPr>
                <w:rFonts w:ascii="Cambria" w:eastAsia="Times New Roman" w:hAnsi="Cambria" w:cs="Times New Roman"/>
                <w:sz w:val="20"/>
                <w:szCs w:val="20"/>
                <w:lang w:val="en-GB"/>
              </w:rPr>
            </w:pP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Theme="majorHAnsi" w:eastAsia="Calibri" w:hAnsiTheme="majorHAnsi"/>
                <w:sz w:val="20"/>
                <w:szCs w:val="20"/>
                <w:lang w:val="en-GB"/>
              </w:rPr>
              <w:t>thousand m</w:t>
            </w:r>
            <w:r w:rsidRPr="0037604E">
              <w:rPr>
                <w:rFonts w:asciiTheme="majorHAnsi" w:eastAsia="Calibri" w:hAnsiTheme="majorHAnsi"/>
                <w:sz w:val="20"/>
                <w:szCs w:val="20"/>
                <w:vertAlign w:val="superscript"/>
                <w:lang w:val="en-GB"/>
              </w:rPr>
              <w:t>3</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4.968.826</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5.472.877</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-504.051</w:t>
            </w:r>
          </w:p>
        </w:tc>
      </w:tr>
      <w:tr w:rsidR="00DB39C1" w:rsidRPr="0037604E" w:rsidTr="0037604E">
        <w:trPr>
          <w:tblCellSpacing w:w="20" w:type="dxa"/>
          <w:jc w:val="center"/>
        </w:trPr>
        <w:tc>
          <w:tcPr>
            <w:tcW w:w="2631" w:type="dxa"/>
            <w:vMerge w:val="restart"/>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Theme="majorHAnsi" w:hAnsiTheme="majorHAnsi"/>
                <w:sz w:val="20"/>
                <w:szCs w:val="20"/>
                <w:lang w:val="en-GB"/>
              </w:rPr>
              <w:t>Quantity transmitted for distribution</w:t>
            </w: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MWh</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76.439.715</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73.053.388</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3.386.327</w:t>
            </w:r>
          </w:p>
        </w:tc>
      </w:tr>
      <w:tr w:rsidR="00DB39C1" w:rsidRPr="0037604E" w:rsidTr="0037604E">
        <w:trPr>
          <w:tblCellSpacing w:w="20" w:type="dxa"/>
          <w:jc w:val="center"/>
        </w:trPr>
        <w:tc>
          <w:tcPr>
            <w:tcW w:w="2631" w:type="dxa"/>
            <w:vMerge/>
            <w:shd w:val="clear" w:color="auto" w:fill="auto"/>
            <w:vAlign w:val="center"/>
          </w:tcPr>
          <w:p w:rsidR="00DB39C1" w:rsidRPr="0037604E" w:rsidRDefault="00DB39C1" w:rsidP="0037604E">
            <w:pPr>
              <w:spacing w:after="0" w:line="240" w:lineRule="auto"/>
              <w:rPr>
                <w:rFonts w:ascii="Cambria" w:eastAsia="Times New Roman" w:hAnsi="Cambria" w:cs="Times New Roman"/>
                <w:sz w:val="20"/>
                <w:szCs w:val="20"/>
                <w:lang w:val="en-GB"/>
              </w:rPr>
            </w:pP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Theme="majorHAnsi" w:eastAsia="Calibri" w:hAnsiTheme="majorHAnsi"/>
                <w:sz w:val="20"/>
                <w:szCs w:val="20"/>
                <w:lang w:val="en-GB"/>
              </w:rPr>
              <w:t>thousand m</w:t>
            </w:r>
            <w:r w:rsidRPr="0037604E">
              <w:rPr>
                <w:rFonts w:asciiTheme="majorHAnsi" w:eastAsia="Calibri" w:hAnsiTheme="majorHAnsi"/>
                <w:sz w:val="20"/>
                <w:szCs w:val="20"/>
                <w:vertAlign w:val="superscript"/>
                <w:lang w:val="en-GB"/>
              </w:rPr>
              <w:t>3</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7.105.851</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6.821.816</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284.035</w:t>
            </w:r>
          </w:p>
        </w:tc>
      </w:tr>
      <w:tr w:rsidR="00DB39C1" w:rsidRPr="0037604E" w:rsidTr="0037604E">
        <w:trPr>
          <w:tblCellSpacing w:w="20" w:type="dxa"/>
          <w:jc w:val="center"/>
        </w:trPr>
        <w:tc>
          <w:tcPr>
            <w:tcW w:w="2631" w:type="dxa"/>
            <w:vMerge w:val="restart"/>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Total</w:t>
            </w: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MWh</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129.786.374</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131.259.673</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-1.473.299</w:t>
            </w:r>
          </w:p>
        </w:tc>
      </w:tr>
      <w:tr w:rsidR="00DB39C1" w:rsidRPr="0037604E" w:rsidTr="0037604E">
        <w:trPr>
          <w:tblCellSpacing w:w="20" w:type="dxa"/>
          <w:jc w:val="center"/>
        </w:trPr>
        <w:tc>
          <w:tcPr>
            <w:tcW w:w="2631" w:type="dxa"/>
            <w:vMerge/>
            <w:shd w:val="clear" w:color="auto" w:fill="auto"/>
            <w:vAlign w:val="center"/>
          </w:tcPr>
          <w:p w:rsidR="00DB39C1" w:rsidRPr="0037604E" w:rsidRDefault="00DB39C1" w:rsidP="0037604E">
            <w:pPr>
              <w:spacing w:after="0" w:line="240" w:lineRule="auto"/>
              <w:rPr>
                <w:rFonts w:ascii="Cambria" w:eastAsia="Times New Roman" w:hAnsi="Cambria" w:cs="Times New Roman"/>
                <w:sz w:val="20"/>
                <w:szCs w:val="20"/>
                <w:lang w:val="en-GB"/>
              </w:rPr>
            </w:pPr>
          </w:p>
        </w:tc>
        <w:tc>
          <w:tcPr>
            <w:tcW w:w="1454" w:type="dxa"/>
            <w:shd w:val="clear" w:color="auto" w:fill="auto"/>
            <w:vAlign w:val="center"/>
          </w:tcPr>
          <w:p w:rsidR="00DB39C1" w:rsidRPr="0037604E" w:rsidRDefault="00DB39C1" w:rsidP="0037604E">
            <w:pPr>
              <w:spacing w:after="0" w:line="240" w:lineRule="auto"/>
              <w:ind w:firstLine="0"/>
              <w:rPr>
                <w:rFonts w:ascii="Cambria" w:eastAsia="Times New Roman" w:hAnsi="Cambria" w:cs="Times New Roman"/>
                <w:sz w:val="20"/>
                <w:szCs w:val="20"/>
                <w:lang w:val="en-GB"/>
              </w:rPr>
            </w:pPr>
            <w:r w:rsidRPr="0037604E">
              <w:rPr>
                <w:rFonts w:asciiTheme="majorHAnsi" w:eastAsia="Calibri" w:hAnsiTheme="majorHAnsi"/>
                <w:sz w:val="20"/>
                <w:szCs w:val="20"/>
                <w:lang w:val="en-GB"/>
              </w:rPr>
              <w:t>thousand m</w:t>
            </w:r>
            <w:r w:rsidRPr="0037604E">
              <w:rPr>
                <w:rFonts w:asciiTheme="majorHAnsi" w:eastAsia="Calibri" w:hAnsiTheme="majorHAnsi"/>
                <w:sz w:val="20"/>
                <w:szCs w:val="20"/>
                <w:vertAlign w:val="superscript"/>
                <w:lang w:val="en-GB"/>
              </w:rPr>
              <w:t>3</w:t>
            </w:r>
          </w:p>
        </w:tc>
        <w:tc>
          <w:tcPr>
            <w:tcW w:w="1531" w:type="dxa"/>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12.074.677</w:t>
            </w:r>
          </w:p>
        </w:tc>
        <w:tc>
          <w:tcPr>
            <w:tcW w:w="1531" w:type="dxa"/>
            <w:vAlign w:val="center"/>
          </w:tcPr>
          <w:p w:rsidR="00DB39C1" w:rsidRPr="0037604E" w:rsidRDefault="00DB39C1" w:rsidP="0037604E">
            <w:pPr>
              <w:spacing w:after="0" w:line="240" w:lineRule="auto"/>
              <w:ind w:firstLine="0"/>
              <w:jc w:val="right"/>
              <w:rPr>
                <w:rFonts w:asciiTheme="majorHAnsi" w:eastAsia="Calibri" w:hAnsiTheme="majorHAnsi" w:cs="Arial"/>
                <w:sz w:val="20"/>
                <w:szCs w:val="20"/>
                <w:lang w:val="ro-RO" w:eastAsia="en-US"/>
              </w:rPr>
            </w:pPr>
            <w:r w:rsidRPr="0037604E">
              <w:rPr>
                <w:rFonts w:asciiTheme="majorHAnsi" w:eastAsia="Calibri" w:hAnsiTheme="majorHAnsi" w:cs="Arial"/>
                <w:sz w:val="20"/>
                <w:szCs w:val="20"/>
                <w:lang w:val="ro-RO" w:eastAsia="en-US"/>
              </w:rPr>
              <w:t>12.294.693</w:t>
            </w:r>
          </w:p>
        </w:tc>
        <w:tc>
          <w:tcPr>
            <w:tcW w:w="1656" w:type="dxa"/>
            <w:shd w:val="clear" w:color="auto" w:fill="auto"/>
            <w:vAlign w:val="center"/>
          </w:tcPr>
          <w:p w:rsidR="00DB39C1" w:rsidRPr="003903DF" w:rsidRDefault="00DB39C1" w:rsidP="00DB39C1">
            <w:pPr>
              <w:spacing w:after="0" w:line="259" w:lineRule="auto"/>
              <w:ind w:firstLine="0"/>
              <w:jc w:val="right"/>
              <w:rPr>
                <w:rFonts w:ascii="Cambria" w:eastAsia="Calibri" w:hAnsi="Cambria" w:cs="Arial"/>
                <w:sz w:val="20"/>
                <w:szCs w:val="20"/>
                <w:lang w:val="ro-RO" w:eastAsia="en-US"/>
              </w:rPr>
            </w:pPr>
            <w:r w:rsidRPr="003903DF">
              <w:rPr>
                <w:rFonts w:ascii="Cambria" w:eastAsia="Calibri" w:hAnsi="Cambria" w:cs="Arial"/>
                <w:sz w:val="20"/>
                <w:szCs w:val="20"/>
                <w:lang w:val="ro-RO" w:eastAsia="en-US"/>
              </w:rPr>
              <w:t>-220.016</w:t>
            </w:r>
          </w:p>
        </w:tc>
      </w:tr>
    </w:tbl>
    <w:p w:rsidR="0037604E" w:rsidRPr="0037604E" w:rsidRDefault="0037604E" w:rsidP="0037604E">
      <w:pPr>
        <w:spacing w:after="0" w:line="240" w:lineRule="auto"/>
        <w:ind w:firstLine="0"/>
        <w:jc w:val="center"/>
        <w:rPr>
          <w:rFonts w:ascii="Cambria" w:eastAsia="Calibri" w:hAnsi="Cambria" w:cs="Times New Roman"/>
          <w:b/>
          <w:color w:val="FF0000"/>
          <w:sz w:val="16"/>
          <w:szCs w:val="16"/>
          <w:lang w:val="en-GB" w:eastAsia="ro-RO"/>
        </w:rPr>
      </w:pPr>
    </w:p>
    <w:p w:rsidR="0037604E" w:rsidRPr="0037604E" w:rsidRDefault="0037604E" w:rsidP="0037604E">
      <w:pPr>
        <w:spacing w:after="0" w:line="240" w:lineRule="auto"/>
        <w:ind w:firstLine="0"/>
        <w:jc w:val="center"/>
        <w:rPr>
          <w:rFonts w:ascii="Cambria" w:eastAsia="Calibri" w:hAnsi="Cambria" w:cs="Times New Roman"/>
          <w:b/>
          <w:i/>
          <w:sz w:val="16"/>
          <w:szCs w:val="16"/>
          <w:lang w:val="en-GB" w:eastAsia="ro-RO"/>
        </w:rPr>
      </w:pPr>
      <w:r w:rsidRPr="0037604E">
        <w:rPr>
          <w:rFonts w:ascii="Cambria" w:eastAsia="Calibri" w:hAnsi="Cambria" w:cs="Times New Roman"/>
          <w:b/>
          <w:i/>
          <w:sz w:val="16"/>
          <w:szCs w:val="16"/>
          <w:lang w:val="en-GB" w:eastAsia="ro-RO"/>
        </w:rPr>
        <w:t>Table 25- Gas quantity invoices - 2016 vs. 2015</w:t>
      </w:r>
    </w:p>
    <w:p w:rsidR="0037604E" w:rsidRPr="0037604E" w:rsidRDefault="0037604E" w:rsidP="0037604E">
      <w:pPr>
        <w:spacing w:after="0" w:line="240" w:lineRule="auto"/>
        <w:ind w:left="1086"/>
        <w:jc w:val="both"/>
        <w:rPr>
          <w:rFonts w:asciiTheme="majorHAnsi" w:hAnsiTheme="majorHAnsi"/>
          <w:sz w:val="24"/>
          <w:szCs w:val="24"/>
          <w:lang w:val="en-GB"/>
        </w:rPr>
      </w:pPr>
    </w:p>
    <w:p w:rsidR="0037604E" w:rsidRPr="00D12BE8" w:rsidRDefault="0037604E" w:rsidP="0037604E">
      <w:pPr>
        <w:spacing w:after="0" w:line="240" w:lineRule="auto"/>
        <w:ind w:firstLine="0"/>
        <w:contextualSpacing/>
        <w:jc w:val="both"/>
        <w:rPr>
          <w:rFonts w:asciiTheme="majorHAnsi" w:eastAsia="Calibri" w:hAnsiTheme="majorHAnsi"/>
          <w:b/>
          <w:i/>
          <w:sz w:val="24"/>
          <w:szCs w:val="24"/>
          <w:lang w:val="en-GB"/>
        </w:rPr>
      </w:pPr>
      <w:r w:rsidRPr="00D12BE8">
        <w:rPr>
          <w:rFonts w:asciiTheme="majorHAnsi" w:hAnsiTheme="majorHAnsi"/>
          <w:b/>
          <w:i/>
          <w:sz w:val="24"/>
          <w:szCs w:val="24"/>
          <w:lang w:val="en-GB"/>
        </w:rPr>
        <w:t>Starting with the fourth</w:t>
      </w:r>
      <w:r w:rsidRPr="00D12BE8">
        <w:rPr>
          <w:rFonts w:asciiTheme="majorHAnsi" w:eastAsia="Calibri" w:hAnsiTheme="majorHAnsi"/>
          <w:b/>
          <w:i/>
          <w:sz w:val="24"/>
          <w:szCs w:val="24"/>
          <w:lang w:val="en-GB"/>
        </w:rPr>
        <w:t xml:space="preserve"> </w:t>
      </w:r>
      <w:r w:rsidRPr="00D12BE8">
        <w:rPr>
          <w:rFonts w:asciiTheme="majorHAnsi" w:hAnsiTheme="majorHAnsi"/>
          <w:b/>
          <w:i/>
          <w:sz w:val="24"/>
          <w:szCs w:val="24"/>
          <w:lang w:val="en-GB"/>
        </w:rPr>
        <w:t xml:space="preserve">of the third regulatory period </w:t>
      </w:r>
      <w:r w:rsidRPr="00D12BE8">
        <w:rPr>
          <w:rFonts w:asciiTheme="majorHAnsi" w:eastAsia="Calibri" w:hAnsiTheme="majorHAnsi"/>
          <w:b/>
          <w:i/>
          <w:sz w:val="24"/>
          <w:szCs w:val="24"/>
          <w:lang w:val="en-GB"/>
        </w:rPr>
        <w:t xml:space="preserve">(2015 – 2016), </w:t>
      </w:r>
      <w:r w:rsidRPr="00D12BE8">
        <w:rPr>
          <w:rFonts w:asciiTheme="majorHAnsi" w:hAnsiTheme="majorHAnsi"/>
          <w:b/>
          <w:i/>
          <w:sz w:val="24"/>
          <w:szCs w:val="24"/>
          <w:lang w:val="en-GB"/>
        </w:rPr>
        <w:t>the total revenue at the basis of the tariff setting for the transmission activity is allocated</w:t>
      </w:r>
      <w:r w:rsidRPr="00D12BE8">
        <w:rPr>
          <w:rFonts w:asciiTheme="majorHAnsi" w:eastAsia="Calibri" w:hAnsiTheme="majorHAnsi"/>
          <w:b/>
          <w:i/>
          <w:sz w:val="24"/>
          <w:szCs w:val="24"/>
          <w:lang w:val="en-GB"/>
        </w:rPr>
        <w:t xml:space="preserve"> 60% </w:t>
      </w:r>
      <w:r w:rsidRPr="00D12BE8">
        <w:rPr>
          <w:rFonts w:asciiTheme="majorHAnsi" w:hAnsiTheme="majorHAnsi"/>
          <w:b/>
          <w:i/>
          <w:sz w:val="24"/>
          <w:szCs w:val="24"/>
          <w:lang w:val="en-GB"/>
        </w:rPr>
        <w:t xml:space="preserve">for the fixed component and </w:t>
      </w:r>
      <w:r w:rsidRPr="00D12BE8">
        <w:rPr>
          <w:rFonts w:asciiTheme="majorHAnsi" w:eastAsia="Calibri" w:hAnsiTheme="majorHAnsi"/>
          <w:b/>
          <w:i/>
          <w:sz w:val="24"/>
          <w:szCs w:val="24"/>
          <w:lang w:val="en-GB"/>
        </w:rPr>
        <w:t xml:space="preserve">40% </w:t>
      </w:r>
      <w:r w:rsidRPr="00D12BE8">
        <w:rPr>
          <w:rFonts w:asciiTheme="majorHAnsi" w:hAnsiTheme="majorHAnsi"/>
          <w:b/>
          <w:i/>
          <w:sz w:val="24"/>
          <w:szCs w:val="24"/>
          <w:lang w:val="en-GB"/>
        </w:rPr>
        <w:t>for the volumetric component, which results in the redistribution of the transmission revenues follows: the decreasing of transmission revenue in winter quarters, based on the lowering of revenue from the volumes transmitted,  and the increasing of transmission revenue in summer quarters, based on the increasing of revenue from capacity booking, compared to the previous gas year.</w:t>
      </w:r>
    </w:p>
    <w:p w:rsidR="0037604E" w:rsidRPr="0037604E" w:rsidRDefault="0037604E" w:rsidP="0037604E">
      <w:pPr>
        <w:spacing w:after="0" w:line="240" w:lineRule="auto"/>
        <w:contextualSpacing/>
        <w:jc w:val="both"/>
        <w:rPr>
          <w:rFonts w:asciiTheme="majorHAnsi" w:eastAsia="Calibri" w:hAnsiTheme="majorHAnsi"/>
          <w:b/>
          <w:i/>
          <w:color w:val="FF0000"/>
          <w:sz w:val="24"/>
          <w:szCs w:val="24"/>
          <w:lang w:val="en-GB"/>
        </w:rPr>
      </w:pPr>
    </w:p>
    <w:p w:rsidR="0037604E" w:rsidRDefault="0037604E" w:rsidP="00FA6EB9">
      <w:pPr>
        <w:numPr>
          <w:ilvl w:val="0"/>
          <w:numId w:val="7"/>
        </w:numPr>
        <w:spacing w:after="0" w:line="240" w:lineRule="auto"/>
        <w:ind w:left="360"/>
        <w:contextualSpacing/>
        <w:jc w:val="both"/>
        <w:rPr>
          <w:rFonts w:asciiTheme="majorHAnsi" w:eastAsia="Calibri" w:hAnsiTheme="majorHAnsi"/>
          <w:sz w:val="24"/>
          <w:szCs w:val="24"/>
          <w:lang w:val="en-GB"/>
        </w:rPr>
      </w:pPr>
      <w:r w:rsidRPr="00D12BE8">
        <w:rPr>
          <w:rFonts w:asciiTheme="majorHAnsi" w:hAnsiTheme="majorHAnsi"/>
          <w:i/>
          <w:sz w:val="24"/>
          <w:szCs w:val="24"/>
          <w:lang w:val="en-GB"/>
        </w:rPr>
        <w:t>international gas transmission revenue</w:t>
      </w:r>
      <w:r w:rsidRPr="00D12BE8">
        <w:rPr>
          <w:rFonts w:asciiTheme="majorHAnsi" w:hAnsiTheme="majorHAnsi"/>
          <w:sz w:val="24"/>
          <w:szCs w:val="24"/>
          <w:lang w:val="en-GB"/>
        </w:rPr>
        <w:t xml:space="preserve"> higher by </w:t>
      </w:r>
      <w:r w:rsidRPr="00D12BE8">
        <w:rPr>
          <w:rFonts w:asciiTheme="majorHAnsi" w:hAnsiTheme="majorHAnsi"/>
          <w:b/>
          <w:sz w:val="24"/>
          <w:szCs w:val="24"/>
          <w:lang w:val="en-GB"/>
        </w:rPr>
        <w:t>RON</w:t>
      </w:r>
      <w:r w:rsidRPr="00D12BE8">
        <w:rPr>
          <w:rFonts w:asciiTheme="majorHAnsi" w:eastAsia="Calibri" w:hAnsiTheme="majorHAnsi"/>
          <w:sz w:val="24"/>
          <w:szCs w:val="24"/>
          <w:lang w:val="en-GB"/>
        </w:rPr>
        <w:t xml:space="preserve"> </w:t>
      </w:r>
      <w:r w:rsidR="00D12BE8" w:rsidRPr="00D12BE8">
        <w:rPr>
          <w:rFonts w:asciiTheme="majorHAnsi" w:eastAsia="Calibri" w:hAnsiTheme="majorHAnsi"/>
          <w:b/>
          <w:sz w:val="24"/>
          <w:szCs w:val="24"/>
          <w:lang w:val="en-GB"/>
        </w:rPr>
        <w:t>9.819</w:t>
      </w:r>
      <w:r w:rsidR="00A633F1">
        <w:rPr>
          <w:rFonts w:asciiTheme="majorHAnsi" w:eastAsia="Calibri" w:hAnsiTheme="majorHAnsi"/>
          <w:b/>
          <w:sz w:val="24"/>
          <w:szCs w:val="24"/>
          <w:lang w:val="en-GB"/>
        </w:rPr>
        <w:t xml:space="preserve"> </w:t>
      </w:r>
      <w:r w:rsidRPr="00D12BE8">
        <w:rPr>
          <w:rFonts w:asciiTheme="majorHAnsi" w:eastAsia="Calibri" w:hAnsiTheme="majorHAnsi"/>
          <w:b/>
          <w:sz w:val="24"/>
          <w:szCs w:val="24"/>
          <w:lang w:val="en-GB"/>
        </w:rPr>
        <w:t>thousand</w:t>
      </w:r>
      <w:r w:rsidRPr="00D12BE8">
        <w:rPr>
          <w:rFonts w:asciiTheme="majorHAnsi" w:eastAsia="Calibri" w:hAnsiTheme="majorHAnsi"/>
          <w:sz w:val="24"/>
          <w:szCs w:val="24"/>
          <w:lang w:val="en-GB"/>
        </w:rPr>
        <w:t xml:space="preserve"> due to the changes in the foreign currency of the contracts</w:t>
      </w:r>
      <w:r w:rsidR="00A633F1">
        <w:rPr>
          <w:rFonts w:asciiTheme="majorHAnsi" w:eastAsia="Calibri" w:hAnsiTheme="majorHAnsi"/>
          <w:sz w:val="24"/>
          <w:szCs w:val="24"/>
          <w:lang w:val="en-GB"/>
        </w:rPr>
        <w:t xml:space="preserve"> and to the application of the provisions of ANRE Order no 34/19 July 2016</w:t>
      </w:r>
      <w:r w:rsidRPr="00D12BE8">
        <w:rPr>
          <w:rFonts w:asciiTheme="majorHAnsi" w:eastAsia="Calibri" w:hAnsiTheme="majorHAnsi"/>
          <w:sz w:val="24"/>
          <w:szCs w:val="24"/>
          <w:lang w:val="en-GB"/>
        </w:rPr>
        <w:t>;</w:t>
      </w:r>
    </w:p>
    <w:p w:rsidR="00110D91" w:rsidRPr="00110D91" w:rsidRDefault="0037604E" w:rsidP="00FA6EB9">
      <w:pPr>
        <w:numPr>
          <w:ilvl w:val="0"/>
          <w:numId w:val="7"/>
        </w:numPr>
        <w:spacing w:after="0" w:line="240" w:lineRule="auto"/>
        <w:ind w:left="360" w:hanging="510"/>
        <w:contextualSpacing/>
        <w:jc w:val="both"/>
        <w:rPr>
          <w:rFonts w:asciiTheme="majorHAnsi" w:eastAsia="Calibri" w:hAnsiTheme="majorHAnsi"/>
          <w:sz w:val="24"/>
          <w:szCs w:val="24"/>
          <w:lang w:val="en-GB"/>
        </w:rPr>
      </w:pPr>
      <w:r w:rsidRPr="00D12BE8">
        <w:rPr>
          <w:rFonts w:asciiTheme="majorHAnsi" w:hAnsiTheme="majorHAnsi"/>
          <w:i/>
          <w:sz w:val="24"/>
          <w:szCs w:val="24"/>
          <w:lang w:val="en-GB"/>
        </w:rPr>
        <w:t>other operating revenue</w:t>
      </w:r>
      <w:r w:rsidRPr="00D12BE8">
        <w:rPr>
          <w:rFonts w:asciiTheme="majorHAnsi" w:hAnsiTheme="majorHAnsi"/>
          <w:sz w:val="24"/>
          <w:szCs w:val="24"/>
          <w:lang w:val="en-GB"/>
        </w:rPr>
        <w:t xml:space="preserve"> higher by</w:t>
      </w:r>
      <w:r w:rsidRPr="00D12BE8">
        <w:rPr>
          <w:rFonts w:asciiTheme="majorHAnsi" w:hAnsiTheme="majorHAnsi"/>
          <w:i/>
          <w:sz w:val="24"/>
          <w:szCs w:val="24"/>
          <w:lang w:val="en-GB"/>
        </w:rPr>
        <w:t xml:space="preserve"> </w:t>
      </w:r>
      <w:r w:rsidRPr="00D12BE8">
        <w:rPr>
          <w:rFonts w:asciiTheme="majorHAnsi" w:hAnsiTheme="majorHAnsi"/>
          <w:b/>
          <w:sz w:val="24"/>
          <w:szCs w:val="24"/>
          <w:lang w:val="en-GB"/>
        </w:rPr>
        <w:t xml:space="preserve">RON </w:t>
      </w:r>
      <w:r w:rsidR="00C344AF">
        <w:rPr>
          <w:rFonts w:ascii="Cambria" w:eastAsia="Calibri" w:hAnsi="Cambria" w:cs="Times New Roman"/>
          <w:b/>
          <w:sz w:val="24"/>
          <w:szCs w:val="24"/>
          <w:lang w:val="en-GB" w:eastAsia="en-US"/>
        </w:rPr>
        <w:t>41,601</w:t>
      </w:r>
      <w:r w:rsidRPr="00D12BE8">
        <w:rPr>
          <w:rFonts w:ascii="Cambria" w:eastAsia="Calibri" w:hAnsi="Cambria" w:cs="Times New Roman"/>
          <w:b/>
          <w:sz w:val="24"/>
          <w:szCs w:val="24"/>
          <w:lang w:val="en-GB" w:eastAsia="en-US"/>
        </w:rPr>
        <w:t xml:space="preserve"> </w:t>
      </w:r>
      <w:r w:rsidRPr="00D12BE8">
        <w:rPr>
          <w:rFonts w:asciiTheme="majorHAnsi" w:eastAsia="Calibri" w:hAnsiTheme="majorHAnsi"/>
          <w:b/>
          <w:sz w:val="24"/>
          <w:szCs w:val="24"/>
          <w:lang w:val="en-GB"/>
        </w:rPr>
        <w:t>thousand</w:t>
      </w:r>
      <w:r w:rsidRPr="00D12BE8">
        <w:rPr>
          <w:rFonts w:asciiTheme="majorHAnsi" w:eastAsia="Calibri" w:hAnsiTheme="majorHAnsi"/>
          <w:sz w:val="24"/>
          <w:szCs w:val="24"/>
          <w:lang w:val="en-GB"/>
        </w:rPr>
        <w:t xml:space="preserve">, mainly due to </w:t>
      </w:r>
      <w:r w:rsidR="00C344AF">
        <w:rPr>
          <w:rFonts w:asciiTheme="majorHAnsi" w:eastAsia="Calibri" w:hAnsiTheme="majorHAnsi"/>
          <w:sz w:val="24"/>
          <w:szCs w:val="24"/>
          <w:lang w:val="en-GB"/>
        </w:rPr>
        <w:t xml:space="preserve">the prescription of the delayed increases of dividends paid in delay from the period 200-2003 amounting to RON </w:t>
      </w:r>
      <w:r w:rsidR="00C344AF" w:rsidRPr="003903DF">
        <w:rPr>
          <w:rFonts w:ascii="Cambria" w:eastAsia="Calibri" w:hAnsi="Cambria" w:cs="DokChampa"/>
          <w:sz w:val="24"/>
          <w:szCs w:val="24"/>
          <w:lang w:val="ro-RO" w:eastAsia="en-US"/>
        </w:rPr>
        <w:t>51.718</w:t>
      </w:r>
      <w:r w:rsidR="00C344AF">
        <w:rPr>
          <w:rFonts w:ascii="Cambria" w:eastAsia="Calibri" w:hAnsi="Cambria" w:cs="DokChampa"/>
          <w:sz w:val="24"/>
          <w:szCs w:val="24"/>
          <w:lang w:val="ro-RO" w:eastAsia="en-US"/>
        </w:rPr>
        <w:t xml:space="preserve"> thousand, the reduction in the revenue from penalties by RON </w:t>
      </w:r>
      <w:r w:rsidR="00C344AF" w:rsidRPr="003903DF">
        <w:rPr>
          <w:rFonts w:ascii="Cambria" w:eastAsia="Calibri" w:hAnsi="Cambria" w:cs="DokChampa"/>
          <w:sz w:val="24"/>
          <w:szCs w:val="24"/>
          <w:lang w:val="ro-RO" w:eastAsia="en-US"/>
        </w:rPr>
        <w:t>4.999</w:t>
      </w:r>
      <w:r w:rsidR="00C344AF">
        <w:rPr>
          <w:rFonts w:ascii="Cambria" w:eastAsia="Calibri" w:hAnsi="Cambria" w:cs="DokChampa"/>
          <w:sz w:val="24"/>
          <w:szCs w:val="24"/>
          <w:lang w:val="ro-RO" w:eastAsia="en-US"/>
        </w:rPr>
        <w:t xml:space="preserve"> thousand</w:t>
      </w:r>
      <w:r w:rsidR="00110D91">
        <w:rPr>
          <w:rFonts w:asciiTheme="majorHAnsi" w:eastAsia="Calibri" w:hAnsiTheme="majorHAnsi"/>
          <w:sz w:val="24"/>
          <w:szCs w:val="24"/>
          <w:lang w:val="en-GB"/>
        </w:rPr>
        <w:t xml:space="preserve"> and the reduction in the revenues from recovered materials by RON</w:t>
      </w:r>
      <w:r w:rsidR="00110D91" w:rsidRPr="003903DF">
        <w:rPr>
          <w:rFonts w:ascii="Cambria" w:eastAsia="Calibri" w:hAnsi="Cambria" w:cs="DokChampa"/>
          <w:sz w:val="24"/>
          <w:szCs w:val="24"/>
          <w:lang w:val="ro-RO" w:eastAsia="en-US"/>
        </w:rPr>
        <w:t xml:space="preserve">15.795 </w:t>
      </w:r>
      <w:r w:rsidR="00110D91">
        <w:rPr>
          <w:rFonts w:ascii="Cambria" w:eastAsia="Calibri" w:hAnsi="Cambria" w:cs="DokChampa"/>
          <w:sz w:val="24"/>
          <w:szCs w:val="24"/>
          <w:lang w:val="ro-RO" w:eastAsia="en-US"/>
        </w:rPr>
        <w:t xml:space="preserve">thousand. </w:t>
      </w:r>
    </w:p>
    <w:p w:rsidR="0037604E" w:rsidRDefault="00110D91" w:rsidP="00FA6EB9">
      <w:pPr>
        <w:numPr>
          <w:ilvl w:val="0"/>
          <w:numId w:val="7"/>
        </w:numPr>
        <w:spacing w:after="0" w:line="240" w:lineRule="auto"/>
        <w:ind w:left="360"/>
        <w:contextualSpacing/>
        <w:jc w:val="both"/>
        <w:rPr>
          <w:rFonts w:asciiTheme="majorHAnsi" w:eastAsia="Calibri" w:hAnsiTheme="majorHAnsi"/>
          <w:sz w:val="24"/>
          <w:szCs w:val="24"/>
          <w:lang w:val="en-GB"/>
        </w:rPr>
      </w:pPr>
      <w:r>
        <w:rPr>
          <w:rFonts w:asciiTheme="majorHAnsi" w:eastAsia="Calibri" w:hAnsiTheme="majorHAnsi"/>
          <w:sz w:val="24"/>
          <w:szCs w:val="24"/>
          <w:lang w:val="en-GB"/>
        </w:rPr>
        <w:t xml:space="preserve"> </w:t>
      </w:r>
      <w:r w:rsidRPr="00110D91">
        <w:rPr>
          <w:rFonts w:asciiTheme="majorHAnsi" w:eastAsia="Calibri" w:hAnsiTheme="majorHAnsi"/>
          <w:i/>
          <w:sz w:val="24"/>
          <w:szCs w:val="24"/>
          <w:lang w:val="en-GB"/>
        </w:rPr>
        <w:t xml:space="preserve">Revenues from </w:t>
      </w:r>
      <w:r>
        <w:rPr>
          <w:rFonts w:asciiTheme="majorHAnsi" w:eastAsia="Calibri" w:hAnsiTheme="majorHAnsi"/>
          <w:i/>
          <w:sz w:val="24"/>
          <w:szCs w:val="24"/>
          <w:lang w:val="en-GB"/>
        </w:rPr>
        <w:t xml:space="preserve">the construction activity </w:t>
      </w:r>
      <w:r w:rsidRPr="00110D91">
        <w:rPr>
          <w:rFonts w:asciiTheme="majorHAnsi" w:eastAsia="Calibri" w:hAnsiTheme="majorHAnsi"/>
          <w:sz w:val="24"/>
          <w:szCs w:val="24"/>
          <w:lang w:val="en-GB"/>
        </w:rPr>
        <w:t xml:space="preserve">lower by </w:t>
      </w:r>
      <w:r w:rsidRPr="00110D91">
        <w:rPr>
          <w:rFonts w:asciiTheme="majorHAnsi" w:eastAsia="Calibri" w:hAnsiTheme="majorHAnsi"/>
          <w:b/>
          <w:sz w:val="24"/>
          <w:szCs w:val="24"/>
          <w:lang w:val="en-GB"/>
        </w:rPr>
        <w:t>RON</w:t>
      </w:r>
      <w:r>
        <w:rPr>
          <w:rFonts w:asciiTheme="majorHAnsi" w:eastAsia="Calibri" w:hAnsiTheme="majorHAnsi"/>
          <w:sz w:val="24"/>
          <w:szCs w:val="24"/>
          <w:lang w:val="en-GB"/>
        </w:rPr>
        <w:t xml:space="preserve"> </w:t>
      </w:r>
      <w:r>
        <w:rPr>
          <w:rFonts w:asciiTheme="majorHAnsi" w:eastAsia="Calibri" w:hAnsiTheme="majorHAnsi"/>
          <w:b/>
          <w:sz w:val="24"/>
          <w:szCs w:val="24"/>
          <w:lang w:val="en-GB"/>
        </w:rPr>
        <w:t>92,</w:t>
      </w:r>
      <w:r w:rsidRPr="00110D91">
        <w:rPr>
          <w:rFonts w:asciiTheme="majorHAnsi" w:eastAsia="Calibri" w:hAnsiTheme="majorHAnsi"/>
          <w:b/>
          <w:sz w:val="24"/>
          <w:szCs w:val="24"/>
          <w:lang w:val="en-GB"/>
        </w:rPr>
        <w:t>622</w:t>
      </w:r>
      <w:r>
        <w:rPr>
          <w:rFonts w:asciiTheme="majorHAnsi" w:eastAsia="Calibri" w:hAnsiTheme="majorHAnsi"/>
          <w:b/>
          <w:sz w:val="24"/>
          <w:szCs w:val="24"/>
          <w:lang w:val="en-GB"/>
        </w:rPr>
        <w:t xml:space="preserve"> thousand</w:t>
      </w:r>
      <w:r w:rsidRPr="00110D91">
        <w:rPr>
          <w:rFonts w:asciiTheme="majorHAnsi" w:eastAsia="Calibri" w:hAnsiTheme="majorHAnsi"/>
          <w:sz w:val="24"/>
          <w:szCs w:val="24"/>
          <w:lang w:val="en-GB"/>
        </w:rPr>
        <w:t>, recorded in accordance with IFRIC 12, under which revenues and costs relating to construction</w:t>
      </w:r>
      <w:r>
        <w:rPr>
          <w:rFonts w:asciiTheme="majorHAnsi" w:eastAsia="Calibri" w:hAnsiTheme="majorHAnsi"/>
          <w:sz w:val="24"/>
          <w:szCs w:val="24"/>
          <w:lang w:val="en-GB"/>
        </w:rPr>
        <w:t xml:space="preserve"> or improvement of the transmission</w:t>
      </w:r>
      <w:r w:rsidRPr="00110D91">
        <w:rPr>
          <w:rFonts w:asciiTheme="majorHAnsi" w:eastAsia="Calibri" w:hAnsiTheme="majorHAnsi"/>
          <w:sz w:val="24"/>
          <w:szCs w:val="24"/>
          <w:lang w:val="en-GB"/>
        </w:rPr>
        <w:t xml:space="preserve"> network, in return for which </w:t>
      </w:r>
      <w:r>
        <w:rPr>
          <w:rFonts w:asciiTheme="majorHAnsi" w:eastAsia="Calibri" w:hAnsiTheme="majorHAnsi"/>
          <w:sz w:val="24"/>
          <w:szCs w:val="24"/>
          <w:lang w:val="en-GB"/>
        </w:rPr>
        <w:t xml:space="preserve">the </w:t>
      </w:r>
      <w:r w:rsidRPr="00110D91">
        <w:rPr>
          <w:rFonts w:asciiTheme="majorHAnsi" w:eastAsia="Calibri" w:hAnsiTheme="majorHAnsi"/>
          <w:sz w:val="24"/>
          <w:szCs w:val="24"/>
          <w:lang w:val="en-GB"/>
        </w:rPr>
        <w:t>intangible asset is recorded</w:t>
      </w:r>
      <w:r>
        <w:rPr>
          <w:rFonts w:asciiTheme="majorHAnsi" w:eastAsia="Calibri" w:hAnsiTheme="majorHAnsi"/>
          <w:sz w:val="24"/>
          <w:szCs w:val="24"/>
          <w:lang w:val="en-GB"/>
        </w:rPr>
        <w:t>, shall</w:t>
      </w:r>
      <w:r w:rsidRPr="00110D91">
        <w:rPr>
          <w:rFonts w:asciiTheme="majorHAnsi" w:eastAsia="Calibri" w:hAnsiTheme="majorHAnsi"/>
          <w:sz w:val="24"/>
          <w:szCs w:val="24"/>
          <w:lang w:val="en-GB"/>
        </w:rPr>
        <w:t xml:space="preserve"> be recog</w:t>
      </w:r>
      <w:r>
        <w:rPr>
          <w:rFonts w:asciiTheme="majorHAnsi" w:eastAsia="Calibri" w:hAnsiTheme="majorHAnsi"/>
          <w:sz w:val="24"/>
          <w:szCs w:val="24"/>
          <w:lang w:val="en-GB"/>
        </w:rPr>
        <w:t>nized in accordance with IAS 11, C</w:t>
      </w:r>
      <w:r w:rsidRPr="00110D91">
        <w:rPr>
          <w:rFonts w:asciiTheme="majorHAnsi" w:eastAsia="Calibri" w:hAnsiTheme="majorHAnsi"/>
          <w:sz w:val="24"/>
          <w:szCs w:val="24"/>
          <w:lang w:val="en-GB"/>
        </w:rPr>
        <w:t>onstruction Contracts;</w:t>
      </w:r>
    </w:p>
    <w:p w:rsidR="00110D91" w:rsidRPr="00D12BE8" w:rsidRDefault="00110D91" w:rsidP="00FA6EB9">
      <w:pPr>
        <w:numPr>
          <w:ilvl w:val="0"/>
          <w:numId w:val="7"/>
        </w:numPr>
        <w:spacing w:after="0" w:line="240" w:lineRule="auto"/>
        <w:ind w:left="360"/>
        <w:contextualSpacing/>
        <w:jc w:val="both"/>
        <w:rPr>
          <w:rFonts w:asciiTheme="majorHAnsi" w:eastAsia="Calibri" w:hAnsiTheme="majorHAnsi"/>
          <w:sz w:val="24"/>
          <w:szCs w:val="24"/>
          <w:lang w:val="en-GB"/>
        </w:rPr>
      </w:pPr>
      <w:r>
        <w:rPr>
          <w:rFonts w:asciiTheme="majorHAnsi" w:eastAsia="Calibri" w:hAnsiTheme="majorHAnsi"/>
          <w:i/>
          <w:sz w:val="24"/>
          <w:szCs w:val="24"/>
          <w:lang w:val="en-GB"/>
        </w:rPr>
        <w:t xml:space="preserve">Financial revenues </w:t>
      </w:r>
      <w:r>
        <w:rPr>
          <w:rFonts w:asciiTheme="majorHAnsi" w:eastAsia="Calibri" w:hAnsiTheme="majorHAnsi"/>
          <w:sz w:val="24"/>
          <w:szCs w:val="24"/>
          <w:lang w:val="en-GB"/>
        </w:rPr>
        <w:t xml:space="preserve">with a negative influence of </w:t>
      </w:r>
      <w:r w:rsidRPr="00110D91">
        <w:rPr>
          <w:rFonts w:asciiTheme="majorHAnsi" w:eastAsia="Calibri" w:hAnsiTheme="majorHAnsi"/>
          <w:b/>
          <w:sz w:val="24"/>
          <w:szCs w:val="24"/>
          <w:lang w:val="en-GB"/>
        </w:rPr>
        <w:t>RON</w:t>
      </w:r>
      <w:r>
        <w:rPr>
          <w:rFonts w:asciiTheme="majorHAnsi" w:eastAsia="Calibri" w:hAnsiTheme="majorHAnsi"/>
          <w:sz w:val="24"/>
          <w:szCs w:val="24"/>
          <w:lang w:val="en-GB"/>
        </w:rPr>
        <w:t xml:space="preserve"> </w:t>
      </w:r>
      <w:r w:rsidRPr="003903DF">
        <w:rPr>
          <w:rFonts w:ascii="Cambria" w:eastAsia="Calibri" w:hAnsi="Cambria" w:cs="DokChampa"/>
          <w:b/>
          <w:sz w:val="24"/>
          <w:szCs w:val="24"/>
          <w:lang w:val="ro-RO" w:eastAsia="en-US"/>
        </w:rPr>
        <w:t>11.006</w:t>
      </w:r>
    </w:p>
    <w:p w:rsidR="0037604E" w:rsidRPr="00D12BE8" w:rsidRDefault="0037604E" w:rsidP="00C344AF">
      <w:pPr>
        <w:tabs>
          <w:tab w:val="left" w:pos="90"/>
          <w:tab w:val="left" w:pos="720"/>
        </w:tabs>
        <w:spacing w:after="0" w:line="240" w:lineRule="auto"/>
        <w:ind w:left="720" w:firstLine="0"/>
        <w:contextualSpacing/>
        <w:jc w:val="both"/>
        <w:rPr>
          <w:rFonts w:asciiTheme="majorHAnsi" w:eastAsia="Calibri" w:hAnsiTheme="majorHAnsi"/>
          <w:b/>
          <w:i/>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865FDE" w:rsidRDefault="0037604E" w:rsidP="0037604E">
      <w:pPr>
        <w:spacing w:after="0" w:line="240" w:lineRule="auto"/>
        <w:ind w:firstLine="0"/>
        <w:jc w:val="both"/>
        <w:rPr>
          <w:rFonts w:ascii="Cambria" w:eastAsia="Times New Roman" w:hAnsi="Cambria" w:cs="Times New Roman"/>
          <w:sz w:val="24"/>
          <w:szCs w:val="24"/>
          <w:lang w:val="en-GB" w:eastAsia="ro-RO"/>
        </w:rPr>
      </w:pPr>
      <w:r w:rsidRPr="00865FDE">
        <w:rPr>
          <w:rFonts w:ascii="Cambria" w:eastAsia="Times New Roman" w:hAnsi="Cambria" w:cs="Cambria"/>
          <w:b/>
          <w:bCs/>
          <w:iCs/>
          <w:sz w:val="24"/>
          <w:szCs w:val="24"/>
          <w:lang w:val="en-GB"/>
        </w:rPr>
        <w:t xml:space="preserve">The operating expenses before </w:t>
      </w:r>
      <w:r w:rsidR="00E84EAB">
        <w:rPr>
          <w:rFonts w:ascii="Cambria" w:eastAsia="Times New Roman" w:hAnsi="Cambria" w:cs="Cambria"/>
          <w:b/>
          <w:bCs/>
          <w:iCs/>
          <w:sz w:val="24"/>
          <w:szCs w:val="24"/>
          <w:lang w:val="en-GB"/>
        </w:rPr>
        <w:t xml:space="preserve">balancing and the </w:t>
      </w:r>
      <w:r w:rsidRPr="00865FDE">
        <w:rPr>
          <w:rFonts w:ascii="Cambria" w:eastAsia="Times New Roman" w:hAnsi="Cambria" w:cs="Cambria"/>
          <w:b/>
          <w:bCs/>
          <w:iCs/>
          <w:sz w:val="24"/>
          <w:szCs w:val="24"/>
          <w:lang w:val="en-GB"/>
        </w:rPr>
        <w:t xml:space="preserve">construction activity acc. to IFRIC </w:t>
      </w:r>
      <w:r w:rsidRPr="00370F99">
        <w:rPr>
          <w:rFonts w:ascii="Cambria" w:eastAsia="Times New Roman" w:hAnsi="Cambria" w:cs="Cambria"/>
          <w:b/>
          <w:bCs/>
          <w:iCs/>
          <w:sz w:val="24"/>
          <w:szCs w:val="24"/>
          <w:lang w:val="en-GB"/>
        </w:rPr>
        <w:t>12</w:t>
      </w:r>
      <w:r w:rsidRPr="00865FDE">
        <w:rPr>
          <w:rFonts w:ascii="Cambria" w:eastAsia="Times New Roman" w:hAnsi="Cambria" w:cs="Cambria"/>
          <w:bCs/>
          <w:iCs/>
          <w:sz w:val="24"/>
          <w:szCs w:val="24"/>
          <w:lang w:val="en-GB"/>
        </w:rPr>
        <w:t xml:space="preserve"> increased by</w:t>
      </w:r>
      <w:r w:rsidR="00E84EAB">
        <w:rPr>
          <w:rFonts w:ascii="Cambria" w:eastAsia="Times New Roman" w:hAnsi="Cambria" w:cs="Cambria"/>
          <w:bCs/>
          <w:iCs/>
          <w:sz w:val="24"/>
          <w:szCs w:val="24"/>
          <w:lang w:val="en-GB"/>
        </w:rPr>
        <w:t xml:space="preserve"> </w:t>
      </w:r>
      <w:r w:rsidR="00E84EAB">
        <w:rPr>
          <w:rFonts w:ascii="Cambria" w:eastAsia="Calibri" w:hAnsi="Cambria" w:cs="DokChampa"/>
          <w:b/>
          <w:sz w:val="24"/>
          <w:szCs w:val="24"/>
          <w:lang w:val="ro-RO" w:eastAsia="en-US"/>
        </w:rPr>
        <w:t>4</w:t>
      </w:r>
      <w:r w:rsidR="00370F99" w:rsidRPr="003B32EB">
        <w:rPr>
          <w:rFonts w:ascii="Cambria" w:eastAsia="Calibri" w:hAnsi="Cambria" w:cs="DokChampa"/>
          <w:b/>
          <w:sz w:val="24"/>
          <w:szCs w:val="24"/>
          <w:lang w:val="ro-RO" w:eastAsia="en-US"/>
        </w:rPr>
        <w:t>%</w:t>
      </w:r>
      <w:r w:rsidR="00370F99" w:rsidRPr="003B32EB">
        <w:rPr>
          <w:rFonts w:ascii="Cambria" w:eastAsia="Calibri" w:hAnsi="Cambria" w:cs="DokChampa"/>
          <w:sz w:val="24"/>
          <w:szCs w:val="24"/>
          <w:lang w:val="ro-RO" w:eastAsia="en-US"/>
        </w:rPr>
        <w:t xml:space="preserve"> </w:t>
      </w:r>
      <w:r w:rsidR="00370F99">
        <w:rPr>
          <w:rFonts w:ascii="Cambria" w:eastAsia="Times New Roman" w:hAnsi="Cambria" w:cs="Cambria"/>
          <w:bCs/>
          <w:iCs/>
          <w:sz w:val="24"/>
          <w:szCs w:val="24"/>
          <w:lang w:val="en-GB"/>
        </w:rPr>
        <w:t xml:space="preserve">as compared to 2015, they are higher by </w:t>
      </w:r>
      <w:r w:rsidR="00370F99" w:rsidRPr="00370F99">
        <w:rPr>
          <w:rFonts w:ascii="Cambria" w:eastAsia="Times New Roman" w:hAnsi="Cambria" w:cs="Cambria"/>
          <w:b/>
          <w:bCs/>
          <w:iCs/>
          <w:sz w:val="24"/>
          <w:szCs w:val="24"/>
          <w:lang w:val="en-GB"/>
        </w:rPr>
        <w:t xml:space="preserve">RON </w:t>
      </w:r>
      <w:r w:rsidR="00E84EAB" w:rsidRPr="003B32EB">
        <w:rPr>
          <w:rFonts w:ascii="Cambria" w:eastAsia="Calibri" w:hAnsi="Cambria" w:cs="DokChampa"/>
          <w:b/>
          <w:sz w:val="24"/>
          <w:szCs w:val="24"/>
          <w:lang w:val="ro-RO" w:eastAsia="en-US"/>
        </w:rPr>
        <w:t>4</w:t>
      </w:r>
      <w:r w:rsidR="00E84EAB">
        <w:rPr>
          <w:rFonts w:ascii="Cambria" w:eastAsia="Calibri" w:hAnsi="Cambria" w:cs="DokChampa"/>
          <w:b/>
          <w:sz w:val="24"/>
          <w:szCs w:val="24"/>
          <w:lang w:val="ro-RO" w:eastAsia="en-US"/>
        </w:rPr>
        <w:t>8</w:t>
      </w:r>
      <w:r w:rsidR="00E84EAB" w:rsidRPr="003B32EB">
        <w:rPr>
          <w:rFonts w:ascii="Cambria" w:eastAsia="Calibri" w:hAnsi="Cambria" w:cs="DokChampa"/>
          <w:b/>
          <w:sz w:val="24"/>
          <w:szCs w:val="24"/>
          <w:lang w:val="ro-RO" w:eastAsia="en-US"/>
        </w:rPr>
        <w:t>.</w:t>
      </w:r>
      <w:r w:rsidR="00E84EAB">
        <w:rPr>
          <w:rFonts w:ascii="Cambria" w:eastAsia="Calibri" w:hAnsi="Cambria" w:cs="DokChampa"/>
          <w:b/>
          <w:sz w:val="24"/>
          <w:szCs w:val="24"/>
          <w:lang w:val="ro-RO" w:eastAsia="en-US"/>
        </w:rPr>
        <w:t>048</w:t>
      </w:r>
      <w:r w:rsidR="00E84EAB" w:rsidRPr="003B32EB">
        <w:rPr>
          <w:rFonts w:ascii="Cambria" w:eastAsia="Calibri" w:hAnsi="Cambria" w:cs="DokChampa"/>
          <w:b/>
          <w:sz w:val="24"/>
          <w:szCs w:val="24"/>
          <w:lang w:val="ro-RO" w:eastAsia="en-US"/>
        </w:rPr>
        <w:t xml:space="preserve"> </w:t>
      </w:r>
      <w:r w:rsidR="00370F99" w:rsidRPr="00370F99">
        <w:rPr>
          <w:rFonts w:ascii="Cambria" w:eastAsia="Times New Roman" w:hAnsi="Cambria" w:cs="Cambria"/>
          <w:b/>
          <w:bCs/>
          <w:iCs/>
          <w:sz w:val="24"/>
          <w:szCs w:val="24"/>
          <w:lang w:val="en-GB"/>
        </w:rPr>
        <w:t>thousand</w:t>
      </w:r>
      <w:r w:rsidRPr="00865FDE">
        <w:rPr>
          <w:rFonts w:ascii="Cambria" w:eastAsia="Times New Roman" w:hAnsi="Cambria" w:cs="Cambria"/>
          <w:bCs/>
          <w:iCs/>
          <w:sz w:val="24"/>
          <w:szCs w:val="24"/>
          <w:lang w:val="en-GB"/>
        </w:rPr>
        <w:t xml:space="preserve">. </w:t>
      </w:r>
    </w:p>
    <w:p w:rsidR="0037604E" w:rsidRPr="0037604E" w:rsidRDefault="0037604E" w:rsidP="0037604E">
      <w:pPr>
        <w:spacing w:after="0" w:line="240" w:lineRule="auto"/>
        <w:ind w:firstLine="0"/>
        <w:jc w:val="both"/>
        <w:rPr>
          <w:rFonts w:ascii="Cambria" w:eastAsia="Times New Roman" w:hAnsi="Cambria" w:cs="Times New Roman"/>
          <w:b/>
          <w:color w:val="FF0000"/>
          <w:sz w:val="24"/>
          <w:szCs w:val="24"/>
          <w:lang w:val="en-GB" w:eastAsia="ro-RO"/>
        </w:rPr>
      </w:pPr>
    </w:p>
    <w:p w:rsidR="00370F99" w:rsidRPr="00370F99" w:rsidRDefault="00370F99" w:rsidP="00370F99">
      <w:pPr>
        <w:spacing w:before="120" w:after="120" w:line="240" w:lineRule="auto"/>
        <w:ind w:firstLine="0"/>
        <w:jc w:val="both"/>
        <w:rPr>
          <w:rFonts w:asciiTheme="majorHAnsi" w:hAnsiTheme="majorHAnsi"/>
          <w:b/>
          <w:i/>
          <w:sz w:val="24"/>
          <w:szCs w:val="24"/>
          <w:lang w:val="en-GB"/>
        </w:rPr>
      </w:pPr>
      <w:r w:rsidRPr="00370F99">
        <w:rPr>
          <w:rFonts w:asciiTheme="majorHAnsi" w:hAnsiTheme="majorHAnsi"/>
          <w:b/>
          <w:i/>
          <w:sz w:val="24"/>
          <w:szCs w:val="24"/>
          <w:lang w:val="en-GB"/>
        </w:rPr>
        <w:t xml:space="preserve">The company recorded savings </w:t>
      </w:r>
      <w:r w:rsidRPr="00370F99">
        <w:rPr>
          <w:rFonts w:asciiTheme="majorHAnsi" w:hAnsiTheme="majorHAnsi"/>
          <w:sz w:val="24"/>
          <w:szCs w:val="24"/>
          <w:lang w:val="en-GB"/>
        </w:rPr>
        <w:t>amounting to</w:t>
      </w:r>
      <w:r w:rsidRPr="00370F99">
        <w:rPr>
          <w:rFonts w:asciiTheme="majorHAnsi" w:hAnsiTheme="majorHAnsi"/>
          <w:b/>
          <w:i/>
          <w:sz w:val="24"/>
          <w:szCs w:val="24"/>
          <w:lang w:val="en-GB"/>
        </w:rPr>
        <w:t xml:space="preserve"> </w:t>
      </w:r>
      <w:r w:rsidRPr="00370F99">
        <w:rPr>
          <w:rFonts w:asciiTheme="majorHAnsi" w:hAnsiTheme="majorHAnsi"/>
          <w:sz w:val="24"/>
          <w:szCs w:val="24"/>
          <w:lang w:val="en-GB"/>
        </w:rPr>
        <w:t xml:space="preserve">RON </w:t>
      </w:r>
      <w:r w:rsidRPr="00370F99">
        <w:rPr>
          <w:rFonts w:asciiTheme="majorHAnsi" w:hAnsiTheme="majorHAnsi"/>
          <w:b/>
          <w:sz w:val="24"/>
          <w:szCs w:val="24"/>
          <w:lang w:val="en-GB"/>
        </w:rPr>
        <w:t xml:space="preserve">6.250 thousand, </w:t>
      </w:r>
      <w:r w:rsidRPr="00370F99">
        <w:rPr>
          <w:rFonts w:asciiTheme="majorHAnsi" w:hAnsiTheme="majorHAnsi"/>
          <w:sz w:val="24"/>
          <w:szCs w:val="24"/>
          <w:lang w:val="en-GB"/>
        </w:rPr>
        <w:t>particularly in the following expense elements</w:t>
      </w:r>
      <w:r w:rsidRPr="00370F99">
        <w:rPr>
          <w:rFonts w:asciiTheme="majorHAnsi" w:hAnsiTheme="majorHAnsi"/>
          <w:b/>
          <w:i/>
          <w:sz w:val="24"/>
          <w:szCs w:val="24"/>
          <w:lang w:val="en-GB"/>
        </w:rPr>
        <w:t>:</w:t>
      </w:r>
    </w:p>
    <w:p w:rsidR="00370F99" w:rsidRDefault="00370F99" w:rsidP="00FA6EB9">
      <w:pPr>
        <w:pStyle w:val="ListParagraph"/>
        <w:numPr>
          <w:ilvl w:val="0"/>
          <w:numId w:val="175"/>
        </w:numPr>
        <w:spacing w:before="120" w:line="300" w:lineRule="auto"/>
        <w:jc w:val="both"/>
        <w:rPr>
          <w:rFonts w:asciiTheme="majorHAnsi" w:hAnsiTheme="majorHAnsi"/>
          <w:sz w:val="24"/>
          <w:szCs w:val="24"/>
          <w:lang w:val="en-GB"/>
        </w:rPr>
      </w:pPr>
      <w:r>
        <w:rPr>
          <w:rFonts w:asciiTheme="majorHAnsi" w:hAnsiTheme="majorHAnsi"/>
          <w:sz w:val="24"/>
          <w:szCs w:val="24"/>
          <w:lang w:val="en-GB"/>
        </w:rPr>
        <w:t xml:space="preserve">Maintenance and transmission: RON </w:t>
      </w:r>
      <w:r w:rsidRPr="00370F99">
        <w:rPr>
          <w:rFonts w:asciiTheme="majorHAnsi" w:hAnsiTheme="majorHAnsi"/>
          <w:sz w:val="24"/>
          <w:szCs w:val="24"/>
          <w:lang w:val="en-GB"/>
        </w:rPr>
        <w:t>3.611</w:t>
      </w:r>
      <w:r>
        <w:rPr>
          <w:rFonts w:asciiTheme="majorHAnsi" w:hAnsiTheme="majorHAnsi"/>
          <w:sz w:val="24"/>
          <w:szCs w:val="24"/>
          <w:lang w:val="en-GB"/>
        </w:rPr>
        <w:t xml:space="preserve"> thousand;</w:t>
      </w:r>
    </w:p>
    <w:p w:rsidR="00370F99" w:rsidRPr="00370F99" w:rsidRDefault="00370F99" w:rsidP="00FA6EB9">
      <w:pPr>
        <w:pStyle w:val="ListParagraph"/>
        <w:numPr>
          <w:ilvl w:val="0"/>
          <w:numId w:val="175"/>
        </w:numPr>
        <w:spacing w:before="120" w:line="300" w:lineRule="auto"/>
        <w:jc w:val="both"/>
        <w:rPr>
          <w:rFonts w:asciiTheme="majorHAnsi" w:hAnsiTheme="majorHAnsi"/>
          <w:sz w:val="24"/>
          <w:szCs w:val="24"/>
          <w:lang w:val="en-GB"/>
        </w:rPr>
      </w:pPr>
      <w:r>
        <w:rPr>
          <w:rFonts w:asciiTheme="majorHAnsi" w:hAnsiTheme="majorHAnsi"/>
          <w:sz w:val="24"/>
          <w:szCs w:val="24"/>
          <w:lang w:val="en-GB"/>
        </w:rPr>
        <w:t xml:space="preserve">Tax and other amounts due to the state: RON </w:t>
      </w:r>
      <w:r w:rsidRPr="003B32EB">
        <w:rPr>
          <w:rFonts w:ascii="Cambria" w:eastAsia="Calibri" w:hAnsi="Cambria" w:cs="DokChampa"/>
          <w:sz w:val="24"/>
          <w:szCs w:val="24"/>
          <w:lang w:val="ro-RO" w:eastAsia="en-US"/>
        </w:rPr>
        <w:t>2.639</w:t>
      </w:r>
      <w:r>
        <w:rPr>
          <w:rFonts w:ascii="Cambria" w:eastAsia="Calibri" w:hAnsi="Cambria" w:cs="DokChampa"/>
          <w:sz w:val="24"/>
          <w:szCs w:val="24"/>
          <w:lang w:val="ro-RO" w:eastAsia="en-US"/>
        </w:rPr>
        <w:t xml:space="preserve"> </w:t>
      </w:r>
      <w:r>
        <w:rPr>
          <w:rFonts w:asciiTheme="majorHAnsi" w:hAnsiTheme="majorHAnsi"/>
          <w:sz w:val="24"/>
          <w:szCs w:val="24"/>
          <w:lang w:val="en-GB"/>
        </w:rPr>
        <w:t xml:space="preserve">thousand, </w:t>
      </w:r>
      <w:r w:rsidR="0028351F">
        <w:rPr>
          <w:rFonts w:asciiTheme="majorHAnsi" w:hAnsiTheme="majorHAnsi"/>
          <w:sz w:val="24"/>
          <w:szCs w:val="24"/>
          <w:lang w:val="en-GB"/>
        </w:rPr>
        <w:t xml:space="preserve">mainly on account of the reduction of the monopoly tax by RON  </w:t>
      </w:r>
      <w:r w:rsidR="0028351F" w:rsidRPr="003B32EB">
        <w:rPr>
          <w:rFonts w:ascii="Cambria" w:eastAsia="Calibri" w:hAnsi="Cambria" w:cs="DokChampa"/>
          <w:sz w:val="24"/>
          <w:szCs w:val="24"/>
          <w:lang w:val="ro-RO" w:eastAsia="en-US"/>
        </w:rPr>
        <w:t>3.792</w:t>
      </w:r>
      <w:r w:rsidR="0028351F">
        <w:rPr>
          <w:rFonts w:ascii="Cambria" w:eastAsia="Calibri" w:hAnsi="Cambria" w:cs="DokChampa"/>
          <w:sz w:val="24"/>
          <w:szCs w:val="24"/>
          <w:lang w:val="ro-RO" w:eastAsia="en-US"/>
        </w:rPr>
        <w:t xml:space="preserve"> </w:t>
      </w:r>
      <w:r w:rsidR="0028351F">
        <w:rPr>
          <w:rFonts w:asciiTheme="majorHAnsi" w:hAnsiTheme="majorHAnsi"/>
          <w:sz w:val="24"/>
          <w:szCs w:val="24"/>
          <w:lang w:val="en-GB"/>
        </w:rPr>
        <w:t>thousand;</w:t>
      </w:r>
    </w:p>
    <w:p w:rsidR="0037604E" w:rsidRPr="0037604E" w:rsidRDefault="0037604E" w:rsidP="0028351F">
      <w:pPr>
        <w:spacing w:before="120" w:line="300" w:lineRule="auto"/>
        <w:ind w:firstLine="0"/>
        <w:jc w:val="both"/>
        <w:rPr>
          <w:rFonts w:asciiTheme="majorHAnsi" w:hAnsiTheme="majorHAnsi"/>
          <w:sz w:val="24"/>
          <w:szCs w:val="24"/>
          <w:lang w:val="en-GB"/>
        </w:rPr>
      </w:pPr>
      <w:r w:rsidRPr="0028351F">
        <w:rPr>
          <w:rFonts w:asciiTheme="majorHAnsi" w:hAnsiTheme="majorHAnsi"/>
          <w:b/>
          <w:i/>
          <w:sz w:val="24"/>
          <w:szCs w:val="24"/>
          <w:lang w:val="en-GB"/>
        </w:rPr>
        <w:t xml:space="preserve">Overruns amounting to </w:t>
      </w:r>
      <w:r w:rsidRPr="0028351F">
        <w:rPr>
          <w:rFonts w:asciiTheme="majorHAnsi" w:eastAsia="Times New Roman" w:hAnsiTheme="majorHAnsi" w:cs="Cambria"/>
          <w:b/>
          <w:bCs/>
          <w:i/>
          <w:iCs/>
          <w:sz w:val="24"/>
          <w:szCs w:val="24"/>
          <w:lang w:val="en-GB"/>
        </w:rPr>
        <w:t>RON</w:t>
      </w:r>
      <w:r w:rsidRPr="0028351F">
        <w:rPr>
          <w:rFonts w:asciiTheme="majorHAnsi" w:eastAsia="Times New Roman" w:hAnsiTheme="majorHAnsi" w:cs="Cambria"/>
          <w:bCs/>
          <w:iCs/>
          <w:sz w:val="24"/>
          <w:szCs w:val="24"/>
          <w:lang w:val="en-GB"/>
        </w:rPr>
        <w:t xml:space="preserve"> </w:t>
      </w:r>
      <w:r w:rsidR="00E84EAB">
        <w:rPr>
          <w:rFonts w:ascii="Cambria" w:eastAsia="Calibri" w:hAnsi="Cambria" w:cs="DokChampa"/>
          <w:b/>
          <w:i/>
          <w:sz w:val="24"/>
          <w:szCs w:val="24"/>
          <w:lang w:val="ro-RO" w:eastAsia="en-US"/>
        </w:rPr>
        <w:t>54</w:t>
      </w:r>
      <w:r w:rsidR="00E84EAB" w:rsidRPr="003B32EB">
        <w:rPr>
          <w:rFonts w:ascii="Cambria" w:eastAsia="Calibri" w:hAnsi="Cambria" w:cs="DokChampa"/>
          <w:b/>
          <w:i/>
          <w:sz w:val="24"/>
          <w:szCs w:val="24"/>
          <w:lang w:val="ro-RO" w:eastAsia="en-US"/>
        </w:rPr>
        <w:t>.</w:t>
      </w:r>
      <w:r w:rsidR="00E84EAB">
        <w:rPr>
          <w:rFonts w:ascii="Cambria" w:eastAsia="Calibri" w:hAnsi="Cambria" w:cs="DokChampa"/>
          <w:b/>
          <w:i/>
          <w:sz w:val="24"/>
          <w:szCs w:val="24"/>
          <w:lang w:val="ro-RO" w:eastAsia="en-US"/>
        </w:rPr>
        <w:t>298</w:t>
      </w:r>
      <w:r w:rsidR="00E84EAB" w:rsidRPr="003B32EB">
        <w:rPr>
          <w:rFonts w:ascii="Cambria" w:eastAsia="Calibri" w:hAnsi="Cambria" w:cs="DokChampa"/>
          <w:b/>
          <w:i/>
          <w:sz w:val="24"/>
          <w:szCs w:val="24"/>
          <w:lang w:val="ro-RO" w:eastAsia="en-US"/>
        </w:rPr>
        <w:t xml:space="preserve"> </w:t>
      </w:r>
      <w:r w:rsidR="0028351F">
        <w:rPr>
          <w:rFonts w:asciiTheme="majorHAnsi" w:eastAsia="Times New Roman" w:hAnsiTheme="majorHAnsi" w:cs="Times New Roman"/>
          <w:b/>
          <w:i/>
          <w:sz w:val="24"/>
          <w:szCs w:val="24"/>
          <w:lang w:val="en-GB" w:eastAsia="ro-RO"/>
        </w:rPr>
        <w:t>thousand were</w:t>
      </w:r>
      <w:r w:rsidRPr="0028351F">
        <w:rPr>
          <w:rFonts w:asciiTheme="majorHAnsi" w:eastAsia="Times New Roman" w:hAnsiTheme="majorHAnsi" w:cs="Times New Roman"/>
          <w:b/>
          <w:i/>
          <w:sz w:val="24"/>
          <w:szCs w:val="24"/>
          <w:lang w:val="en-GB" w:eastAsia="ro-RO"/>
        </w:rPr>
        <w:t xml:space="preserve"> recorded, </w:t>
      </w:r>
      <w:r w:rsidRPr="0028351F">
        <w:rPr>
          <w:rFonts w:asciiTheme="majorHAnsi" w:hAnsiTheme="majorHAnsi"/>
          <w:sz w:val="24"/>
          <w:szCs w:val="24"/>
          <w:lang w:val="en-GB"/>
        </w:rPr>
        <w:t>mainly in relation to the following cost elem</w:t>
      </w:r>
      <w:r w:rsidR="0028351F">
        <w:rPr>
          <w:rFonts w:asciiTheme="majorHAnsi" w:hAnsiTheme="majorHAnsi"/>
          <w:sz w:val="24"/>
          <w:szCs w:val="24"/>
          <w:lang w:val="en-GB"/>
        </w:rPr>
        <w:t xml:space="preserve">ents: </w:t>
      </w:r>
    </w:p>
    <w:p w:rsidR="0037604E" w:rsidRPr="0028351F" w:rsidRDefault="0037604E" w:rsidP="0028351F">
      <w:pPr>
        <w:numPr>
          <w:ilvl w:val="0"/>
          <w:numId w:val="6"/>
        </w:numPr>
        <w:shd w:val="clear" w:color="auto" w:fill="FFFFFF"/>
        <w:spacing w:after="0" w:line="300" w:lineRule="auto"/>
        <w:contextualSpacing/>
        <w:jc w:val="both"/>
        <w:rPr>
          <w:rFonts w:asciiTheme="majorHAnsi" w:hAnsiTheme="majorHAnsi"/>
          <w:b/>
          <w:sz w:val="24"/>
          <w:szCs w:val="24"/>
          <w:lang w:val="en-GB"/>
        </w:rPr>
      </w:pPr>
      <w:r w:rsidRPr="0028351F">
        <w:rPr>
          <w:rFonts w:asciiTheme="majorHAnsi" w:hAnsiTheme="majorHAnsi"/>
          <w:sz w:val="24"/>
          <w:szCs w:val="24"/>
          <w:lang w:val="en-GB"/>
        </w:rPr>
        <w:t>transmission system technol</w:t>
      </w:r>
      <w:r w:rsidR="0028351F">
        <w:rPr>
          <w:rFonts w:asciiTheme="majorHAnsi" w:hAnsiTheme="majorHAnsi"/>
          <w:sz w:val="24"/>
          <w:szCs w:val="24"/>
          <w:lang w:val="en-GB"/>
        </w:rPr>
        <w:t>ogical gas consumption in</w:t>
      </w:r>
      <w:r w:rsidRPr="0028351F">
        <w:rPr>
          <w:rFonts w:asciiTheme="majorHAnsi" w:eastAsia="Calibri" w:hAnsiTheme="majorHAnsi"/>
          <w:sz w:val="24"/>
          <w:szCs w:val="24"/>
          <w:lang w:val="en-GB"/>
        </w:rPr>
        <w:t>creased by</w:t>
      </w:r>
      <w:r w:rsidR="0028351F">
        <w:rPr>
          <w:rFonts w:asciiTheme="majorHAnsi" w:eastAsia="Calibri" w:hAnsiTheme="majorHAnsi"/>
          <w:sz w:val="24"/>
          <w:szCs w:val="24"/>
          <w:lang w:val="en-GB"/>
        </w:rPr>
        <w:t xml:space="preserve"> </w:t>
      </w:r>
      <w:r w:rsidRPr="0028351F">
        <w:rPr>
          <w:rFonts w:asciiTheme="majorHAnsi" w:eastAsia="Calibri" w:hAnsiTheme="majorHAnsi"/>
          <w:sz w:val="24"/>
          <w:szCs w:val="24"/>
          <w:lang w:val="en-GB"/>
        </w:rPr>
        <w:t xml:space="preserve"> </w:t>
      </w:r>
      <w:r w:rsidRPr="0028351F">
        <w:rPr>
          <w:rFonts w:asciiTheme="majorHAnsi" w:eastAsia="Calibri" w:hAnsiTheme="majorHAnsi"/>
          <w:b/>
          <w:sz w:val="24"/>
          <w:szCs w:val="24"/>
          <w:lang w:val="en-GB"/>
        </w:rPr>
        <w:t>RON</w:t>
      </w:r>
      <w:r w:rsidR="0028351F">
        <w:rPr>
          <w:rFonts w:asciiTheme="majorHAnsi" w:hAnsiTheme="majorHAnsi"/>
          <w:sz w:val="24"/>
          <w:szCs w:val="24"/>
          <w:lang w:val="en-GB"/>
        </w:rPr>
        <w:t xml:space="preserve"> </w:t>
      </w:r>
      <w:r w:rsidR="0028351F" w:rsidRPr="0028351F">
        <w:rPr>
          <w:rFonts w:ascii="Cambria" w:eastAsia="Calibri" w:hAnsi="Cambria" w:cs="Times New Roman"/>
          <w:b/>
          <w:sz w:val="24"/>
          <w:szCs w:val="24"/>
          <w:lang w:val="en-GB" w:eastAsia="en-US"/>
        </w:rPr>
        <w:t xml:space="preserve">1.260 </w:t>
      </w:r>
      <w:r w:rsidRPr="0028351F">
        <w:rPr>
          <w:rFonts w:asciiTheme="majorHAnsi" w:eastAsia="Calibri" w:hAnsiTheme="majorHAnsi"/>
          <w:b/>
          <w:sz w:val="24"/>
          <w:szCs w:val="24"/>
          <w:lang w:val="en-GB"/>
        </w:rPr>
        <w:t xml:space="preserve">thousand </w:t>
      </w:r>
      <w:r w:rsidRPr="0028351F">
        <w:rPr>
          <w:rFonts w:asciiTheme="majorHAnsi" w:eastAsia="Calibri" w:hAnsiTheme="majorHAnsi"/>
          <w:sz w:val="24"/>
          <w:szCs w:val="24"/>
          <w:lang w:val="en-GB"/>
        </w:rPr>
        <w:t>due to the following factors</w:t>
      </w:r>
      <w:r w:rsidRPr="0028351F">
        <w:rPr>
          <w:rFonts w:asciiTheme="majorHAnsi" w:hAnsiTheme="majorHAnsi"/>
          <w:b/>
          <w:sz w:val="24"/>
          <w:szCs w:val="24"/>
          <w:lang w:val="en-GB"/>
        </w:rPr>
        <w:t>:</w:t>
      </w:r>
    </w:p>
    <w:p w:rsidR="0037604E" w:rsidRPr="0028351F" w:rsidRDefault="0037604E" w:rsidP="00FA6EB9">
      <w:pPr>
        <w:numPr>
          <w:ilvl w:val="0"/>
          <w:numId w:val="40"/>
        </w:numPr>
        <w:spacing w:after="0" w:line="300" w:lineRule="auto"/>
        <w:contextualSpacing/>
        <w:jc w:val="both"/>
        <w:rPr>
          <w:rFonts w:asciiTheme="majorHAnsi" w:hAnsiTheme="majorHAnsi"/>
          <w:sz w:val="24"/>
          <w:szCs w:val="24"/>
          <w:lang w:val="en-GB"/>
        </w:rPr>
      </w:pPr>
      <w:r w:rsidRPr="0028351F">
        <w:rPr>
          <w:rFonts w:asciiTheme="majorHAnsi" w:hAnsiTheme="majorHAnsi"/>
          <w:sz w:val="24"/>
          <w:szCs w:val="24"/>
          <w:lang w:val="en-GB"/>
        </w:rPr>
        <w:t>gas amount for</w:t>
      </w:r>
      <w:r w:rsidR="008339A9">
        <w:rPr>
          <w:rFonts w:asciiTheme="majorHAnsi" w:hAnsiTheme="majorHAnsi"/>
          <w:sz w:val="24"/>
          <w:szCs w:val="24"/>
          <w:lang w:val="en-GB"/>
        </w:rPr>
        <w:t xml:space="preserve"> technological consumption higher</w:t>
      </w:r>
      <w:r w:rsidRPr="0028351F">
        <w:rPr>
          <w:rFonts w:asciiTheme="majorHAnsi" w:hAnsiTheme="majorHAnsi"/>
          <w:sz w:val="24"/>
          <w:szCs w:val="24"/>
          <w:lang w:val="en-GB"/>
        </w:rPr>
        <w:t xml:space="preserve"> by </w:t>
      </w:r>
      <w:r w:rsidR="008339A9" w:rsidRPr="008339A9">
        <w:rPr>
          <w:rFonts w:asciiTheme="majorHAnsi" w:hAnsiTheme="majorHAnsi"/>
          <w:sz w:val="24"/>
          <w:szCs w:val="24"/>
          <w:lang w:val="en-GB"/>
        </w:rPr>
        <w:t xml:space="preserve">218.381 </w:t>
      </w:r>
      <w:r w:rsidRPr="0028351F">
        <w:rPr>
          <w:rFonts w:asciiTheme="majorHAnsi" w:hAnsiTheme="majorHAnsi"/>
          <w:sz w:val="24"/>
          <w:szCs w:val="24"/>
          <w:lang w:val="en-GB"/>
        </w:rPr>
        <w:t>MWh/</w:t>
      </w:r>
      <w:r w:rsidR="008339A9" w:rsidRPr="008339A9">
        <w:rPr>
          <w:rFonts w:asciiTheme="majorHAnsi" w:hAnsiTheme="majorHAnsi"/>
          <w:sz w:val="24"/>
          <w:szCs w:val="24"/>
          <w:lang w:val="en-GB"/>
        </w:rPr>
        <w:t>20.770</w:t>
      </w:r>
      <w:r w:rsidR="008339A9">
        <w:rPr>
          <w:rFonts w:asciiTheme="majorHAnsi" w:hAnsiTheme="majorHAnsi"/>
          <w:sz w:val="24"/>
          <w:szCs w:val="24"/>
          <w:lang w:val="en-GB"/>
        </w:rPr>
        <w:t xml:space="preserve"> </w:t>
      </w:r>
      <w:r w:rsidRPr="0028351F">
        <w:rPr>
          <w:rFonts w:asciiTheme="majorHAnsi" w:hAnsiTheme="majorHAnsi"/>
          <w:sz w:val="24"/>
          <w:szCs w:val="24"/>
          <w:lang w:val="en-GB"/>
        </w:rPr>
        <w:t>thousand cubic meters (</w:t>
      </w:r>
      <w:r w:rsidRPr="0028351F">
        <w:rPr>
          <w:rFonts w:ascii="Times New Roman" w:eastAsia="Calibri" w:hAnsi="Times New Roman" w:cs="Times New Roman"/>
          <w:sz w:val="24"/>
          <w:szCs w:val="24"/>
          <w:lang w:val="en-GB" w:eastAsia="en-US"/>
        </w:rPr>
        <w:t>▼</w:t>
      </w:r>
      <w:r w:rsidR="008339A9" w:rsidRPr="003B32EB">
        <w:rPr>
          <w:rFonts w:ascii="Cambria" w:eastAsia="Calibri" w:hAnsi="Cambria" w:cs="DokChampa"/>
          <w:sz w:val="24"/>
          <w:szCs w:val="24"/>
          <w:lang w:val="ro-RO" w:eastAsia="en-US"/>
        </w:rPr>
        <w:t>23</w:t>
      </w:r>
      <w:r w:rsidRPr="0028351F">
        <w:rPr>
          <w:rFonts w:asciiTheme="majorHAnsi" w:hAnsiTheme="majorHAnsi"/>
          <w:sz w:val="24"/>
          <w:szCs w:val="24"/>
          <w:lang w:val="en-GB"/>
        </w:rPr>
        <w:t xml:space="preserve">%) </w:t>
      </w:r>
      <w:r w:rsidR="008339A9">
        <w:rPr>
          <w:rFonts w:asciiTheme="majorHAnsi" w:hAnsiTheme="majorHAnsi"/>
          <w:sz w:val="24"/>
          <w:szCs w:val="24"/>
          <w:lang w:val="en-GB"/>
        </w:rPr>
        <w:t xml:space="preserve">with a negative influence </w:t>
      </w:r>
      <w:r w:rsidRPr="0028351F">
        <w:rPr>
          <w:rFonts w:asciiTheme="majorHAnsi" w:hAnsiTheme="majorHAnsi"/>
          <w:sz w:val="24"/>
          <w:szCs w:val="24"/>
          <w:lang w:val="en-GB"/>
        </w:rPr>
        <w:t xml:space="preserve">of RON </w:t>
      </w:r>
      <w:r w:rsidR="008339A9" w:rsidRPr="008339A9">
        <w:rPr>
          <w:rFonts w:asciiTheme="majorHAnsi" w:hAnsiTheme="majorHAnsi"/>
          <w:sz w:val="24"/>
          <w:szCs w:val="24"/>
          <w:lang w:val="en-GB"/>
        </w:rPr>
        <w:t xml:space="preserve">18.798 </w:t>
      </w:r>
      <w:r w:rsidRPr="0028351F">
        <w:rPr>
          <w:rFonts w:asciiTheme="majorHAnsi" w:hAnsiTheme="majorHAnsi"/>
          <w:sz w:val="24"/>
          <w:szCs w:val="24"/>
          <w:lang w:val="en-GB"/>
        </w:rPr>
        <w:t>thousand;</w:t>
      </w:r>
    </w:p>
    <w:p w:rsidR="0037604E" w:rsidRDefault="008339A9" w:rsidP="00FA6EB9">
      <w:pPr>
        <w:numPr>
          <w:ilvl w:val="0"/>
          <w:numId w:val="40"/>
        </w:numPr>
        <w:spacing w:after="0" w:line="300" w:lineRule="auto"/>
        <w:contextualSpacing/>
        <w:jc w:val="both"/>
        <w:rPr>
          <w:rFonts w:asciiTheme="majorHAnsi" w:hAnsiTheme="majorHAnsi"/>
          <w:sz w:val="24"/>
          <w:szCs w:val="24"/>
          <w:lang w:val="en-GB"/>
        </w:rPr>
      </w:pPr>
      <w:r>
        <w:rPr>
          <w:rFonts w:asciiTheme="majorHAnsi" w:hAnsiTheme="majorHAnsi"/>
          <w:sz w:val="24"/>
          <w:szCs w:val="24"/>
          <w:lang w:val="en-GB"/>
        </w:rPr>
        <w:t>average purchase price for 2016</w:t>
      </w:r>
      <w:r w:rsidR="0037604E" w:rsidRPr="0028351F">
        <w:rPr>
          <w:rFonts w:asciiTheme="majorHAnsi" w:hAnsiTheme="majorHAnsi"/>
          <w:sz w:val="24"/>
          <w:szCs w:val="24"/>
          <w:lang w:val="en-GB"/>
        </w:rPr>
        <w:t xml:space="preserve"> lower by RON </w:t>
      </w:r>
      <w:r>
        <w:rPr>
          <w:rFonts w:asciiTheme="majorHAnsi" w:hAnsiTheme="majorHAnsi"/>
          <w:sz w:val="24"/>
          <w:szCs w:val="24"/>
          <w:lang w:val="en-GB"/>
        </w:rPr>
        <w:t>14,81/MWh as compared to 2016</w:t>
      </w:r>
      <w:r w:rsidR="0037604E" w:rsidRPr="0028351F">
        <w:rPr>
          <w:rFonts w:asciiTheme="majorHAnsi" w:hAnsiTheme="majorHAnsi"/>
          <w:sz w:val="24"/>
          <w:szCs w:val="24"/>
          <w:lang w:val="en-GB"/>
        </w:rPr>
        <w:t xml:space="preserve">, with a positive effect of RON </w:t>
      </w:r>
      <w:r w:rsidRPr="008339A9">
        <w:rPr>
          <w:rFonts w:ascii="Cambria" w:eastAsia="Calibri" w:hAnsi="Cambria" w:cs="Times New Roman"/>
          <w:sz w:val="24"/>
          <w:szCs w:val="24"/>
          <w:lang w:val="en-GB" w:eastAsia="en-US"/>
        </w:rPr>
        <w:t xml:space="preserve">17.538 </w:t>
      </w:r>
      <w:r w:rsidR="0037604E" w:rsidRPr="0028351F">
        <w:rPr>
          <w:rFonts w:asciiTheme="majorHAnsi" w:hAnsiTheme="majorHAnsi"/>
          <w:sz w:val="24"/>
          <w:szCs w:val="24"/>
          <w:lang w:val="en-GB"/>
        </w:rPr>
        <w:t xml:space="preserve">thousand; </w:t>
      </w:r>
    </w:p>
    <w:p w:rsidR="008339A9" w:rsidRPr="008339A9" w:rsidRDefault="008339A9" w:rsidP="008339A9">
      <w:pPr>
        <w:pStyle w:val="ListParagraph"/>
        <w:numPr>
          <w:ilvl w:val="0"/>
          <w:numId w:val="6"/>
        </w:numPr>
        <w:spacing w:after="0" w:line="300" w:lineRule="auto"/>
        <w:jc w:val="both"/>
        <w:rPr>
          <w:rFonts w:asciiTheme="majorHAnsi" w:hAnsiTheme="majorHAnsi"/>
          <w:sz w:val="24"/>
          <w:szCs w:val="24"/>
          <w:lang w:val="en-GB"/>
        </w:rPr>
      </w:pPr>
      <w:r w:rsidRPr="008339A9">
        <w:rPr>
          <w:rFonts w:asciiTheme="majorHAnsi" w:hAnsiTheme="majorHAnsi"/>
          <w:sz w:val="24"/>
          <w:szCs w:val="24"/>
          <w:lang w:val="en-GB"/>
        </w:rPr>
        <w:t xml:space="preserve">expense provision for risks and charges: </w:t>
      </w:r>
      <w:r w:rsidR="002717D9">
        <w:rPr>
          <w:rFonts w:asciiTheme="majorHAnsi" w:hAnsiTheme="majorHAnsi"/>
          <w:sz w:val="24"/>
          <w:szCs w:val="24"/>
          <w:lang w:val="en-GB"/>
        </w:rPr>
        <w:t xml:space="preserve">RON </w:t>
      </w:r>
      <w:r w:rsidRPr="008339A9">
        <w:rPr>
          <w:rFonts w:asciiTheme="majorHAnsi" w:hAnsiTheme="majorHAnsi"/>
          <w:sz w:val="24"/>
          <w:szCs w:val="24"/>
          <w:lang w:val="en-GB"/>
        </w:rPr>
        <w:t>2,625 thousand, mainly against the provision for the tax decision on the additional tax payment obligations issued by ANAF</w:t>
      </w:r>
      <w:r w:rsidR="002717D9">
        <w:rPr>
          <w:rFonts w:asciiTheme="majorHAnsi" w:hAnsiTheme="majorHAnsi"/>
          <w:sz w:val="24"/>
          <w:szCs w:val="24"/>
          <w:lang w:val="en-GB"/>
        </w:rPr>
        <w:t>;</w:t>
      </w:r>
    </w:p>
    <w:p w:rsidR="0037604E" w:rsidRPr="0028351F" w:rsidRDefault="002717D9" w:rsidP="002717D9">
      <w:pPr>
        <w:numPr>
          <w:ilvl w:val="0"/>
          <w:numId w:val="6"/>
        </w:numPr>
        <w:spacing w:after="0" w:line="300" w:lineRule="auto"/>
        <w:jc w:val="both"/>
        <w:rPr>
          <w:rFonts w:asciiTheme="majorHAnsi" w:hAnsiTheme="majorHAnsi"/>
          <w:sz w:val="24"/>
          <w:szCs w:val="24"/>
          <w:lang w:val="en-GB"/>
        </w:rPr>
      </w:pPr>
      <w:r>
        <w:rPr>
          <w:rFonts w:asciiTheme="majorHAnsi" w:hAnsiTheme="majorHAnsi"/>
          <w:sz w:val="24"/>
          <w:szCs w:val="24"/>
          <w:lang w:val="en-GB"/>
        </w:rPr>
        <w:t>expenses with the depreciation of fixed assets</w:t>
      </w:r>
      <w:r w:rsidR="0037604E" w:rsidRPr="0028351F">
        <w:rPr>
          <w:rFonts w:asciiTheme="majorHAnsi" w:hAnsiTheme="majorHAnsi"/>
          <w:sz w:val="24"/>
          <w:szCs w:val="24"/>
          <w:lang w:val="en-GB"/>
        </w:rPr>
        <w:t xml:space="preserve">: RON </w:t>
      </w:r>
      <w:r w:rsidRPr="002717D9">
        <w:rPr>
          <w:rFonts w:ascii="Cambria" w:eastAsia="Calibri" w:hAnsi="Cambria" w:cs="Times New Roman"/>
          <w:sz w:val="24"/>
          <w:szCs w:val="24"/>
          <w:lang w:val="en-GB" w:eastAsia="en-US"/>
        </w:rPr>
        <w:t xml:space="preserve">15.263 </w:t>
      </w:r>
      <w:r w:rsidR="0037604E" w:rsidRPr="0028351F">
        <w:rPr>
          <w:rFonts w:asciiTheme="majorHAnsi" w:hAnsiTheme="majorHAnsi"/>
          <w:sz w:val="24"/>
          <w:szCs w:val="24"/>
          <w:lang w:val="en-GB"/>
        </w:rPr>
        <w:t>thousand;</w:t>
      </w:r>
    </w:p>
    <w:p w:rsidR="0037604E" w:rsidRDefault="002717D9" w:rsidP="002717D9">
      <w:pPr>
        <w:numPr>
          <w:ilvl w:val="0"/>
          <w:numId w:val="6"/>
        </w:numPr>
        <w:spacing w:after="0" w:line="300" w:lineRule="auto"/>
        <w:jc w:val="both"/>
        <w:rPr>
          <w:rFonts w:asciiTheme="majorHAnsi" w:hAnsiTheme="majorHAnsi"/>
          <w:sz w:val="24"/>
          <w:szCs w:val="24"/>
          <w:lang w:val="en-GB"/>
        </w:rPr>
      </w:pPr>
      <w:r>
        <w:rPr>
          <w:rFonts w:asciiTheme="majorHAnsi" w:hAnsiTheme="majorHAnsi"/>
          <w:sz w:val="24"/>
          <w:szCs w:val="24"/>
          <w:lang w:val="en-GB"/>
        </w:rPr>
        <w:t>personnel expenses</w:t>
      </w:r>
      <w:r w:rsidR="0037604E" w:rsidRPr="0028351F">
        <w:rPr>
          <w:rFonts w:asciiTheme="majorHAnsi" w:hAnsiTheme="majorHAnsi"/>
          <w:sz w:val="24"/>
          <w:szCs w:val="24"/>
          <w:lang w:val="en-GB"/>
        </w:rPr>
        <w:t xml:space="preserve">: RON </w:t>
      </w:r>
      <w:r w:rsidRPr="002717D9">
        <w:rPr>
          <w:rFonts w:ascii="Cambria" w:eastAsia="Calibri" w:hAnsi="Cambria" w:cs="Times New Roman"/>
          <w:sz w:val="24"/>
          <w:szCs w:val="24"/>
          <w:lang w:val="en-GB" w:eastAsia="en-US"/>
        </w:rPr>
        <w:t xml:space="preserve">11.767 </w:t>
      </w:r>
      <w:r w:rsidR="0037604E" w:rsidRPr="0028351F">
        <w:rPr>
          <w:rFonts w:asciiTheme="majorHAnsi" w:hAnsiTheme="majorHAnsi"/>
          <w:sz w:val="24"/>
          <w:szCs w:val="24"/>
          <w:lang w:val="en-GB"/>
        </w:rPr>
        <w:t>thousand;</w:t>
      </w:r>
    </w:p>
    <w:p w:rsidR="002717D9" w:rsidRDefault="002717D9" w:rsidP="002717D9">
      <w:pPr>
        <w:numPr>
          <w:ilvl w:val="0"/>
          <w:numId w:val="6"/>
        </w:numPr>
        <w:spacing w:after="0" w:line="300" w:lineRule="auto"/>
        <w:jc w:val="both"/>
        <w:rPr>
          <w:rFonts w:asciiTheme="majorHAnsi" w:hAnsiTheme="majorHAnsi"/>
          <w:sz w:val="24"/>
          <w:szCs w:val="24"/>
          <w:lang w:val="en-GB"/>
        </w:rPr>
      </w:pPr>
      <w:r>
        <w:rPr>
          <w:rFonts w:asciiTheme="majorHAnsi" w:hAnsiTheme="majorHAnsi"/>
          <w:sz w:val="24"/>
          <w:szCs w:val="24"/>
          <w:lang w:val="en-GB"/>
        </w:rPr>
        <w:t>royalty expenses</w:t>
      </w:r>
      <w:r w:rsidRPr="0028351F">
        <w:rPr>
          <w:rFonts w:asciiTheme="majorHAnsi" w:hAnsiTheme="majorHAnsi"/>
          <w:sz w:val="24"/>
          <w:szCs w:val="24"/>
          <w:lang w:val="en-GB"/>
        </w:rPr>
        <w:t>:</w:t>
      </w:r>
      <w:r>
        <w:rPr>
          <w:rFonts w:asciiTheme="majorHAnsi" w:hAnsiTheme="majorHAnsi"/>
          <w:sz w:val="24"/>
          <w:szCs w:val="24"/>
          <w:lang w:val="en-GB"/>
        </w:rPr>
        <w:t xml:space="preserve"> </w:t>
      </w:r>
      <w:r w:rsidRPr="0028351F">
        <w:rPr>
          <w:rFonts w:asciiTheme="majorHAnsi" w:hAnsiTheme="majorHAnsi"/>
          <w:sz w:val="24"/>
          <w:szCs w:val="24"/>
          <w:lang w:val="en-GB"/>
        </w:rPr>
        <w:t>RON</w:t>
      </w:r>
      <w:r>
        <w:rPr>
          <w:rFonts w:asciiTheme="majorHAnsi" w:hAnsiTheme="majorHAnsi"/>
          <w:sz w:val="24"/>
          <w:szCs w:val="24"/>
          <w:lang w:val="en-GB"/>
        </w:rPr>
        <w:t xml:space="preserve"> </w:t>
      </w:r>
      <w:r w:rsidRPr="002717D9">
        <w:rPr>
          <w:rFonts w:asciiTheme="majorHAnsi" w:hAnsiTheme="majorHAnsi"/>
          <w:sz w:val="24"/>
          <w:szCs w:val="24"/>
          <w:lang w:val="en-GB"/>
        </w:rPr>
        <w:t xml:space="preserve">11.039 </w:t>
      </w:r>
      <w:r w:rsidRPr="0028351F">
        <w:rPr>
          <w:rFonts w:asciiTheme="majorHAnsi" w:hAnsiTheme="majorHAnsi"/>
          <w:sz w:val="24"/>
          <w:szCs w:val="24"/>
          <w:lang w:val="en-GB"/>
        </w:rPr>
        <w:t>thousand;</w:t>
      </w:r>
      <w:r>
        <w:rPr>
          <w:rFonts w:asciiTheme="majorHAnsi" w:hAnsiTheme="majorHAnsi"/>
          <w:sz w:val="24"/>
          <w:szCs w:val="24"/>
          <w:lang w:val="en-GB"/>
        </w:rPr>
        <w:t xml:space="preserve"> </w:t>
      </w:r>
    </w:p>
    <w:p w:rsidR="0037604E" w:rsidRDefault="0037604E" w:rsidP="002717D9">
      <w:pPr>
        <w:numPr>
          <w:ilvl w:val="0"/>
          <w:numId w:val="6"/>
        </w:numPr>
        <w:spacing w:after="0" w:line="300" w:lineRule="auto"/>
        <w:jc w:val="both"/>
        <w:rPr>
          <w:rFonts w:asciiTheme="majorHAnsi" w:hAnsiTheme="majorHAnsi"/>
          <w:sz w:val="24"/>
          <w:szCs w:val="24"/>
          <w:lang w:val="en-GB"/>
        </w:rPr>
      </w:pPr>
      <w:r w:rsidRPr="002717D9">
        <w:rPr>
          <w:rFonts w:asciiTheme="majorHAnsi" w:hAnsiTheme="majorHAnsi"/>
          <w:sz w:val="24"/>
          <w:szCs w:val="24"/>
          <w:lang w:val="en-GB"/>
        </w:rPr>
        <w:t xml:space="preserve">other </w:t>
      </w:r>
      <w:r w:rsidR="002717D9" w:rsidRPr="002717D9">
        <w:rPr>
          <w:rFonts w:asciiTheme="majorHAnsi" w:hAnsiTheme="majorHAnsi"/>
          <w:sz w:val="24"/>
          <w:szCs w:val="24"/>
          <w:lang w:val="en-GB"/>
        </w:rPr>
        <w:t xml:space="preserve">operating </w:t>
      </w:r>
      <w:r w:rsidRPr="002717D9">
        <w:rPr>
          <w:rFonts w:asciiTheme="majorHAnsi" w:hAnsiTheme="majorHAnsi"/>
          <w:sz w:val="24"/>
          <w:szCs w:val="24"/>
          <w:lang w:val="en-GB"/>
        </w:rPr>
        <w:t xml:space="preserve">expenses: RON </w:t>
      </w:r>
      <w:r w:rsidR="002717D9" w:rsidRPr="002717D9">
        <w:rPr>
          <w:rFonts w:ascii="Cambria" w:eastAsia="Calibri" w:hAnsi="Cambria" w:cs="Times New Roman"/>
          <w:sz w:val="24"/>
          <w:szCs w:val="24"/>
          <w:lang w:val="en-GB" w:eastAsia="en-US"/>
        </w:rPr>
        <w:t xml:space="preserve">10.559 </w:t>
      </w:r>
      <w:r w:rsidRPr="002717D9">
        <w:rPr>
          <w:rFonts w:asciiTheme="majorHAnsi" w:hAnsiTheme="majorHAnsi"/>
          <w:sz w:val="24"/>
          <w:szCs w:val="24"/>
          <w:lang w:val="en-GB"/>
        </w:rPr>
        <w:t xml:space="preserve">thousand; </w:t>
      </w:r>
    </w:p>
    <w:p w:rsidR="00A74740" w:rsidRPr="002717D9" w:rsidRDefault="00A74740" w:rsidP="00A74740">
      <w:pPr>
        <w:numPr>
          <w:ilvl w:val="0"/>
          <w:numId w:val="6"/>
        </w:numPr>
        <w:spacing w:after="0" w:line="300" w:lineRule="auto"/>
        <w:jc w:val="both"/>
        <w:rPr>
          <w:rFonts w:asciiTheme="majorHAnsi" w:hAnsiTheme="majorHAnsi"/>
          <w:sz w:val="24"/>
          <w:szCs w:val="24"/>
          <w:lang w:val="en-GB"/>
        </w:rPr>
      </w:pPr>
      <w:r>
        <w:rPr>
          <w:rFonts w:asciiTheme="majorHAnsi" w:hAnsiTheme="majorHAnsi"/>
          <w:sz w:val="24"/>
          <w:szCs w:val="24"/>
          <w:lang w:val="en-GB"/>
        </w:rPr>
        <w:t xml:space="preserve">expenses with auxiliary materials and other materials: </w:t>
      </w:r>
      <w:r w:rsidRPr="002717D9">
        <w:rPr>
          <w:rFonts w:asciiTheme="majorHAnsi" w:hAnsiTheme="majorHAnsi"/>
          <w:sz w:val="24"/>
          <w:szCs w:val="24"/>
          <w:lang w:val="en-GB"/>
        </w:rPr>
        <w:t>RON</w:t>
      </w:r>
      <w:r>
        <w:rPr>
          <w:rFonts w:asciiTheme="majorHAnsi" w:hAnsiTheme="majorHAnsi"/>
          <w:sz w:val="24"/>
          <w:szCs w:val="24"/>
          <w:lang w:val="en-GB"/>
        </w:rPr>
        <w:t xml:space="preserve"> </w:t>
      </w:r>
      <w:r w:rsidRPr="00A74740">
        <w:rPr>
          <w:rFonts w:asciiTheme="majorHAnsi" w:hAnsiTheme="majorHAnsi"/>
          <w:sz w:val="24"/>
          <w:szCs w:val="24"/>
          <w:lang w:val="en-GB"/>
        </w:rPr>
        <w:t>1.786</w:t>
      </w:r>
      <w:r>
        <w:rPr>
          <w:rFonts w:asciiTheme="majorHAnsi" w:hAnsiTheme="majorHAnsi"/>
          <w:sz w:val="24"/>
          <w:szCs w:val="24"/>
          <w:lang w:val="en-GB"/>
        </w:rPr>
        <w:t xml:space="preserve"> </w:t>
      </w:r>
      <w:r w:rsidRPr="002717D9">
        <w:rPr>
          <w:rFonts w:asciiTheme="majorHAnsi" w:hAnsiTheme="majorHAnsi"/>
          <w:sz w:val="24"/>
          <w:szCs w:val="24"/>
          <w:lang w:val="en-GB"/>
        </w:rPr>
        <w:t>thousand;</w:t>
      </w:r>
      <w:r>
        <w:rPr>
          <w:rFonts w:asciiTheme="majorHAnsi" w:hAnsiTheme="majorHAnsi"/>
          <w:sz w:val="24"/>
          <w:szCs w:val="24"/>
          <w:lang w:val="en-GB"/>
        </w:rPr>
        <w:t xml:space="preserve"> </w:t>
      </w:r>
    </w:p>
    <w:p w:rsidR="0037604E" w:rsidRPr="0037604E" w:rsidRDefault="0037604E" w:rsidP="0037604E">
      <w:pPr>
        <w:shd w:val="clear" w:color="auto" w:fill="FFFFFF"/>
        <w:spacing w:after="0" w:line="240" w:lineRule="auto"/>
        <w:ind w:firstLine="0"/>
        <w:jc w:val="both"/>
        <w:rPr>
          <w:rFonts w:ascii="Cambria" w:eastAsia="Times New Roman" w:hAnsi="Cambria" w:cs="Times New Roman"/>
          <w:b/>
          <w:i/>
          <w:color w:val="FF0000"/>
          <w:sz w:val="24"/>
          <w:szCs w:val="24"/>
          <w:lang w:val="en-GB" w:eastAsia="ro-RO"/>
        </w:rPr>
      </w:pPr>
    </w:p>
    <w:p w:rsidR="0037604E" w:rsidRPr="00A74740" w:rsidRDefault="0037604E" w:rsidP="0037604E">
      <w:pPr>
        <w:spacing w:line="300" w:lineRule="auto"/>
        <w:ind w:firstLine="0"/>
        <w:jc w:val="both"/>
        <w:rPr>
          <w:rFonts w:asciiTheme="majorHAnsi" w:eastAsia="Calibri" w:hAnsiTheme="majorHAnsi"/>
          <w:sz w:val="24"/>
          <w:szCs w:val="24"/>
          <w:lang w:val="en-GB"/>
        </w:rPr>
      </w:pPr>
      <w:r w:rsidRPr="00A74740">
        <w:rPr>
          <w:rFonts w:asciiTheme="majorHAnsi" w:eastAsia="Calibri" w:hAnsiTheme="majorHAnsi"/>
          <w:b/>
          <w:sz w:val="24"/>
          <w:szCs w:val="24"/>
          <w:lang w:val="en-GB"/>
        </w:rPr>
        <w:t xml:space="preserve">The financial costs </w:t>
      </w:r>
      <w:r w:rsidR="00A74740">
        <w:rPr>
          <w:rFonts w:asciiTheme="majorHAnsi" w:eastAsia="Calibri" w:hAnsiTheme="majorHAnsi"/>
          <w:sz w:val="24"/>
          <w:szCs w:val="24"/>
          <w:lang w:val="en-GB"/>
        </w:rPr>
        <w:t>de</w:t>
      </w:r>
      <w:r w:rsidRPr="00A74740">
        <w:rPr>
          <w:rFonts w:asciiTheme="majorHAnsi" w:eastAsia="Calibri" w:hAnsiTheme="majorHAnsi"/>
          <w:sz w:val="24"/>
          <w:szCs w:val="24"/>
          <w:lang w:val="en-GB"/>
        </w:rPr>
        <w:t xml:space="preserve">creased by </w:t>
      </w:r>
      <w:r w:rsidRPr="00A74740">
        <w:rPr>
          <w:rFonts w:asciiTheme="majorHAnsi" w:eastAsia="Calibri" w:hAnsiTheme="majorHAnsi"/>
          <w:b/>
          <w:sz w:val="24"/>
          <w:szCs w:val="24"/>
          <w:lang w:val="en-GB"/>
        </w:rPr>
        <w:t>RON</w:t>
      </w:r>
      <w:r w:rsidRPr="00A74740">
        <w:rPr>
          <w:rFonts w:asciiTheme="majorHAnsi" w:eastAsia="Calibri" w:hAnsiTheme="majorHAnsi"/>
          <w:sz w:val="24"/>
          <w:szCs w:val="24"/>
          <w:lang w:val="en-GB"/>
        </w:rPr>
        <w:t xml:space="preserve"> </w:t>
      </w:r>
      <w:r w:rsidR="00A74740" w:rsidRPr="00A74740">
        <w:rPr>
          <w:rFonts w:asciiTheme="majorHAnsi" w:hAnsiTheme="majorHAnsi"/>
          <w:b/>
          <w:sz w:val="24"/>
          <w:szCs w:val="24"/>
          <w:lang w:val="en-GB"/>
        </w:rPr>
        <w:t xml:space="preserve">12.631 </w:t>
      </w:r>
      <w:r w:rsidRPr="00A74740">
        <w:rPr>
          <w:rFonts w:asciiTheme="majorHAnsi" w:eastAsia="Calibri" w:hAnsiTheme="majorHAnsi"/>
          <w:b/>
          <w:sz w:val="24"/>
          <w:szCs w:val="24"/>
          <w:lang w:val="en-GB"/>
        </w:rPr>
        <w:t>thousand</w:t>
      </w:r>
      <w:r w:rsidRPr="00A74740">
        <w:rPr>
          <w:rFonts w:asciiTheme="majorHAnsi" w:hAnsiTheme="majorHAnsi"/>
          <w:sz w:val="24"/>
          <w:szCs w:val="24"/>
          <w:lang w:val="en-GB"/>
        </w:rPr>
        <w:t xml:space="preserve"> </w:t>
      </w:r>
      <w:r w:rsidRPr="00A74740">
        <w:rPr>
          <w:rFonts w:asciiTheme="majorHAnsi" w:eastAsia="Calibri" w:hAnsiTheme="majorHAnsi"/>
          <w:sz w:val="24"/>
          <w:szCs w:val="24"/>
          <w:lang w:val="en-GB"/>
        </w:rPr>
        <w:t>based on the foreign</w:t>
      </w:r>
      <w:r w:rsidR="00A74740">
        <w:rPr>
          <w:rFonts w:asciiTheme="majorHAnsi" w:eastAsia="Calibri" w:hAnsiTheme="majorHAnsi"/>
          <w:sz w:val="24"/>
          <w:szCs w:val="24"/>
          <w:lang w:val="en-GB"/>
        </w:rPr>
        <w:t xml:space="preserve"> currency</w:t>
      </w:r>
      <w:r w:rsidRPr="00A74740">
        <w:rPr>
          <w:rFonts w:asciiTheme="majorHAnsi" w:eastAsia="Calibri" w:hAnsiTheme="majorHAnsi"/>
          <w:sz w:val="24"/>
          <w:szCs w:val="24"/>
          <w:lang w:val="en-GB"/>
        </w:rPr>
        <w:t xml:space="preserve"> </w:t>
      </w:r>
      <w:r w:rsidR="00A74740">
        <w:rPr>
          <w:rFonts w:asciiTheme="majorHAnsi" w:eastAsia="Calibri" w:hAnsiTheme="majorHAnsi"/>
          <w:sz w:val="24"/>
          <w:szCs w:val="24"/>
          <w:lang w:val="en-GB"/>
        </w:rPr>
        <w:t>exchange differences</w:t>
      </w:r>
      <w:r w:rsidRPr="00A74740">
        <w:rPr>
          <w:rFonts w:asciiTheme="majorHAnsi" w:eastAsia="Calibri" w:hAnsiTheme="majorHAnsi"/>
          <w:sz w:val="24"/>
          <w:szCs w:val="24"/>
          <w:lang w:val="en-GB"/>
        </w:rPr>
        <w:t>.</w:t>
      </w:r>
    </w:p>
    <w:p w:rsidR="0037604E" w:rsidRPr="00A74740" w:rsidRDefault="0037604E" w:rsidP="0037604E">
      <w:pPr>
        <w:spacing w:line="300" w:lineRule="auto"/>
        <w:ind w:firstLine="0"/>
        <w:jc w:val="both"/>
        <w:rPr>
          <w:rFonts w:asciiTheme="majorHAnsi" w:eastAsia="Calibri" w:hAnsiTheme="majorHAnsi"/>
          <w:sz w:val="24"/>
          <w:szCs w:val="24"/>
          <w:lang w:val="en-GB"/>
        </w:rPr>
      </w:pPr>
      <w:r w:rsidRPr="00A74740">
        <w:rPr>
          <w:rFonts w:asciiTheme="majorHAnsi" w:hAnsiTheme="majorHAnsi"/>
          <w:b/>
          <w:sz w:val="24"/>
          <w:szCs w:val="24"/>
          <w:lang w:val="en-GB"/>
        </w:rPr>
        <w:t>Compared to</w:t>
      </w:r>
      <w:r w:rsidR="00A74740">
        <w:rPr>
          <w:rFonts w:asciiTheme="majorHAnsi" w:hAnsiTheme="majorHAnsi"/>
          <w:b/>
          <w:sz w:val="24"/>
          <w:szCs w:val="24"/>
          <w:lang w:val="en-GB"/>
        </w:rPr>
        <w:t xml:space="preserve"> the achievements during 2015</w:t>
      </w:r>
      <w:r w:rsidRPr="00A74740">
        <w:rPr>
          <w:rFonts w:asciiTheme="majorHAnsi" w:hAnsiTheme="majorHAnsi"/>
          <w:b/>
          <w:sz w:val="24"/>
          <w:szCs w:val="24"/>
          <w:lang w:val="en-GB"/>
        </w:rPr>
        <w:t xml:space="preserve"> </w:t>
      </w:r>
      <w:r w:rsidRPr="00A74740">
        <w:rPr>
          <w:rFonts w:asciiTheme="majorHAnsi" w:eastAsia="Calibri" w:hAnsiTheme="majorHAnsi"/>
          <w:b/>
          <w:sz w:val="24"/>
          <w:szCs w:val="24"/>
          <w:lang w:val="en-GB"/>
        </w:rPr>
        <w:t>the gross profit achieved for</w:t>
      </w:r>
      <w:r w:rsidR="00A74740">
        <w:rPr>
          <w:rFonts w:asciiTheme="majorHAnsi" w:hAnsiTheme="majorHAnsi"/>
          <w:b/>
          <w:sz w:val="24"/>
          <w:szCs w:val="24"/>
          <w:lang w:val="en-GB"/>
        </w:rPr>
        <w:t xml:space="preserve"> 2016</w:t>
      </w:r>
      <w:r w:rsidRPr="00A74740">
        <w:rPr>
          <w:rFonts w:asciiTheme="majorHAnsi" w:hAnsiTheme="majorHAnsi"/>
          <w:b/>
          <w:sz w:val="24"/>
          <w:szCs w:val="24"/>
          <w:lang w:val="en-GB"/>
        </w:rPr>
        <w:t xml:space="preserve"> is lower by 1</w:t>
      </w:r>
      <w:r w:rsidR="00A74740">
        <w:rPr>
          <w:rFonts w:asciiTheme="majorHAnsi" w:hAnsiTheme="majorHAnsi"/>
          <w:b/>
          <w:sz w:val="24"/>
          <w:szCs w:val="24"/>
          <w:lang w:val="en-GB"/>
        </w:rPr>
        <w:t>8</w:t>
      </w:r>
      <w:r w:rsidRPr="00A74740">
        <w:rPr>
          <w:rFonts w:asciiTheme="majorHAnsi" w:hAnsiTheme="majorHAnsi"/>
          <w:b/>
          <w:sz w:val="24"/>
          <w:szCs w:val="24"/>
          <w:lang w:val="en-GB"/>
        </w:rPr>
        <w:t xml:space="preserve">%, meaning by RON </w:t>
      </w:r>
      <w:r w:rsidR="00A74740" w:rsidRPr="00A74740">
        <w:rPr>
          <w:rFonts w:asciiTheme="majorHAnsi" w:eastAsia="Calibri" w:hAnsiTheme="majorHAnsi" w:cs="Times New Roman"/>
          <w:b/>
          <w:sz w:val="24"/>
          <w:szCs w:val="24"/>
          <w:lang w:val="en-GB" w:eastAsia="en-US"/>
        </w:rPr>
        <w:t xml:space="preserve">106.874 </w:t>
      </w:r>
      <w:r w:rsidRPr="00A74740">
        <w:rPr>
          <w:rFonts w:asciiTheme="majorHAnsi" w:hAnsiTheme="majorHAnsi"/>
          <w:b/>
          <w:sz w:val="24"/>
          <w:szCs w:val="24"/>
          <w:lang w:val="en-GB"/>
        </w:rPr>
        <w:t>thousand.</w:t>
      </w:r>
    </w:p>
    <w:p w:rsidR="0037604E" w:rsidRPr="0037604E" w:rsidRDefault="0037604E" w:rsidP="0037604E">
      <w:pPr>
        <w:shd w:val="clear" w:color="auto" w:fill="D6E0F4"/>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2016 achievements versus 2016 budget</w:t>
      </w:r>
    </w:p>
    <w:p w:rsidR="0037604E" w:rsidRPr="0037604E" w:rsidRDefault="0037604E" w:rsidP="0037604E">
      <w:pPr>
        <w:shd w:val="clear" w:color="auto" w:fill="FFFFFF"/>
        <w:spacing w:after="0" w:line="240" w:lineRule="auto"/>
        <w:ind w:firstLine="0"/>
        <w:jc w:val="both"/>
        <w:rPr>
          <w:rFonts w:ascii="Cambria" w:eastAsia="Times New Roman" w:hAnsi="Cambria" w:cs="Times New Roman"/>
          <w:b/>
          <w:i/>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 xml:space="preserve">The main economic and financial indicators achieved in </w:t>
      </w:r>
      <w:r w:rsidRPr="0037604E">
        <w:rPr>
          <w:rFonts w:ascii="Cambria" w:eastAsia="Times New Roman" w:hAnsi="Cambria" w:cs="Times New Roman"/>
          <w:sz w:val="24"/>
          <w:szCs w:val="24"/>
          <w:lang w:val="en-GB" w:eastAsia="ro-RO"/>
        </w:rPr>
        <w:t xml:space="preserve">2016, </w:t>
      </w:r>
      <w:r w:rsidRPr="0037604E">
        <w:rPr>
          <w:rFonts w:ascii="Cambria" w:eastAsia="Times New Roman" w:hAnsi="Cambria" w:cs="Cambria"/>
          <w:sz w:val="24"/>
          <w:szCs w:val="24"/>
          <w:lang w:val="en-GB"/>
        </w:rPr>
        <w:t xml:space="preserve">as compared to the provisions of the Revenue and Expense Budget (REB) </w:t>
      </w:r>
      <w:r w:rsidRPr="0037604E">
        <w:rPr>
          <w:rFonts w:ascii="Cambria" w:eastAsia="Times New Roman" w:hAnsi="Cambria" w:cs="Times New Roman"/>
          <w:sz w:val="24"/>
          <w:szCs w:val="24"/>
          <w:lang w:val="ro-RO" w:eastAsia="ro-RO"/>
        </w:rPr>
        <w:t xml:space="preserve">approved by OGMS Resolution 1/21 March 2016 </w:t>
      </w:r>
      <w:r w:rsidRPr="0037604E">
        <w:rPr>
          <w:rFonts w:ascii="Cambria" w:eastAsia="Times New Roman" w:hAnsi="Cambria" w:cs="Cambria"/>
          <w:sz w:val="24"/>
          <w:szCs w:val="24"/>
          <w:lang w:val="en-GB"/>
        </w:rPr>
        <w:t>are presented in the table below</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right"/>
        <w:rPr>
          <w:rFonts w:ascii="Cambria" w:eastAsia="Times New Roman" w:hAnsi="Cambria" w:cs="Times New Roman"/>
          <w:i/>
          <w:sz w:val="20"/>
          <w:szCs w:val="20"/>
          <w:lang w:val="en-GB" w:eastAsia="ro-RO"/>
        </w:rPr>
      </w:pPr>
      <w:r w:rsidRPr="0037604E">
        <w:rPr>
          <w:rFonts w:ascii="Cambria" w:eastAsia="Times New Roman" w:hAnsi="Cambria" w:cs="Times New Roman"/>
          <w:i/>
          <w:sz w:val="20"/>
          <w:szCs w:val="20"/>
          <w:lang w:val="en-GB" w:eastAsia="ro-RO"/>
        </w:rPr>
        <w:t>*thousands RON*</w:t>
      </w:r>
    </w:p>
    <w:tbl>
      <w:tblPr>
        <w:tblW w:w="935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733"/>
        <w:gridCol w:w="1777"/>
        <w:gridCol w:w="1816"/>
        <w:gridCol w:w="2147"/>
      </w:tblGrid>
      <w:tr w:rsidR="0037604E" w:rsidRPr="0037604E" w:rsidTr="002E0DC1">
        <w:trPr>
          <w:trHeight w:val="221"/>
          <w:tblCellSpacing w:w="20" w:type="dxa"/>
          <w:jc w:val="center"/>
        </w:trPr>
        <w:tc>
          <w:tcPr>
            <w:tcW w:w="3643" w:type="dxa"/>
            <w:shd w:val="clear" w:color="auto" w:fill="D6E0F4"/>
            <w:noWrap/>
            <w:vAlign w:val="bottom"/>
            <w:hideMark/>
          </w:tcPr>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Name</w:t>
            </w:r>
          </w:p>
        </w:tc>
        <w:tc>
          <w:tcPr>
            <w:tcW w:w="1707" w:type="dxa"/>
            <w:shd w:val="clear" w:color="auto" w:fill="D6E0F4"/>
            <w:noWrap/>
            <w:vAlign w:val="center"/>
            <w:hideMark/>
          </w:tcPr>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REB</w:t>
            </w:r>
          </w:p>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2016</w:t>
            </w:r>
          </w:p>
        </w:tc>
        <w:tc>
          <w:tcPr>
            <w:tcW w:w="1746" w:type="dxa"/>
            <w:shd w:val="clear" w:color="auto" w:fill="D6E0F4"/>
            <w:noWrap/>
            <w:vAlign w:val="center"/>
            <w:hideMark/>
          </w:tcPr>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Achieved</w:t>
            </w:r>
          </w:p>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2016</w:t>
            </w:r>
          </w:p>
        </w:tc>
        <w:tc>
          <w:tcPr>
            <w:tcW w:w="2057" w:type="dxa"/>
            <w:shd w:val="clear" w:color="auto" w:fill="D6E0F4"/>
            <w:noWrap/>
            <w:vAlign w:val="center"/>
            <w:hideMark/>
          </w:tcPr>
          <w:p w:rsidR="0037604E" w:rsidRPr="0037604E" w:rsidRDefault="0037604E" w:rsidP="0037604E">
            <w:pPr>
              <w:spacing w:after="0" w:line="240" w:lineRule="auto"/>
              <w:ind w:firstLine="0"/>
              <w:jc w:val="center"/>
              <w:rPr>
                <w:rFonts w:asciiTheme="majorHAnsi" w:eastAsia="Times New Roman" w:hAnsiTheme="majorHAnsi" w:cs="Times New Roman"/>
                <w:b/>
                <w:color w:val="000000"/>
                <w:sz w:val="18"/>
                <w:szCs w:val="18"/>
                <w:lang w:val="en-GB" w:eastAsia="en-US"/>
              </w:rPr>
            </w:pPr>
            <w:r w:rsidRPr="0037604E">
              <w:rPr>
                <w:rFonts w:asciiTheme="majorHAnsi" w:eastAsia="Times New Roman" w:hAnsiTheme="majorHAnsi" w:cs="Times New Roman"/>
                <w:b/>
                <w:color w:val="000000"/>
                <w:sz w:val="18"/>
                <w:szCs w:val="18"/>
                <w:lang w:val="en-GB" w:eastAsia="en-US"/>
              </w:rPr>
              <w:t>Modification</w:t>
            </w:r>
          </w:p>
        </w:tc>
      </w:tr>
      <w:tr w:rsidR="0037604E" w:rsidRPr="0037604E" w:rsidTr="002E0DC1">
        <w:trPr>
          <w:trHeight w:val="45"/>
          <w:tblCellSpacing w:w="20" w:type="dxa"/>
          <w:jc w:val="center"/>
        </w:trPr>
        <w:tc>
          <w:tcPr>
            <w:tcW w:w="3643" w:type="dxa"/>
            <w:shd w:val="clear" w:color="auto" w:fill="auto"/>
            <w:noWrap/>
            <w:vAlign w:val="bottom"/>
            <w:hideMark/>
          </w:tcPr>
          <w:p w:rsidR="0037604E" w:rsidRPr="0037604E" w:rsidRDefault="0037604E"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lastRenderedPageBreak/>
              <w:t>1</w:t>
            </w:r>
          </w:p>
        </w:tc>
        <w:tc>
          <w:tcPr>
            <w:tcW w:w="1707" w:type="dxa"/>
            <w:shd w:val="clear" w:color="auto" w:fill="auto"/>
            <w:noWrap/>
            <w:vAlign w:val="bottom"/>
            <w:hideMark/>
          </w:tcPr>
          <w:p w:rsidR="0037604E" w:rsidRPr="0037604E" w:rsidRDefault="0037604E"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2</w:t>
            </w:r>
          </w:p>
        </w:tc>
        <w:tc>
          <w:tcPr>
            <w:tcW w:w="1746" w:type="dxa"/>
            <w:shd w:val="clear" w:color="auto" w:fill="auto"/>
            <w:noWrap/>
            <w:vAlign w:val="bottom"/>
            <w:hideMark/>
          </w:tcPr>
          <w:p w:rsidR="0037604E" w:rsidRPr="0037604E" w:rsidRDefault="0037604E"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3</w:t>
            </w:r>
          </w:p>
        </w:tc>
        <w:tc>
          <w:tcPr>
            <w:tcW w:w="2057" w:type="dxa"/>
            <w:shd w:val="clear" w:color="auto" w:fill="auto"/>
            <w:noWrap/>
            <w:vAlign w:val="bottom"/>
            <w:hideMark/>
          </w:tcPr>
          <w:p w:rsidR="0037604E" w:rsidRPr="0037604E" w:rsidRDefault="0037604E" w:rsidP="0037604E">
            <w:pPr>
              <w:spacing w:after="0" w:line="240" w:lineRule="auto"/>
              <w:ind w:firstLine="0"/>
              <w:jc w:val="center"/>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4=3/2x100-100</w:t>
            </w:r>
          </w:p>
        </w:tc>
      </w:tr>
      <w:tr w:rsidR="002E0DC1" w:rsidRPr="0037604E" w:rsidTr="002E0DC1">
        <w:trPr>
          <w:trHeight w:val="168"/>
          <w:tblCellSpacing w:w="20" w:type="dxa"/>
          <w:jc w:val="center"/>
        </w:trPr>
        <w:tc>
          <w:tcPr>
            <w:tcW w:w="3643" w:type="dxa"/>
            <w:shd w:val="clear" w:color="auto" w:fill="auto"/>
            <w:noWrap/>
            <w:vAlign w:val="bottom"/>
            <w:hideMark/>
          </w:tcPr>
          <w:p w:rsidR="002E0DC1" w:rsidRPr="0037604E" w:rsidRDefault="002E0DC1" w:rsidP="0037604E">
            <w:pPr>
              <w:spacing w:after="0" w:line="240" w:lineRule="auto"/>
              <w:ind w:firstLine="0"/>
              <w:jc w:val="both"/>
              <w:rPr>
                <w:rFonts w:asciiTheme="majorHAnsi" w:eastAsia="Times New Roman" w:hAnsiTheme="majorHAnsi" w:cs="Times New Roman"/>
                <w:sz w:val="18"/>
                <w:szCs w:val="18"/>
                <w:lang w:val="en-GB" w:eastAsia="en-US"/>
              </w:rPr>
            </w:pPr>
            <w:r>
              <w:rPr>
                <w:rFonts w:asciiTheme="majorHAnsi" w:eastAsia="Times New Roman" w:hAnsiTheme="majorHAnsi" w:cs="Times New Roman"/>
                <w:sz w:val="18"/>
                <w:szCs w:val="18"/>
                <w:lang w:val="en-GB" w:eastAsia="en-US"/>
              </w:rPr>
              <w:t xml:space="preserve">Operating revenue from </w:t>
            </w:r>
            <w:r w:rsidRPr="0037604E">
              <w:rPr>
                <w:rFonts w:asciiTheme="majorHAnsi" w:eastAsia="Times New Roman" w:hAnsiTheme="majorHAnsi" w:cs="Times New Roman"/>
                <w:sz w:val="18"/>
                <w:szCs w:val="18"/>
                <w:lang w:val="en-GB" w:eastAsia="en-US"/>
              </w:rPr>
              <w:t xml:space="preserve"> </w:t>
            </w:r>
            <w:r>
              <w:rPr>
                <w:rFonts w:asciiTheme="majorHAnsi" w:eastAsia="Times New Roman" w:hAnsiTheme="majorHAnsi" w:cs="Times New Roman"/>
                <w:sz w:val="18"/>
                <w:szCs w:val="18"/>
                <w:lang w:val="en-GB" w:eastAsia="en-US"/>
              </w:rPr>
              <w:t xml:space="preserve">balancing and the </w:t>
            </w:r>
            <w:r w:rsidRPr="0037604E">
              <w:rPr>
                <w:rFonts w:asciiTheme="majorHAnsi" w:eastAsia="Times New Roman" w:hAnsiTheme="majorHAnsi" w:cs="Times New Roman"/>
                <w:sz w:val="18"/>
                <w:szCs w:val="18"/>
                <w:lang w:val="en-GB" w:eastAsia="en-US"/>
              </w:rPr>
              <w:t>construction activity acc. to IFRIC12</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w:t>
            </w:r>
            <w:r>
              <w:rPr>
                <w:rFonts w:ascii="Cambria" w:eastAsia="Calibri" w:hAnsi="Cambria" w:cs="Times New Roman"/>
                <w:sz w:val="18"/>
                <w:szCs w:val="18"/>
                <w:lang w:eastAsia="en-US"/>
              </w:rPr>
              <w:t>6</w:t>
            </w:r>
            <w:r w:rsidRPr="003B32EB">
              <w:rPr>
                <w:rFonts w:ascii="Cambria" w:eastAsia="Calibri" w:hAnsi="Cambria" w:cs="Times New Roman"/>
                <w:sz w:val="18"/>
                <w:szCs w:val="18"/>
                <w:lang w:eastAsia="en-US"/>
              </w:rPr>
              <w:t>3</w:t>
            </w:r>
            <w:r>
              <w:rPr>
                <w:rFonts w:ascii="Cambria" w:eastAsia="Calibri" w:hAnsi="Cambria" w:cs="Times New Roman"/>
                <w:sz w:val="18"/>
                <w:szCs w:val="18"/>
                <w:lang w:eastAsia="en-US"/>
              </w:rPr>
              <w:t>0</w:t>
            </w:r>
            <w:r w:rsidRPr="003B32EB">
              <w:rPr>
                <w:rFonts w:ascii="Cambria" w:eastAsia="Calibri" w:hAnsi="Cambria" w:cs="Times New Roman"/>
                <w:sz w:val="18"/>
                <w:szCs w:val="18"/>
                <w:lang w:eastAsia="en-US"/>
              </w:rPr>
              <w:t>.</w:t>
            </w:r>
            <w:r>
              <w:rPr>
                <w:rFonts w:ascii="Cambria" w:eastAsia="Calibri" w:hAnsi="Cambria" w:cs="Times New Roman"/>
                <w:sz w:val="18"/>
                <w:szCs w:val="18"/>
                <w:lang w:eastAsia="en-US"/>
              </w:rPr>
              <w:t>216</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1.8</w:t>
            </w:r>
            <w:r>
              <w:rPr>
                <w:rFonts w:ascii="Cambria" w:eastAsia="Calibri" w:hAnsi="Cambria" w:cs="Times New Roman"/>
                <w:sz w:val="18"/>
                <w:szCs w:val="18"/>
                <w:lang w:eastAsia="en-US"/>
              </w:rPr>
              <w:t>15</w:t>
            </w:r>
            <w:r w:rsidRPr="003B32EB">
              <w:rPr>
                <w:rFonts w:ascii="Cambria" w:eastAsia="Calibri" w:hAnsi="Cambria" w:cs="Times New Roman"/>
                <w:sz w:val="18"/>
                <w:szCs w:val="18"/>
                <w:lang w:eastAsia="en-US"/>
              </w:rPr>
              <w:t>.</w:t>
            </w:r>
            <w:r>
              <w:rPr>
                <w:rFonts w:ascii="Cambria" w:eastAsia="Calibri" w:hAnsi="Cambria" w:cs="Times New Roman"/>
                <w:sz w:val="18"/>
                <w:szCs w:val="18"/>
                <w:lang w:eastAsia="en-US"/>
              </w:rPr>
              <w:t>385</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11</w:t>
            </w:r>
            <w:r w:rsidRPr="003B32EB">
              <w:rPr>
                <w:rFonts w:ascii="Cambria" w:eastAsia="Calibri" w:hAnsi="Cambria" w:cs="Times New Roman"/>
                <w:sz w:val="18"/>
                <w:szCs w:val="18"/>
                <w:lang w:eastAsia="en-US"/>
              </w:rPr>
              <w:t>%</w:t>
            </w:r>
          </w:p>
        </w:tc>
      </w:tr>
      <w:tr w:rsidR="002E0DC1" w:rsidRPr="0037604E" w:rsidTr="002E0DC1">
        <w:trPr>
          <w:trHeight w:val="88"/>
          <w:tblCellSpacing w:w="20" w:type="dxa"/>
          <w:jc w:val="center"/>
        </w:trPr>
        <w:tc>
          <w:tcPr>
            <w:tcW w:w="3643" w:type="dxa"/>
            <w:shd w:val="clear" w:color="auto" w:fill="auto"/>
            <w:noWrap/>
            <w:vAlign w:val="center"/>
          </w:tcPr>
          <w:p w:rsidR="002E0DC1" w:rsidRPr="0037604E" w:rsidRDefault="002E0DC1" w:rsidP="0037604E">
            <w:pPr>
              <w:spacing w:after="0" w:line="240" w:lineRule="auto"/>
              <w:ind w:firstLine="0"/>
              <w:rPr>
                <w:rFonts w:asciiTheme="majorHAnsi" w:eastAsia="Times New Roman" w:hAnsiTheme="majorHAnsi" w:cs="Times New Roman"/>
                <w:sz w:val="18"/>
                <w:szCs w:val="18"/>
                <w:lang w:val="en-GB" w:eastAsia="en-US"/>
              </w:rPr>
            </w:pPr>
            <w:r>
              <w:rPr>
                <w:rFonts w:asciiTheme="majorHAnsi" w:eastAsia="Times New Roman" w:hAnsiTheme="majorHAnsi" w:cs="Times New Roman"/>
                <w:sz w:val="18"/>
                <w:szCs w:val="18"/>
                <w:lang w:val="en-GB" w:eastAsia="en-US"/>
              </w:rPr>
              <w:t>Revenue from the balancing activity</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92.943</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57.404</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-38%</w:t>
            </w:r>
          </w:p>
        </w:tc>
      </w:tr>
      <w:tr w:rsidR="002E0DC1" w:rsidRPr="0037604E" w:rsidTr="002E0DC1">
        <w:trPr>
          <w:trHeight w:val="88"/>
          <w:tblCellSpacing w:w="20" w:type="dxa"/>
          <w:jc w:val="center"/>
        </w:trPr>
        <w:tc>
          <w:tcPr>
            <w:tcW w:w="3643" w:type="dxa"/>
            <w:shd w:val="clear" w:color="auto" w:fill="auto"/>
            <w:noWrap/>
            <w:vAlign w:val="center"/>
          </w:tcPr>
          <w:p w:rsidR="002E0DC1" w:rsidRPr="0037604E" w:rsidRDefault="002E0DC1"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Revenue from the building activity acc. to IFRIC12</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0</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118.504</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X</w:t>
            </w:r>
          </w:p>
        </w:tc>
      </w:tr>
      <w:tr w:rsidR="002E0DC1" w:rsidRPr="0037604E" w:rsidTr="002E0DC1">
        <w:trPr>
          <w:trHeight w:val="88"/>
          <w:tblCellSpacing w:w="20" w:type="dxa"/>
          <w:jc w:val="center"/>
        </w:trPr>
        <w:tc>
          <w:tcPr>
            <w:tcW w:w="3643" w:type="dxa"/>
            <w:shd w:val="clear" w:color="auto" w:fill="auto"/>
            <w:noWrap/>
            <w:vAlign w:val="bottom"/>
            <w:hideMark/>
          </w:tcPr>
          <w:p w:rsidR="002E0DC1" w:rsidRPr="0037604E" w:rsidRDefault="002E0DC1" w:rsidP="0037604E">
            <w:pPr>
              <w:spacing w:after="0" w:line="240" w:lineRule="auto"/>
              <w:ind w:firstLine="0"/>
              <w:jc w:val="both"/>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revenue</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28.852</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32.231</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12%</w:t>
            </w:r>
          </w:p>
        </w:tc>
      </w:tr>
      <w:tr w:rsidR="002E0DC1" w:rsidRPr="0037604E" w:rsidTr="002E0DC1">
        <w:trPr>
          <w:trHeight w:val="45"/>
          <w:tblCellSpacing w:w="20" w:type="dxa"/>
          <w:jc w:val="center"/>
        </w:trPr>
        <w:tc>
          <w:tcPr>
            <w:tcW w:w="3643" w:type="dxa"/>
            <w:shd w:val="clear" w:color="auto" w:fill="D6E0F4"/>
            <w:noWrap/>
            <w:vAlign w:val="bottom"/>
          </w:tcPr>
          <w:p w:rsidR="002E0DC1" w:rsidRPr="0037604E" w:rsidRDefault="002E0DC1" w:rsidP="0037604E">
            <w:pPr>
              <w:spacing w:after="0" w:line="240" w:lineRule="auto"/>
              <w:ind w:firstLine="0"/>
              <w:jc w:val="both"/>
              <w:rPr>
                <w:rFonts w:asciiTheme="majorHAnsi" w:eastAsia="Times New Roman" w:hAnsiTheme="majorHAnsi" w:cs="Times New Roman"/>
                <w:b/>
                <w:bCs/>
                <w:sz w:val="18"/>
                <w:szCs w:val="18"/>
                <w:lang w:val="en-GB" w:eastAsia="en-US"/>
              </w:rPr>
            </w:pPr>
          </w:p>
        </w:tc>
        <w:tc>
          <w:tcPr>
            <w:tcW w:w="1707" w:type="dxa"/>
            <w:shd w:val="clear" w:color="auto" w:fill="D6E0F4"/>
            <w:noWrap/>
            <w:vAlign w:val="center"/>
          </w:tcPr>
          <w:p w:rsidR="002E0DC1" w:rsidRPr="003B32EB" w:rsidRDefault="002E0DC1" w:rsidP="00A64BC6">
            <w:pPr>
              <w:spacing w:after="0" w:line="240" w:lineRule="auto"/>
              <w:ind w:firstLine="0"/>
              <w:jc w:val="right"/>
              <w:rPr>
                <w:rFonts w:ascii="Cambria" w:eastAsia="Calibri" w:hAnsi="Cambria" w:cs="Times New Roman"/>
                <w:b/>
                <w:sz w:val="18"/>
                <w:szCs w:val="18"/>
                <w:lang w:eastAsia="en-US"/>
              </w:rPr>
            </w:pPr>
          </w:p>
        </w:tc>
        <w:tc>
          <w:tcPr>
            <w:tcW w:w="1746" w:type="dxa"/>
            <w:shd w:val="clear" w:color="auto" w:fill="D6E0F4"/>
            <w:noWrap/>
            <w:vAlign w:val="center"/>
          </w:tcPr>
          <w:p w:rsidR="002E0DC1" w:rsidRPr="003B32EB" w:rsidRDefault="002E0DC1" w:rsidP="00A64BC6">
            <w:pPr>
              <w:spacing w:after="0" w:line="240" w:lineRule="auto"/>
              <w:ind w:firstLine="0"/>
              <w:jc w:val="right"/>
              <w:rPr>
                <w:rFonts w:ascii="Cambria" w:eastAsia="Calibri" w:hAnsi="Cambria" w:cs="Times New Roman"/>
                <w:b/>
                <w:sz w:val="10"/>
                <w:szCs w:val="10"/>
                <w:lang w:eastAsia="en-US"/>
              </w:rPr>
            </w:pPr>
          </w:p>
        </w:tc>
        <w:tc>
          <w:tcPr>
            <w:tcW w:w="2057" w:type="dxa"/>
            <w:shd w:val="clear" w:color="auto" w:fill="D6E0F4"/>
            <w:noWrap/>
            <w:vAlign w:val="center"/>
          </w:tcPr>
          <w:p w:rsidR="002E0DC1" w:rsidRPr="003B32EB" w:rsidRDefault="002E0DC1" w:rsidP="00A64BC6">
            <w:pPr>
              <w:spacing w:after="0" w:line="240" w:lineRule="auto"/>
              <w:ind w:firstLine="0"/>
              <w:jc w:val="right"/>
              <w:rPr>
                <w:rFonts w:ascii="Cambria" w:eastAsia="Calibri" w:hAnsi="Cambria" w:cs="Times New Roman"/>
                <w:b/>
                <w:sz w:val="18"/>
                <w:szCs w:val="18"/>
                <w:lang w:eastAsia="en-US"/>
              </w:rPr>
            </w:pPr>
          </w:p>
        </w:tc>
      </w:tr>
      <w:tr w:rsidR="002E0DC1" w:rsidRPr="0037604E" w:rsidTr="002E0DC1">
        <w:trPr>
          <w:trHeight w:val="70"/>
          <w:tblCellSpacing w:w="20" w:type="dxa"/>
          <w:jc w:val="center"/>
        </w:trPr>
        <w:tc>
          <w:tcPr>
            <w:tcW w:w="3643" w:type="dxa"/>
            <w:shd w:val="clear" w:color="auto" w:fill="auto"/>
            <w:noWrap/>
            <w:vAlign w:val="bottom"/>
            <w:hideMark/>
          </w:tcPr>
          <w:p w:rsidR="002E0DC1" w:rsidRPr="0037604E" w:rsidRDefault="002E0DC1" w:rsidP="00E84EAB">
            <w:pPr>
              <w:spacing w:after="0" w:line="240" w:lineRule="auto"/>
              <w:ind w:firstLine="0"/>
              <w:jc w:val="both"/>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xml:space="preserve">Operating expense before </w:t>
            </w:r>
            <w:r>
              <w:rPr>
                <w:rFonts w:asciiTheme="majorHAnsi" w:eastAsia="Times New Roman" w:hAnsiTheme="majorHAnsi" w:cs="Times New Roman"/>
                <w:sz w:val="18"/>
                <w:szCs w:val="18"/>
                <w:lang w:val="en-GB" w:eastAsia="en-US"/>
              </w:rPr>
              <w:t>banancing and the</w:t>
            </w:r>
            <w:r w:rsidRPr="0037604E">
              <w:rPr>
                <w:rFonts w:asciiTheme="majorHAnsi" w:eastAsia="Times New Roman" w:hAnsiTheme="majorHAnsi" w:cs="Times New Roman"/>
                <w:sz w:val="18"/>
                <w:szCs w:val="18"/>
                <w:lang w:val="en-GB" w:eastAsia="en-US"/>
              </w:rPr>
              <w:t xml:space="preserve"> construction activity acc. to IFRIC12</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w:t>
            </w:r>
            <w:r>
              <w:rPr>
                <w:rFonts w:ascii="Cambria" w:eastAsia="Calibri" w:hAnsi="Cambria" w:cs="Times New Roman"/>
                <w:sz w:val="18"/>
                <w:szCs w:val="18"/>
                <w:lang w:eastAsia="en-US"/>
              </w:rPr>
              <w:t>1</w:t>
            </w:r>
            <w:r w:rsidRPr="003B32EB">
              <w:rPr>
                <w:rFonts w:ascii="Cambria" w:eastAsia="Calibri" w:hAnsi="Cambria" w:cs="Times New Roman"/>
                <w:sz w:val="18"/>
                <w:szCs w:val="18"/>
                <w:lang w:eastAsia="en-US"/>
              </w:rPr>
              <w:t>8</w:t>
            </w:r>
            <w:r>
              <w:rPr>
                <w:rFonts w:ascii="Cambria" w:eastAsia="Calibri" w:hAnsi="Cambria" w:cs="Times New Roman"/>
                <w:sz w:val="18"/>
                <w:szCs w:val="18"/>
                <w:lang w:eastAsia="en-US"/>
              </w:rPr>
              <w:t>5</w:t>
            </w:r>
            <w:r w:rsidRPr="003B32EB">
              <w:rPr>
                <w:rFonts w:ascii="Cambria" w:eastAsia="Calibri" w:hAnsi="Cambria" w:cs="Times New Roman"/>
                <w:sz w:val="18"/>
                <w:szCs w:val="18"/>
                <w:lang w:eastAsia="en-US"/>
              </w:rPr>
              <w:t>.</w:t>
            </w:r>
            <w:r>
              <w:rPr>
                <w:rFonts w:ascii="Cambria" w:eastAsia="Calibri" w:hAnsi="Cambria" w:cs="Times New Roman"/>
                <w:sz w:val="18"/>
                <w:szCs w:val="18"/>
                <w:lang w:eastAsia="en-US"/>
              </w:rPr>
              <w:t>639</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1.1</w:t>
            </w:r>
            <w:r>
              <w:rPr>
                <w:rFonts w:ascii="Cambria" w:eastAsia="Calibri" w:hAnsi="Cambria" w:cs="Times New Roman"/>
                <w:sz w:val="18"/>
                <w:szCs w:val="18"/>
                <w:lang w:eastAsia="en-US"/>
              </w:rPr>
              <w:t>25</w:t>
            </w:r>
            <w:r w:rsidRPr="003B32EB">
              <w:rPr>
                <w:rFonts w:ascii="Cambria" w:eastAsia="Calibri" w:hAnsi="Cambria" w:cs="Times New Roman"/>
                <w:sz w:val="18"/>
                <w:szCs w:val="18"/>
                <w:lang w:eastAsia="en-US"/>
              </w:rPr>
              <w:t>.</w:t>
            </w:r>
            <w:r>
              <w:rPr>
                <w:rFonts w:ascii="Cambria" w:eastAsia="Calibri" w:hAnsi="Cambria" w:cs="Times New Roman"/>
                <w:sz w:val="18"/>
                <w:szCs w:val="18"/>
                <w:lang w:eastAsia="en-US"/>
              </w:rPr>
              <w:t>268</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w:t>
            </w:r>
            <w:r>
              <w:rPr>
                <w:rFonts w:ascii="Cambria" w:eastAsia="Calibri" w:hAnsi="Cambria" w:cs="Times New Roman"/>
                <w:sz w:val="18"/>
                <w:szCs w:val="18"/>
                <w:lang w:eastAsia="en-US"/>
              </w:rPr>
              <w:t>5</w:t>
            </w:r>
            <w:r w:rsidRPr="003B32EB">
              <w:rPr>
                <w:rFonts w:ascii="Cambria" w:eastAsia="Calibri" w:hAnsi="Cambria" w:cs="Times New Roman"/>
                <w:sz w:val="18"/>
                <w:szCs w:val="18"/>
                <w:lang w:eastAsia="en-US"/>
              </w:rPr>
              <w:t>%</w:t>
            </w:r>
          </w:p>
        </w:tc>
      </w:tr>
      <w:tr w:rsidR="002E0DC1" w:rsidRPr="0037604E" w:rsidTr="002E0DC1">
        <w:trPr>
          <w:trHeight w:val="45"/>
          <w:tblCellSpacing w:w="20" w:type="dxa"/>
          <w:jc w:val="center"/>
        </w:trPr>
        <w:tc>
          <w:tcPr>
            <w:tcW w:w="3643" w:type="dxa"/>
            <w:shd w:val="clear" w:color="auto" w:fill="auto"/>
            <w:noWrap/>
            <w:vAlign w:val="center"/>
          </w:tcPr>
          <w:p w:rsidR="002E0DC1" w:rsidRPr="0037604E" w:rsidRDefault="00BF70ED" w:rsidP="0037604E">
            <w:pPr>
              <w:spacing w:after="0" w:line="240" w:lineRule="auto"/>
              <w:ind w:firstLine="0"/>
              <w:rPr>
                <w:rFonts w:asciiTheme="majorHAnsi" w:eastAsia="Times New Roman" w:hAnsiTheme="majorHAnsi" w:cs="Times New Roman"/>
                <w:sz w:val="18"/>
                <w:szCs w:val="18"/>
                <w:lang w:val="en-GB" w:eastAsia="en-US"/>
              </w:rPr>
            </w:pPr>
            <w:r>
              <w:rPr>
                <w:rFonts w:asciiTheme="majorHAnsi" w:eastAsia="Times New Roman" w:hAnsiTheme="majorHAnsi" w:cs="Times New Roman"/>
                <w:sz w:val="18"/>
                <w:szCs w:val="18"/>
                <w:lang w:val="en-GB" w:eastAsia="en-US"/>
              </w:rPr>
              <w:t>Expenses</w:t>
            </w:r>
            <w:r w:rsidR="002E0DC1">
              <w:rPr>
                <w:rFonts w:asciiTheme="majorHAnsi" w:eastAsia="Times New Roman" w:hAnsiTheme="majorHAnsi" w:cs="Times New Roman"/>
                <w:sz w:val="18"/>
                <w:szCs w:val="18"/>
                <w:lang w:val="en-GB" w:eastAsia="en-US"/>
              </w:rPr>
              <w:t xml:space="preserve"> with the balancing gas</w:t>
            </w:r>
          </w:p>
        </w:tc>
        <w:tc>
          <w:tcPr>
            <w:tcW w:w="170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92.943</w:t>
            </w:r>
          </w:p>
        </w:tc>
        <w:tc>
          <w:tcPr>
            <w:tcW w:w="1746"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56.093</w:t>
            </w:r>
          </w:p>
        </w:tc>
        <w:tc>
          <w:tcPr>
            <w:tcW w:w="2057" w:type="dxa"/>
            <w:shd w:val="clear" w:color="auto" w:fill="auto"/>
            <w:noWrap/>
            <w:vAlign w:val="center"/>
          </w:tcPr>
          <w:p w:rsidR="002E0DC1" w:rsidRPr="003B32EB" w:rsidRDefault="002E0DC1" w:rsidP="00A64BC6">
            <w:pPr>
              <w:spacing w:after="0" w:line="240" w:lineRule="auto"/>
              <w:ind w:firstLine="0"/>
              <w:jc w:val="right"/>
              <w:rPr>
                <w:rFonts w:ascii="Cambria" w:eastAsia="Calibri" w:hAnsi="Cambria" w:cs="Times New Roman"/>
                <w:sz w:val="18"/>
                <w:szCs w:val="18"/>
                <w:lang w:eastAsia="en-US"/>
              </w:rPr>
            </w:pPr>
            <w:r>
              <w:rPr>
                <w:rFonts w:ascii="Cambria" w:eastAsia="Calibri" w:hAnsi="Cambria" w:cs="Times New Roman"/>
                <w:sz w:val="18"/>
                <w:szCs w:val="18"/>
                <w:lang w:eastAsia="en-US"/>
              </w:rPr>
              <w:t>-40%</w:t>
            </w:r>
          </w:p>
        </w:tc>
      </w:tr>
      <w:tr w:rsidR="001A5B73" w:rsidRPr="0037604E" w:rsidTr="002E0DC1">
        <w:trPr>
          <w:trHeight w:val="45"/>
          <w:tblCellSpacing w:w="20" w:type="dxa"/>
          <w:jc w:val="center"/>
        </w:trPr>
        <w:tc>
          <w:tcPr>
            <w:tcW w:w="3643" w:type="dxa"/>
            <w:shd w:val="clear" w:color="auto" w:fill="auto"/>
            <w:noWrap/>
            <w:vAlign w:val="center"/>
          </w:tcPr>
          <w:p w:rsidR="001A5B73" w:rsidRPr="0037604E" w:rsidRDefault="001A5B73"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Cost of assets acc. to IFRIC12</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0</w:t>
            </w:r>
          </w:p>
        </w:tc>
        <w:tc>
          <w:tcPr>
            <w:tcW w:w="1746"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118.504</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X</w:t>
            </w:r>
          </w:p>
        </w:tc>
      </w:tr>
      <w:tr w:rsidR="001A5B73" w:rsidRPr="0037604E" w:rsidTr="002E0DC1">
        <w:trPr>
          <w:trHeight w:val="45"/>
          <w:tblCellSpacing w:w="20" w:type="dxa"/>
          <w:jc w:val="center"/>
        </w:trPr>
        <w:tc>
          <w:tcPr>
            <w:tcW w:w="3643" w:type="dxa"/>
            <w:shd w:val="clear" w:color="auto" w:fill="auto"/>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costs</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3.805</w:t>
            </w:r>
          </w:p>
        </w:tc>
        <w:tc>
          <w:tcPr>
            <w:tcW w:w="1746"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9.683</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154%</w:t>
            </w:r>
          </w:p>
        </w:tc>
      </w:tr>
      <w:tr w:rsidR="001A5B73" w:rsidRPr="0037604E" w:rsidTr="002E0DC1">
        <w:trPr>
          <w:trHeight w:val="190"/>
          <w:tblCellSpacing w:w="20" w:type="dxa"/>
          <w:jc w:val="center"/>
        </w:trPr>
        <w:tc>
          <w:tcPr>
            <w:tcW w:w="3643" w:type="dxa"/>
            <w:shd w:val="clear" w:color="auto" w:fill="D6E0F4"/>
            <w:noWrap/>
            <w:vAlign w:val="bottom"/>
          </w:tcPr>
          <w:p w:rsidR="001A5B73" w:rsidRPr="0037604E" w:rsidRDefault="001A5B73" w:rsidP="0037604E">
            <w:pPr>
              <w:spacing w:after="0" w:line="240" w:lineRule="auto"/>
              <w:ind w:firstLine="0"/>
              <w:jc w:val="both"/>
              <w:rPr>
                <w:rFonts w:asciiTheme="majorHAnsi" w:eastAsia="Times New Roman" w:hAnsiTheme="majorHAnsi" w:cs="Times New Roman"/>
                <w:b/>
                <w:bCs/>
                <w:sz w:val="18"/>
                <w:szCs w:val="18"/>
                <w:lang w:val="en-GB" w:eastAsia="en-US"/>
              </w:rPr>
            </w:pPr>
          </w:p>
        </w:tc>
        <w:tc>
          <w:tcPr>
            <w:tcW w:w="1707" w:type="dxa"/>
            <w:shd w:val="clear" w:color="auto" w:fill="D6E0F4"/>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p>
        </w:tc>
        <w:tc>
          <w:tcPr>
            <w:tcW w:w="1746" w:type="dxa"/>
            <w:shd w:val="clear" w:color="auto" w:fill="D6E0F4"/>
            <w:noWrap/>
            <w:vAlign w:val="center"/>
          </w:tcPr>
          <w:p w:rsidR="001A5B73" w:rsidRPr="003B32EB" w:rsidRDefault="001A5B73" w:rsidP="004816F8">
            <w:pPr>
              <w:spacing w:after="0" w:line="240" w:lineRule="auto"/>
              <w:ind w:firstLine="0"/>
              <w:jc w:val="right"/>
              <w:rPr>
                <w:rFonts w:ascii="Cambria" w:eastAsia="Calibri" w:hAnsi="Cambria" w:cs="Times New Roman"/>
                <w:b/>
                <w:sz w:val="10"/>
                <w:szCs w:val="10"/>
                <w:lang w:eastAsia="en-US"/>
              </w:rPr>
            </w:pPr>
          </w:p>
        </w:tc>
        <w:tc>
          <w:tcPr>
            <w:tcW w:w="2057" w:type="dxa"/>
            <w:shd w:val="clear" w:color="auto" w:fill="D6E0F4"/>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p>
        </w:tc>
      </w:tr>
      <w:tr w:rsidR="001A5B73" w:rsidRPr="0037604E" w:rsidTr="002E0DC1">
        <w:trPr>
          <w:trHeight w:val="163"/>
          <w:tblCellSpacing w:w="20" w:type="dxa"/>
          <w:jc w:val="center"/>
        </w:trPr>
        <w:tc>
          <w:tcPr>
            <w:tcW w:w="3643" w:type="dxa"/>
            <w:shd w:val="clear" w:color="auto" w:fill="auto"/>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GROSS RESULT,  of which:</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r w:rsidRPr="003B32EB">
              <w:rPr>
                <w:rFonts w:ascii="Cambria" w:eastAsia="Calibri" w:hAnsi="Cambria" w:cs="Times New Roman"/>
                <w:b/>
                <w:sz w:val="18"/>
                <w:szCs w:val="18"/>
                <w:lang w:eastAsia="en-US"/>
              </w:rPr>
              <w:t>469.625</w:t>
            </w:r>
          </w:p>
        </w:tc>
        <w:tc>
          <w:tcPr>
            <w:tcW w:w="1746"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713.975</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r w:rsidRPr="003B32EB">
              <w:rPr>
                <w:rFonts w:ascii="Cambria" w:eastAsia="Calibri" w:hAnsi="Cambria" w:cs="Times New Roman"/>
                <w:b/>
                <w:sz w:val="18"/>
                <w:szCs w:val="18"/>
                <w:lang w:eastAsia="en-US"/>
              </w:rPr>
              <w:t>52%</w:t>
            </w:r>
          </w:p>
        </w:tc>
      </w:tr>
      <w:tr w:rsidR="001A5B73" w:rsidRPr="0037604E" w:rsidTr="002E0DC1">
        <w:trPr>
          <w:trHeight w:val="208"/>
          <w:tblCellSpacing w:w="20" w:type="dxa"/>
          <w:jc w:val="center"/>
        </w:trPr>
        <w:tc>
          <w:tcPr>
            <w:tcW w:w="3643" w:type="dxa"/>
            <w:shd w:val="clear" w:color="auto" w:fill="auto"/>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i/>
                <w:iCs/>
                <w:sz w:val="18"/>
                <w:szCs w:val="18"/>
                <w:lang w:val="en-GB" w:eastAsia="en-US"/>
              </w:rPr>
            </w:pPr>
            <w:r w:rsidRPr="0037604E">
              <w:rPr>
                <w:rFonts w:asciiTheme="majorHAnsi" w:eastAsia="Times New Roman" w:hAnsiTheme="majorHAnsi" w:cs="Times New Roman"/>
                <w:i/>
                <w:iCs/>
                <w:sz w:val="18"/>
                <w:szCs w:val="18"/>
                <w:lang w:val="en-GB" w:eastAsia="en-US"/>
              </w:rPr>
              <w:t>From operation</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444.578</w:t>
            </w:r>
          </w:p>
        </w:tc>
        <w:tc>
          <w:tcPr>
            <w:tcW w:w="1746" w:type="dxa"/>
            <w:shd w:val="clear" w:color="auto" w:fill="auto"/>
            <w:noWrap/>
            <w:vAlign w:val="center"/>
          </w:tcPr>
          <w:p w:rsidR="001A5B73" w:rsidRPr="003B32EB" w:rsidRDefault="002E0DC1"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6</w:t>
            </w:r>
            <w:r>
              <w:rPr>
                <w:rFonts w:ascii="Cambria" w:eastAsia="Calibri" w:hAnsi="Cambria" w:cs="Times New Roman"/>
                <w:sz w:val="18"/>
                <w:szCs w:val="18"/>
                <w:lang w:eastAsia="en-US"/>
              </w:rPr>
              <w:t>91.427</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56%</w:t>
            </w:r>
          </w:p>
        </w:tc>
      </w:tr>
      <w:tr w:rsidR="001A5B73" w:rsidRPr="0037604E" w:rsidTr="002E0DC1">
        <w:trPr>
          <w:trHeight w:val="262"/>
          <w:tblCellSpacing w:w="20" w:type="dxa"/>
          <w:jc w:val="center"/>
        </w:trPr>
        <w:tc>
          <w:tcPr>
            <w:tcW w:w="3643" w:type="dxa"/>
            <w:shd w:val="clear" w:color="auto" w:fill="auto"/>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i/>
                <w:iCs/>
                <w:sz w:val="18"/>
                <w:szCs w:val="18"/>
                <w:lang w:val="en-GB" w:eastAsia="en-US"/>
              </w:rPr>
            </w:pPr>
            <w:r w:rsidRPr="0037604E">
              <w:rPr>
                <w:rFonts w:asciiTheme="majorHAnsi" w:eastAsia="Times New Roman" w:hAnsiTheme="majorHAnsi" w:cs="Times New Roman"/>
                <w:i/>
                <w:iCs/>
                <w:sz w:val="18"/>
                <w:szCs w:val="18"/>
                <w:lang w:val="en-GB" w:eastAsia="en-US"/>
              </w:rPr>
              <w:t>From the financial activity</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25.047</w:t>
            </w:r>
          </w:p>
        </w:tc>
        <w:tc>
          <w:tcPr>
            <w:tcW w:w="1746" w:type="dxa"/>
            <w:shd w:val="clear" w:color="auto" w:fill="auto"/>
            <w:noWrap/>
            <w:vAlign w:val="center"/>
          </w:tcPr>
          <w:p w:rsidR="001A5B73" w:rsidRPr="003B32EB" w:rsidRDefault="001A5B73" w:rsidP="004816F8">
            <w:pPr>
              <w:spacing w:after="0" w:line="240" w:lineRule="auto"/>
              <w:jc w:val="right"/>
              <w:rPr>
                <w:rFonts w:ascii="Cambria" w:eastAsia="Times New Roman" w:hAnsi="Cambria" w:cs="Arial"/>
                <w:sz w:val="18"/>
                <w:szCs w:val="18"/>
              </w:rPr>
            </w:pPr>
            <w:r w:rsidRPr="003B32EB">
              <w:rPr>
                <w:rFonts w:ascii="Cambria" w:eastAsia="Times New Roman" w:hAnsi="Cambria" w:cs="Arial"/>
                <w:sz w:val="18"/>
                <w:szCs w:val="18"/>
              </w:rPr>
              <w:t>22.547</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-10%</w:t>
            </w:r>
          </w:p>
        </w:tc>
      </w:tr>
      <w:tr w:rsidR="001A5B73" w:rsidRPr="0037604E" w:rsidTr="002E0DC1">
        <w:trPr>
          <w:trHeight w:val="208"/>
          <w:tblCellSpacing w:w="20" w:type="dxa"/>
          <w:jc w:val="center"/>
        </w:trPr>
        <w:tc>
          <w:tcPr>
            <w:tcW w:w="3643" w:type="dxa"/>
            <w:shd w:val="clear" w:color="auto" w:fill="auto"/>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Tax on profit</w:t>
            </w:r>
          </w:p>
        </w:tc>
        <w:tc>
          <w:tcPr>
            <w:tcW w:w="170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72.149</w:t>
            </w:r>
          </w:p>
        </w:tc>
        <w:tc>
          <w:tcPr>
            <w:tcW w:w="1746" w:type="dxa"/>
            <w:shd w:val="clear" w:color="auto" w:fill="auto"/>
            <w:noWrap/>
            <w:vAlign w:val="center"/>
          </w:tcPr>
          <w:p w:rsidR="001A5B73" w:rsidRPr="003B32EB" w:rsidRDefault="001A5B73" w:rsidP="004816F8">
            <w:pPr>
              <w:spacing w:after="0" w:line="240" w:lineRule="auto"/>
              <w:jc w:val="right"/>
              <w:rPr>
                <w:rFonts w:ascii="Cambria" w:eastAsia="Times New Roman" w:hAnsi="Cambria" w:cs="Arial"/>
                <w:bCs/>
                <w:sz w:val="18"/>
                <w:szCs w:val="18"/>
              </w:rPr>
            </w:pPr>
            <w:r w:rsidRPr="003B32EB">
              <w:rPr>
                <w:rFonts w:ascii="Cambria" w:eastAsia="Times New Roman" w:hAnsi="Cambria" w:cs="Arial"/>
                <w:bCs/>
                <w:sz w:val="18"/>
                <w:szCs w:val="18"/>
              </w:rPr>
              <w:t>119.410</w:t>
            </w:r>
          </w:p>
        </w:tc>
        <w:tc>
          <w:tcPr>
            <w:tcW w:w="2057" w:type="dxa"/>
            <w:shd w:val="clear" w:color="auto" w:fill="auto"/>
            <w:noWrap/>
            <w:vAlign w:val="center"/>
          </w:tcPr>
          <w:p w:rsidR="001A5B73" w:rsidRPr="003B32EB" w:rsidRDefault="001A5B73" w:rsidP="004816F8">
            <w:pPr>
              <w:spacing w:after="0" w:line="240" w:lineRule="auto"/>
              <w:ind w:firstLine="0"/>
              <w:jc w:val="right"/>
              <w:rPr>
                <w:rFonts w:ascii="Cambria" w:eastAsia="Calibri" w:hAnsi="Cambria" w:cs="Times New Roman"/>
                <w:sz w:val="18"/>
                <w:szCs w:val="18"/>
                <w:lang w:eastAsia="en-US"/>
              </w:rPr>
            </w:pPr>
            <w:r w:rsidRPr="003B32EB">
              <w:rPr>
                <w:rFonts w:ascii="Cambria" w:eastAsia="Calibri" w:hAnsi="Cambria" w:cs="Times New Roman"/>
                <w:sz w:val="18"/>
                <w:szCs w:val="18"/>
                <w:lang w:eastAsia="en-US"/>
              </w:rPr>
              <w:t>66%</w:t>
            </w:r>
          </w:p>
        </w:tc>
      </w:tr>
      <w:tr w:rsidR="001A5B73" w:rsidRPr="0037604E" w:rsidTr="002E0DC1">
        <w:trPr>
          <w:trHeight w:val="127"/>
          <w:tblCellSpacing w:w="20" w:type="dxa"/>
          <w:jc w:val="center"/>
        </w:trPr>
        <w:tc>
          <w:tcPr>
            <w:tcW w:w="3643" w:type="dxa"/>
            <w:shd w:val="clear" w:color="auto" w:fill="D6E0F4"/>
            <w:noWrap/>
            <w:vAlign w:val="bottom"/>
            <w:hideMark/>
          </w:tcPr>
          <w:p w:rsidR="001A5B73" w:rsidRPr="0037604E" w:rsidRDefault="001A5B73" w:rsidP="0037604E">
            <w:pPr>
              <w:spacing w:after="0" w:line="240" w:lineRule="auto"/>
              <w:ind w:firstLine="0"/>
              <w:jc w:val="both"/>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 xml:space="preserve">NET PROFIT </w:t>
            </w:r>
          </w:p>
        </w:tc>
        <w:tc>
          <w:tcPr>
            <w:tcW w:w="1707" w:type="dxa"/>
            <w:shd w:val="clear" w:color="auto" w:fill="D6E0F4"/>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r w:rsidRPr="003B32EB">
              <w:rPr>
                <w:rFonts w:ascii="Cambria" w:eastAsia="Calibri" w:hAnsi="Cambria" w:cs="Times New Roman"/>
                <w:b/>
                <w:sz w:val="18"/>
                <w:szCs w:val="18"/>
                <w:lang w:eastAsia="en-US"/>
              </w:rPr>
              <w:t>397.476</w:t>
            </w:r>
          </w:p>
        </w:tc>
        <w:tc>
          <w:tcPr>
            <w:tcW w:w="1746" w:type="dxa"/>
            <w:shd w:val="clear" w:color="auto" w:fill="D6E0F4"/>
            <w:noWrap/>
            <w:vAlign w:val="center"/>
          </w:tcPr>
          <w:p w:rsidR="001A5B73" w:rsidRPr="003B32EB" w:rsidRDefault="001A5B73" w:rsidP="004816F8">
            <w:pPr>
              <w:spacing w:after="0" w:line="240" w:lineRule="auto"/>
              <w:ind w:firstLine="0"/>
              <w:jc w:val="right"/>
              <w:rPr>
                <w:rFonts w:ascii="Cambria" w:eastAsia="Times New Roman" w:hAnsi="Cambria" w:cs="Arial"/>
                <w:b/>
                <w:bCs/>
                <w:sz w:val="18"/>
                <w:szCs w:val="18"/>
              </w:rPr>
            </w:pPr>
            <w:r w:rsidRPr="003B32EB">
              <w:rPr>
                <w:rFonts w:ascii="Cambria" w:eastAsia="Times New Roman" w:hAnsi="Cambria" w:cs="Arial"/>
                <w:b/>
                <w:bCs/>
                <w:sz w:val="18"/>
                <w:szCs w:val="18"/>
              </w:rPr>
              <w:t>594.565</w:t>
            </w:r>
          </w:p>
        </w:tc>
        <w:tc>
          <w:tcPr>
            <w:tcW w:w="2057" w:type="dxa"/>
            <w:shd w:val="clear" w:color="auto" w:fill="D6E0F4"/>
            <w:noWrap/>
            <w:vAlign w:val="center"/>
          </w:tcPr>
          <w:p w:rsidR="001A5B73" w:rsidRPr="003B32EB" w:rsidRDefault="001A5B73" w:rsidP="004816F8">
            <w:pPr>
              <w:spacing w:after="0" w:line="240" w:lineRule="auto"/>
              <w:ind w:firstLine="0"/>
              <w:jc w:val="right"/>
              <w:rPr>
                <w:rFonts w:ascii="Cambria" w:eastAsia="Calibri" w:hAnsi="Cambria" w:cs="Times New Roman"/>
                <w:b/>
                <w:sz w:val="18"/>
                <w:szCs w:val="18"/>
                <w:lang w:eastAsia="en-US"/>
              </w:rPr>
            </w:pPr>
            <w:r w:rsidRPr="003B32EB">
              <w:rPr>
                <w:rFonts w:ascii="Cambria" w:eastAsia="Calibri" w:hAnsi="Cambria" w:cs="Times New Roman"/>
                <w:b/>
                <w:sz w:val="18"/>
                <w:szCs w:val="18"/>
                <w:lang w:eastAsia="en-US"/>
              </w:rPr>
              <w:t>50%</w:t>
            </w:r>
          </w:p>
        </w:tc>
      </w:tr>
    </w:tbl>
    <w:p w:rsidR="0037604E" w:rsidRPr="0037604E" w:rsidRDefault="0037604E" w:rsidP="0037604E">
      <w:pPr>
        <w:spacing w:after="0" w:line="240" w:lineRule="auto"/>
        <w:ind w:firstLine="0"/>
        <w:jc w:val="right"/>
        <w:rPr>
          <w:rFonts w:ascii="Cambria" w:eastAsia="Times New Roman" w:hAnsi="Cambria" w:cs="Times New Roman"/>
          <w:b/>
          <w:i/>
          <w:sz w:val="20"/>
          <w:szCs w:val="20"/>
          <w:lang w:val="en-GB" w:eastAsia="ro-RO"/>
        </w:rPr>
      </w:pPr>
      <w:r w:rsidRPr="0037604E">
        <w:rPr>
          <w:rFonts w:ascii="Cambria" w:eastAsia="Times New Roman" w:hAnsi="Cambria" w:cs="Times New Roman"/>
          <w:b/>
          <w:i/>
          <w:sz w:val="20"/>
          <w:szCs w:val="20"/>
          <w:lang w:val="en-GB" w:eastAsia="ro-RO"/>
        </w:rPr>
        <w:t xml:space="preserve">                                                                                                                                                                                </w:t>
      </w:r>
    </w:p>
    <w:p w:rsidR="0037604E" w:rsidRPr="0037604E" w:rsidRDefault="0037604E" w:rsidP="0037604E">
      <w:pPr>
        <w:spacing w:after="0" w:line="30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Table 26– Financial Results 2016  vs Budget 2016</w:t>
      </w:r>
    </w:p>
    <w:p w:rsidR="0037604E" w:rsidRPr="0037604E" w:rsidRDefault="00D13629" w:rsidP="0037604E">
      <w:pPr>
        <w:spacing w:after="0" w:line="300" w:lineRule="auto"/>
        <w:ind w:firstLine="0"/>
        <w:jc w:val="center"/>
        <w:rPr>
          <w:rFonts w:ascii="Cambria" w:eastAsia="Times New Roman" w:hAnsi="Cambria" w:cs="Times New Roman"/>
          <w:sz w:val="24"/>
          <w:szCs w:val="24"/>
          <w:lang w:val="en-GB" w:eastAsia="ro-RO"/>
        </w:rPr>
      </w:pPr>
      <w:r w:rsidRPr="00715E6E">
        <w:rPr>
          <w:rFonts w:ascii="Cambria" w:eastAsia="Calibri" w:hAnsi="Cambria" w:cs="Times New Roman"/>
          <w:b/>
          <w:i/>
          <w:noProof/>
          <w:sz w:val="26"/>
          <w:szCs w:val="26"/>
          <w:lang w:val="ro-RO" w:eastAsia="ro-RO"/>
        </w:rPr>
        <w:drawing>
          <wp:inline distT="0" distB="0" distL="0" distR="0" wp14:anchorId="16A61CDE" wp14:editId="7DAE2E16">
            <wp:extent cx="5486400" cy="2295525"/>
            <wp:effectExtent l="0" t="0" r="0"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                                                                                      Chart 31 – 2016 Achieved vs Budget -thousand RON</w:t>
      </w:r>
    </w:p>
    <w:p w:rsidR="0037604E" w:rsidRPr="0037604E" w:rsidRDefault="00087A57" w:rsidP="0037604E">
      <w:pPr>
        <w:spacing w:after="0" w:line="240" w:lineRule="auto"/>
        <w:ind w:firstLine="0"/>
        <w:jc w:val="both"/>
        <w:rPr>
          <w:rFonts w:ascii="Cambria" w:eastAsia="Times New Roman" w:hAnsi="Cambria" w:cs="Times New Roman"/>
          <w:b/>
          <w:i/>
          <w:sz w:val="24"/>
          <w:szCs w:val="24"/>
          <w:lang w:val="en-GB" w:eastAsia="ro-RO"/>
        </w:rPr>
      </w:pPr>
      <w:r w:rsidRPr="00715E6E">
        <w:rPr>
          <w:rFonts w:ascii="Cambria" w:eastAsia="Calibri" w:hAnsi="Cambria" w:cs="Times New Roman"/>
          <w:b/>
          <w:i/>
          <w:noProof/>
          <w:lang w:val="ro-RO" w:eastAsia="ro-RO"/>
        </w:rPr>
        <w:drawing>
          <wp:inline distT="0" distB="0" distL="0" distR="0" wp14:anchorId="1E2B0019" wp14:editId="72AF8D87">
            <wp:extent cx="5732145" cy="1609725"/>
            <wp:effectExtent l="0" t="0" r="0"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37604E">
        <w:rPr>
          <w:rFonts w:ascii="Cambria" w:eastAsia="Times New Roman" w:hAnsi="Cambria" w:cs="Times New Roman"/>
          <w:b/>
          <w:i/>
          <w:sz w:val="16"/>
          <w:szCs w:val="16"/>
          <w:lang w:val="en-GB" w:eastAsia="ro-RO"/>
        </w:rPr>
        <w:t xml:space="preserve">                                                                               Chart 32 – 2016 Achieved vs Budget (%)</w:t>
      </w: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A74740" w:rsidRDefault="0037604E" w:rsidP="0037604E">
      <w:pPr>
        <w:spacing w:after="0" w:line="240" w:lineRule="auto"/>
        <w:ind w:firstLine="0"/>
        <w:jc w:val="both"/>
        <w:rPr>
          <w:rFonts w:ascii="Cambria" w:eastAsia="Times New Roman" w:hAnsi="Cambria" w:cs="Times New Roman"/>
          <w:sz w:val="24"/>
          <w:szCs w:val="24"/>
          <w:lang w:val="en-GB" w:eastAsia="ro-RO"/>
        </w:rPr>
      </w:pPr>
      <w:r w:rsidRPr="00A74740">
        <w:rPr>
          <w:rFonts w:ascii="Cambria" w:eastAsia="Times New Roman" w:hAnsi="Cambria" w:cs="Times New Roman"/>
          <w:b/>
          <w:i/>
          <w:sz w:val="24"/>
          <w:szCs w:val="24"/>
          <w:lang w:val="en-GB" w:eastAsia="ro-RO"/>
        </w:rPr>
        <w:t>The operating revenue before</w:t>
      </w:r>
      <w:r w:rsidR="00087A57">
        <w:rPr>
          <w:rFonts w:ascii="Cambria" w:eastAsia="Times New Roman" w:hAnsi="Cambria" w:cs="Times New Roman"/>
          <w:b/>
          <w:i/>
          <w:sz w:val="24"/>
          <w:szCs w:val="24"/>
          <w:lang w:val="en-GB" w:eastAsia="ro-RO"/>
        </w:rPr>
        <w:t xml:space="preserve"> balancing and</w:t>
      </w:r>
      <w:r w:rsidRPr="00A74740">
        <w:rPr>
          <w:rFonts w:ascii="Cambria" w:eastAsia="Times New Roman" w:hAnsi="Cambria" w:cs="Times New Roman"/>
          <w:b/>
          <w:i/>
          <w:sz w:val="24"/>
          <w:szCs w:val="24"/>
          <w:lang w:val="en-GB" w:eastAsia="ro-RO"/>
        </w:rPr>
        <w:t xml:space="preserve"> the construction activity acc. to IFRIC 12 </w:t>
      </w:r>
      <w:r w:rsidR="00A74740">
        <w:rPr>
          <w:rFonts w:ascii="Cambria" w:eastAsia="Times New Roman" w:hAnsi="Cambria" w:cs="Times New Roman"/>
          <w:sz w:val="24"/>
          <w:szCs w:val="24"/>
          <w:lang w:val="en-GB" w:eastAsia="ro-RO"/>
        </w:rPr>
        <w:t xml:space="preserve">increased by </w:t>
      </w:r>
      <w:r w:rsidR="00A74740" w:rsidRPr="00A74740">
        <w:rPr>
          <w:rFonts w:ascii="Cambria" w:eastAsia="Times New Roman" w:hAnsi="Cambria" w:cs="Times New Roman"/>
          <w:b/>
          <w:sz w:val="24"/>
          <w:szCs w:val="24"/>
          <w:lang w:val="en-GB" w:eastAsia="ro-RO"/>
        </w:rPr>
        <w:t>RON</w:t>
      </w:r>
      <w:r w:rsidR="00A74740">
        <w:rPr>
          <w:rFonts w:ascii="Cambria" w:eastAsia="Times New Roman" w:hAnsi="Cambria" w:cs="Times New Roman"/>
          <w:sz w:val="24"/>
          <w:szCs w:val="24"/>
          <w:lang w:val="en-GB" w:eastAsia="ro-RO"/>
        </w:rPr>
        <w:t xml:space="preserve"> </w:t>
      </w:r>
      <w:r w:rsidR="00087A57" w:rsidRPr="003B32EB">
        <w:rPr>
          <w:rFonts w:ascii="Cambria" w:eastAsia="Calibri" w:hAnsi="Cambria" w:cs="DokChampa"/>
          <w:b/>
          <w:sz w:val="24"/>
          <w:szCs w:val="24"/>
          <w:lang w:val="ro-RO" w:eastAsia="en-US"/>
        </w:rPr>
        <w:t>1</w:t>
      </w:r>
      <w:r w:rsidR="00087A57">
        <w:rPr>
          <w:rFonts w:ascii="Cambria" w:eastAsia="Calibri" w:hAnsi="Cambria" w:cs="DokChampa"/>
          <w:b/>
          <w:sz w:val="24"/>
          <w:szCs w:val="24"/>
          <w:lang w:val="ro-RO" w:eastAsia="en-US"/>
        </w:rPr>
        <w:t>85</w:t>
      </w:r>
      <w:r w:rsidR="00087A57" w:rsidRPr="003B32EB">
        <w:rPr>
          <w:rFonts w:ascii="Cambria" w:eastAsia="Calibri" w:hAnsi="Cambria" w:cs="DokChampa"/>
          <w:b/>
          <w:sz w:val="24"/>
          <w:szCs w:val="24"/>
          <w:lang w:val="ro-RO" w:eastAsia="en-US"/>
        </w:rPr>
        <w:t>.</w:t>
      </w:r>
      <w:r w:rsidR="00087A57">
        <w:rPr>
          <w:rFonts w:ascii="Cambria" w:eastAsia="Calibri" w:hAnsi="Cambria" w:cs="DokChampa"/>
          <w:b/>
          <w:sz w:val="24"/>
          <w:szCs w:val="24"/>
          <w:lang w:val="ro-RO" w:eastAsia="en-US"/>
        </w:rPr>
        <w:t>168</w:t>
      </w:r>
      <w:r w:rsidR="00087A57" w:rsidRPr="003B32EB">
        <w:rPr>
          <w:rFonts w:ascii="Cambria" w:eastAsia="Calibri" w:hAnsi="Cambria" w:cs="DokChampa"/>
          <w:b/>
          <w:sz w:val="24"/>
          <w:szCs w:val="24"/>
          <w:lang w:val="ro-RO" w:eastAsia="en-US"/>
        </w:rPr>
        <w:t xml:space="preserve"> </w:t>
      </w:r>
      <w:r w:rsidR="00767E79" w:rsidRPr="00A74740">
        <w:rPr>
          <w:rFonts w:ascii="Cambria" w:eastAsia="Times New Roman" w:hAnsi="Cambria" w:cs="Times New Roman"/>
          <w:b/>
          <w:sz w:val="24"/>
          <w:szCs w:val="24"/>
          <w:lang w:val="en-GB" w:eastAsia="ro-RO"/>
        </w:rPr>
        <w:t>thousand</w:t>
      </w:r>
      <w:r w:rsidR="00767E79">
        <w:rPr>
          <w:rFonts w:ascii="Cambria" w:eastAsia="Times New Roman" w:hAnsi="Cambria" w:cs="Times New Roman"/>
          <w:sz w:val="24"/>
          <w:szCs w:val="24"/>
          <w:lang w:val="en-GB" w:eastAsia="ro-RO"/>
        </w:rPr>
        <w:t xml:space="preserve"> compared thousand</w:t>
      </w:r>
      <w:r w:rsidR="00A74740">
        <w:rPr>
          <w:rFonts w:ascii="Cambria" w:eastAsia="Times New Roman" w:hAnsi="Cambria" w:cs="Times New Roman"/>
          <w:b/>
          <w:sz w:val="24"/>
          <w:szCs w:val="24"/>
          <w:lang w:val="en-GB" w:eastAsia="ro-RO"/>
        </w:rPr>
        <w:t xml:space="preserve"> </w:t>
      </w:r>
      <w:r w:rsidR="00A74740">
        <w:rPr>
          <w:rFonts w:ascii="Cambria" w:eastAsia="Times New Roman" w:hAnsi="Cambria" w:cs="Times New Roman"/>
          <w:sz w:val="24"/>
          <w:szCs w:val="24"/>
          <w:lang w:val="en-GB" w:eastAsia="ro-RO"/>
        </w:rPr>
        <w:t xml:space="preserve"> </w:t>
      </w:r>
      <w:r w:rsidR="00125472">
        <w:rPr>
          <w:rFonts w:ascii="Cambria" w:eastAsia="Times New Roman" w:hAnsi="Cambria" w:cs="Times New Roman"/>
          <w:sz w:val="24"/>
          <w:szCs w:val="24"/>
          <w:lang w:val="en-GB" w:eastAsia="ro-RO"/>
        </w:rPr>
        <w:t>the ones provided in the REB</w:t>
      </w:r>
      <w:r w:rsidRPr="00A74740">
        <w:rPr>
          <w:rFonts w:ascii="Cambria" w:eastAsia="Times New Roman" w:hAnsi="Cambria" w:cs="Times New Roman"/>
          <w:b/>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b/>
          <w:color w:val="FF0000"/>
          <w:sz w:val="24"/>
          <w:szCs w:val="24"/>
          <w:lang w:val="en-GB" w:eastAsia="ro-RO"/>
        </w:rPr>
      </w:pPr>
    </w:p>
    <w:p w:rsidR="0037604E" w:rsidRPr="00767E79" w:rsidRDefault="00125472" w:rsidP="0037604E">
      <w:pPr>
        <w:spacing w:after="0" w:line="240" w:lineRule="auto"/>
        <w:ind w:firstLine="0"/>
        <w:jc w:val="both"/>
        <w:rPr>
          <w:rFonts w:ascii="Cambria" w:eastAsia="Times New Roman" w:hAnsi="Cambria" w:cs="Times New Roman"/>
          <w:sz w:val="24"/>
          <w:szCs w:val="24"/>
          <w:lang w:val="en-GB" w:eastAsia="ro-RO"/>
        </w:rPr>
      </w:pPr>
      <w:r>
        <w:rPr>
          <w:rFonts w:ascii="Cambria" w:eastAsia="Times New Roman" w:hAnsi="Cambria" w:cs="Cambria"/>
          <w:sz w:val="24"/>
          <w:szCs w:val="24"/>
          <w:lang w:val="en-GB"/>
        </w:rPr>
        <w:t xml:space="preserve">The </w:t>
      </w:r>
      <w:r w:rsidR="0037604E" w:rsidRPr="00767E79">
        <w:rPr>
          <w:rFonts w:ascii="Cambria" w:eastAsia="Times New Roman" w:hAnsi="Cambria" w:cs="Cambria"/>
          <w:sz w:val="24"/>
          <w:szCs w:val="24"/>
          <w:lang w:val="en-GB"/>
        </w:rPr>
        <w:t>revenue was influenced by the following factors</w:t>
      </w:r>
      <w:r w:rsidR="0037604E" w:rsidRPr="00767E79">
        <w:rPr>
          <w:rFonts w:ascii="Cambria" w:eastAsia="Times New Roman" w:hAnsi="Cambria" w:cs="Times New Roman"/>
          <w:sz w:val="24"/>
          <w:szCs w:val="24"/>
          <w:lang w:val="en-GB" w:eastAsia="ro-RO"/>
        </w:rPr>
        <w:t>:</w:t>
      </w:r>
    </w:p>
    <w:p w:rsidR="0037604E" w:rsidRDefault="0037604E" w:rsidP="00FA6EB9">
      <w:pPr>
        <w:numPr>
          <w:ilvl w:val="0"/>
          <w:numId w:val="14"/>
        </w:numPr>
        <w:tabs>
          <w:tab w:val="num" w:pos="717"/>
          <w:tab w:val="num" w:pos="3905"/>
        </w:tabs>
        <w:spacing w:after="0" w:line="240" w:lineRule="auto"/>
        <w:jc w:val="both"/>
        <w:rPr>
          <w:rFonts w:ascii="Cambria" w:eastAsia="Times New Roman" w:hAnsi="Cambria" w:cs="Times New Roman"/>
          <w:sz w:val="24"/>
          <w:szCs w:val="24"/>
          <w:lang w:val="en-GB" w:eastAsia="ro-RO"/>
        </w:rPr>
      </w:pPr>
      <w:r w:rsidRPr="00125472">
        <w:rPr>
          <w:rFonts w:ascii="Cambria" w:eastAsia="Times New Roman" w:hAnsi="Cambria" w:cs="Cambria"/>
          <w:sz w:val="24"/>
          <w:szCs w:val="24"/>
          <w:lang w:val="en-GB"/>
        </w:rPr>
        <w:lastRenderedPageBreak/>
        <w:t>The gas tra</w:t>
      </w:r>
      <w:r w:rsidR="00125472">
        <w:rPr>
          <w:rFonts w:ascii="Cambria" w:eastAsia="Times New Roman" w:hAnsi="Cambria" w:cs="Cambria"/>
          <w:sz w:val="24"/>
          <w:szCs w:val="24"/>
          <w:lang w:val="en-GB"/>
        </w:rPr>
        <w:t>nsmission services recorded an in</w:t>
      </w:r>
      <w:r w:rsidRPr="00125472">
        <w:rPr>
          <w:rFonts w:ascii="Cambria" w:eastAsia="Times New Roman" w:hAnsi="Cambria" w:cs="Cambria"/>
          <w:sz w:val="24"/>
          <w:szCs w:val="24"/>
          <w:lang w:val="en-GB"/>
        </w:rPr>
        <w:t>crease of</w:t>
      </w:r>
      <w:r w:rsidRPr="00125472">
        <w:rPr>
          <w:rFonts w:ascii="Cambria" w:eastAsia="Times New Roman" w:hAnsi="Cambria" w:cs="Times New Roman"/>
          <w:sz w:val="24"/>
          <w:szCs w:val="24"/>
          <w:lang w:val="en-GB" w:eastAsia="ro-RO"/>
        </w:rPr>
        <w:t xml:space="preserve"> </w:t>
      </w:r>
      <w:r w:rsidRPr="00125472">
        <w:rPr>
          <w:rFonts w:ascii="Cambria" w:eastAsia="Times New Roman" w:hAnsi="Cambria" w:cs="Times New Roman"/>
          <w:b/>
          <w:sz w:val="24"/>
          <w:szCs w:val="24"/>
          <w:lang w:val="en-GB" w:eastAsia="ro-RO"/>
        </w:rPr>
        <w:t xml:space="preserve">RON </w:t>
      </w:r>
      <w:r w:rsidR="00125472" w:rsidRPr="003B32EB">
        <w:rPr>
          <w:rFonts w:ascii="Cambria" w:eastAsia="Calibri" w:hAnsi="Cambria" w:cs="DokChampa"/>
          <w:b/>
          <w:sz w:val="24"/>
          <w:szCs w:val="24"/>
          <w:lang w:val="ro-RO" w:eastAsia="en-US"/>
        </w:rPr>
        <w:t>118.107</w:t>
      </w:r>
      <w:r w:rsidR="00125472">
        <w:rPr>
          <w:rFonts w:ascii="Cambria" w:eastAsia="Calibri" w:hAnsi="Cambria" w:cs="DokChampa"/>
          <w:b/>
          <w:sz w:val="24"/>
          <w:szCs w:val="24"/>
          <w:lang w:val="ro-RO" w:eastAsia="en-US"/>
        </w:rPr>
        <w:t xml:space="preserve"> </w:t>
      </w:r>
      <w:r w:rsidRPr="00125472">
        <w:rPr>
          <w:rFonts w:ascii="Cambria" w:eastAsia="Times New Roman" w:hAnsi="Cambria" w:cs="Times New Roman"/>
          <w:b/>
          <w:sz w:val="24"/>
          <w:szCs w:val="24"/>
          <w:lang w:val="en-GB" w:eastAsia="ro-RO"/>
        </w:rPr>
        <w:t xml:space="preserve">thousands </w:t>
      </w:r>
      <w:r w:rsidRPr="00125472">
        <w:rPr>
          <w:rFonts w:ascii="Cambria" w:eastAsia="Times New Roman" w:hAnsi="Cambria" w:cs="Times New Roman"/>
          <w:sz w:val="24"/>
          <w:szCs w:val="24"/>
          <w:lang w:val="en-GB" w:eastAsia="ro-RO"/>
        </w:rPr>
        <w:t xml:space="preserve">mainly due to: </w:t>
      </w:r>
    </w:p>
    <w:p w:rsidR="00125472" w:rsidRPr="00125472" w:rsidRDefault="00125472" w:rsidP="00FA6EB9">
      <w:pPr>
        <w:pStyle w:val="ListParagraph"/>
        <w:numPr>
          <w:ilvl w:val="0"/>
          <w:numId w:val="24"/>
        </w:numPr>
        <w:tabs>
          <w:tab w:val="num" w:pos="717"/>
          <w:tab w:val="num" w:pos="3905"/>
        </w:tabs>
        <w:spacing w:after="0" w:line="240" w:lineRule="auto"/>
        <w:jc w:val="both"/>
        <w:rPr>
          <w:rFonts w:ascii="Cambria" w:eastAsia="Times New Roman" w:hAnsi="Cambria" w:cs="Times New Roman"/>
          <w:sz w:val="24"/>
          <w:szCs w:val="24"/>
          <w:lang w:val="en-GB" w:eastAsia="ro-RO"/>
        </w:rPr>
      </w:pPr>
      <w:r w:rsidRPr="00125472">
        <w:rPr>
          <w:rFonts w:ascii="Cambria" w:eastAsia="Times New Roman" w:hAnsi="Cambria" w:cs="Times New Roman"/>
          <w:i/>
          <w:sz w:val="24"/>
          <w:szCs w:val="24"/>
          <w:lang w:val="en-GB" w:eastAsia="ro-RO"/>
        </w:rPr>
        <w:t>The booked capacity</w:t>
      </w:r>
      <w:r w:rsidRPr="00125472">
        <w:rPr>
          <w:rFonts w:ascii="Cambria" w:eastAsia="Times New Roman" w:hAnsi="Cambria" w:cs="Times New Roman"/>
          <w:sz w:val="24"/>
          <w:szCs w:val="24"/>
          <w:lang w:val="en-GB" w:eastAsia="ro-RO"/>
        </w:rPr>
        <w:t xml:space="preserve"> higher </w:t>
      </w:r>
      <w:r>
        <w:rPr>
          <w:rFonts w:ascii="Cambria" w:eastAsia="Times New Roman" w:hAnsi="Cambria" w:cs="Times New Roman"/>
          <w:sz w:val="24"/>
          <w:szCs w:val="24"/>
          <w:lang w:val="en-GB" w:eastAsia="ro-RO"/>
        </w:rPr>
        <w:t>by 6.066.</w:t>
      </w:r>
      <w:r w:rsidRPr="00125472">
        <w:rPr>
          <w:rFonts w:ascii="Cambria" w:eastAsia="Times New Roman" w:hAnsi="Cambria" w:cs="Times New Roman"/>
          <w:sz w:val="24"/>
          <w:szCs w:val="24"/>
          <w:lang w:val="en-GB" w:eastAsia="ro-RO"/>
        </w:rPr>
        <w:t xml:space="preserve">134 MWh with a positive influence of </w:t>
      </w:r>
      <w:r w:rsidRPr="00125472">
        <w:rPr>
          <w:rFonts w:ascii="Cambria" w:eastAsia="Times New Roman" w:hAnsi="Cambria" w:cs="Times New Roman"/>
          <w:b/>
          <w:sz w:val="24"/>
          <w:szCs w:val="24"/>
          <w:lang w:val="en-GB" w:eastAsia="ro-RO"/>
        </w:rPr>
        <w:t>154.654</w:t>
      </w:r>
      <w:r w:rsidRPr="00125472">
        <w:rPr>
          <w:rFonts w:ascii="Cambria" w:eastAsia="Times New Roman" w:hAnsi="Cambria" w:cs="Times New Roman"/>
          <w:sz w:val="24"/>
          <w:szCs w:val="24"/>
          <w:lang w:val="en-GB" w:eastAsia="ro-RO"/>
        </w:rPr>
        <w:t xml:space="preserve"> thousand, growth driven mainly by the </w:t>
      </w:r>
      <w:r>
        <w:rPr>
          <w:rFonts w:ascii="Cambria" w:eastAsia="Times New Roman" w:hAnsi="Cambria" w:cs="Times New Roman"/>
          <w:sz w:val="24"/>
          <w:szCs w:val="24"/>
          <w:lang w:val="en-GB" w:eastAsia="ro-RO"/>
        </w:rPr>
        <w:t>invoicing of the surplus capacity booked</w:t>
      </w:r>
      <w:r w:rsidRPr="00125472">
        <w:rPr>
          <w:rFonts w:ascii="Cambria" w:eastAsia="Times New Roman" w:hAnsi="Cambria" w:cs="Times New Roman"/>
          <w:sz w:val="24"/>
          <w:szCs w:val="24"/>
          <w:lang w:val="en-GB" w:eastAsia="ro-RO"/>
        </w:rPr>
        <w:t xml:space="preserve"> for the ye</w:t>
      </w:r>
      <w:r>
        <w:rPr>
          <w:rFonts w:ascii="Cambria" w:eastAsia="Times New Roman" w:hAnsi="Cambria" w:cs="Times New Roman"/>
          <w:sz w:val="24"/>
          <w:szCs w:val="24"/>
          <w:lang w:val="en-GB" w:eastAsia="ro-RO"/>
        </w:rPr>
        <w:t xml:space="preserve">ar 2016 amounting to </w:t>
      </w:r>
      <w:r w:rsidRPr="00125472">
        <w:rPr>
          <w:rFonts w:ascii="Cambria" w:eastAsia="Times New Roman" w:hAnsi="Cambria" w:cs="Times New Roman"/>
          <w:b/>
          <w:sz w:val="24"/>
          <w:szCs w:val="24"/>
          <w:lang w:val="en-GB" w:eastAsia="ro-RO"/>
        </w:rPr>
        <w:t>RON 143</w:t>
      </w:r>
      <w:r>
        <w:rPr>
          <w:rFonts w:ascii="Cambria" w:eastAsia="Times New Roman" w:hAnsi="Cambria" w:cs="Times New Roman"/>
          <w:b/>
          <w:sz w:val="24"/>
          <w:szCs w:val="24"/>
          <w:lang w:val="en-GB" w:eastAsia="ro-RO"/>
        </w:rPr>
        <w:t>.</w:t>
      </w:r>
      <w:r w:rsidRPr="00125472">
        <w:rPr>
          <w:rFonts w:ascii="Cambria" w:eastAsia="Times New Roman" w:hAnsi="Cambria" w:cs="Times New Roman"/>
          <w:b/>
          <w:sz w:val="24"/>
          <w:szCs w:val="24"/>
          <w:lang w:val="en-GB" w:eastAsia="ro-RO"/>
        </w:rPr>
        <w:t>132 thousand</w:t>
      </w:r>
      <w:r w:rsidRPr="00125472">
        <w:rPr>
          <w:rFonts w:ascii="Cambria" w:eastAsia="Times New Roman" w:hAnsi="Cambria" w:cs="Times New Roman"/>
          <w:sz w:val="24"/>
          <w:szCs w:val="24"/>
          <w:lang w:val="en-GB" w:eastAsia="ro-RO"/>
        </w:rPr>
        <w:t xml:space="preserve">, </w:t>
      </w:r>
      <w:r>
        <w:rPr>
          <w:rFonts w:ascii="Cambria" w:eastAsia="Times New Roman" w:hAnsi="Cambria" w:cs="Times New Roman"/>
          <w:sz w:val="24"/>
          <w:szCs w:val="24"/>
          <w:lang w:val="en-GB" w:eastAsia="ro-RO"/>
        </w:rPr>
        <w:t>according to ANRE Order No. 1/</w:t>
      </w:r>
      <w:r w:rsidRPr="00125472">
        <w:rPr>
          <w:rFonts w:ascii="Cambria" w:eastAsia="Times New Roman" w:hAnsi="Cambria" w:cs="Times New Roman"/>
          <w:sz w:val="24"/>
          <w:szCs w:val="24"/>
          <w:lang w:val="en-GB" w:eastAsia="ro-RO"/>
        </w:rPr>
        <w:t>18.01 .2016, ANRE Order no.14 / March 30, 2016 and ANRE Order no.160 / November 26, 2015;</w:t>
      </w:r>
    </w:p>
    <w:p w:rsidR="0037604E" w:rsidRPr="00125472" w:rsidRDefault="0037604E" w:rsidP="00FA6EB9">
      <w:pPr>
        <w:numPr>
          <w:ilvl w:val="0"/>
          <w:numId w:val="24"/>
        </w:numPr>
        <w:spacing w:after="0" w:line="240" w:lineRule="auto"/>
        <w:contextualSpacing/>
        <w:jc w:val="both"/>
        <w:rPr>
          <w:rFonts w:ascii="Cambria" w:eastAsia="Times New Roman" w:hAnsi="Cambria" w:cs="Times New Roman"/>
          <w:sz w:val="24"/>
          <w:szCs w:val="24"/>
          <w:lang w:val="en-GB" w:eastAsia="ro-RO"/>
        </w:rPr>
      </w:pPr>
      <w:r w:rsidRPr="00125472">
        <w:rPr>
          <w:rFonts w:ascii="Cambria" w:eastAsia="Times New Roman" w:hAnsi="Cambria" w:cs="Times New Roman"/>
          <w:i/>
          <w:sz w:val="24"/>
          <w:szCs w:val="24"/>
          <w:lang w:val="en-GB" w:eastAsia="ro-RO"/>
        </w:rPr>
        <w:t xml:space="preserve">the lower gas quantity transmitted </w:t>
      </w:r>
      <w:r w:rsidRPr="00125472">
        <w:rPr>
          <w:rFonts w:ascii="Cambria" w:eastAsia="Times New Roman" w:hAnsi="Cambria" w:cs="Times New Roman"/>
          <w:sz w:val="24"/>
          <w:szCs w:val="24"/>
          <w:lang w:val="en-GB" w:eastAsia="ro-RO"/>
        </w:rPr>
        <w:t xml:space="preserve">compared to the planned one by </w:t>
      </w:r>
      <w:r w:rsidR="00125472" w:rsidRPr="00125472">
        <w:rPr>
          <w:rFonts w:ascii="Cambria" w:eastAsia="Calibri" w:hAnsi="Cambria" w:cs="Times New Roman"/>
          <w:sz w:val="24"/>
          <w:szCs w:val="24"/>
          <w:lang w:val="en-GB" w:eastAsia="en-US"/>
        </w:rPr>
        <w:t xml:space="preserve">2.167.419 </w:t>
      </w:r>
      <w:r w:rsidRPr="00125472">
        <w:rPr>
          <w:rFonts w:ascii="Cambria" w:eastAsia="Calibri" w:hAnsi="Cambria" w:cs="Times New Roman"/>
          <w:sz w:val="24"/>
          <w:szCs w:val="24"/>
          <w:lang w:val="en-GB" w:eastAsia="en-US"/>
        </w:rPr>
        <w:t>MWh/</w:t>
      </w:r>
      <w:r w:rsidR="00125472" w:rsidRPr="00125472">
        <w:rPr>
          <w:rFonts w:ascii="Cambria" w:eastAsia="Calibri" w:hAnsi="Cambria" w:cs="Times New Roman"/>
          <w:sz w:val="24"/>
          <w:szCs w:val="24"/>
          <w:lang w:val="en-GB" w:eastAsia="en-US"/>
        </w:rPr>
        <w:t xml:space="preserve">373.794 </w:t>
      </w:r>
      <w:r w:rsidRPr="00125472">
        <w:rPr>
          <w:rFonts w:ascii="Cambria" w:eastAsia="Calibri" w:hAnsi="Cambria" w:cs="Times New Roman"/>
          <w:sz w:val="24"/>
          <w:szCs w:val="24"/>
          <w:lang w:val="en-GB" w:eastAsia="en-US"/>
        </w:rPr>
        <w:t>thousand cm (</w:t>
      </w:r>
      <w:r w:rsidR="00125472">
        <w:rPr>
          <w:rFonts w:ascii="Times New Roman" w:eastAsia="Calibri" w:hAnsi="Times New Roman" w:cs="Times New Roman"/>
          <w:sz w:val="24"/>
          <w:szCs w:val="24"/>
          <w:lang w:val="en-GB" w:eastAsia="en-US"/>
        </w:rPr>
        <w:t>▼9</w:t>
      </w:r>
      <w:r w:rsidRPr="00125472">
        <w:rPr>
          <w:rFonts w:ascii="Cambria" w:eastAsia="Calibri" w:hAnsi="Cambria" w:cs="Times New Roman"/>
          <w:sz w:val="24"/>
          <w:szCs w:val="24"/>
          <w:lang w:val="en-GB" w:eastAsia="en-US"/>
        </w:rPr>
        <w:t>%)</w:t>
      </w:r>
      <w:r w:rsidR="00242FF6">
        <w:rPr>
          <w:rFonts w:ascii="Cambria" w:eastAsia="Calibri" w:hAnsi="Cambria" w:cs="Times New Roman"/>
          <w:sz w:val="24"/>
          <w:szCs w:val="24"/>
          <w:lang w:val="en-GB" w:eastAsia="en-US"/>
        </w:rPr>
        <w:t xml:space="preserve"> with  a negative influence of RON 36.547 thousand</w:t>
      </w:r>
      <w:r w:rsidRPr="00125472">
        <w:rPr>
          <w:rFonts w:ascii="Cambria" w:eastAsia="Times New Roman" w:hAnsi="Cambria" w:cs="Times New Roman"/>
          <w:b/>
          <w:sz w:val="24"/>
          <w:szCs w:val="24"/>
          <w:lang w:val="en-GB" w:eastAsia="ro-RO"/>
        </w:rPr>
        <w:t>;</w:t>
      </w:r>
    </w:p>
    <w:p w:rsidR="0037604E" w:rsidRDefault="0037604E" w:rsidP="00FA6EB9">
      <w:pPr>
        <w:numPr>
          <w:ilvl w:val="0"/>
          <w:numId w:val="14"/>
        </w:numPr>
        <w:tabs>
          <w:tab w:val="num" w:pos="717"/>
          <w:tab w:val="num" w:pos="3905"/>
        </w:tabs>
        <w:spacing w:after="0" w:line="240" w:lineRule="auto"/>
        <w:jc w:val="both"/>
        <w:rPr>
          <w:rFonts w:ascii="Cambria" w:eastAsia="Times New Roman" w:hAnsi="Cambria" w:cs="Times New Roman"/>
          <w:sz w:val="24"/>
          <w:szCs w:val="24"/>
          <w:lang w:val="en-GB" w:eastAsia="ro-RO"/>
        </w:rPr>
      </w:pPr>
      <w:r w:rsidRPr="00125472">
        <w:rPr>
          <w:rFonts w:ascii="Cambria" w:eastAsia="Times New Roman" w:hAnsi="Cambria" w:cs="Cambria"/>
          <w:sz w:val="24"/>
          <w:szCs w:val="24"/>
          <w:lang w:val="en-GB"/>
        </w:rPr>
        <w:t>The revenue from international gas transmission services recorded an increase of</w:t>
      </w:r>
      <w:r w:rsidRPr="00125472">
        <w:rPr>
          <w:rFonts w:ascii="Cambria" w:eastAsia="Times New Roman" w:hAnsi="Cambria" w:cs="Times New Roman"/>
          <w:sz w:val="24"/>
          <w:szCs w:val="24"/>
          <w:lang w:val="en-GB" w:eastAsia="ro-RO"/>
        </w:rPr>
        <w:t xml:space="preserve"> </w:t>
      </w:r>
      <w:r w:rsidRPr="00125472">
        <w:rPr>
          <w:rFonts w:ascii="Cambria" w:eastAsia="Times New Roman" w:hAnsi="Cambria" w:cs="Times New Roman"/>
          <w:b/>
          <w:sz w:val="24"/>
          <w:szCs w:val="24"/>
          <w:lang w:val="en-GB" w:eastAsia="ro-RO"/>
        </w:rPr>
        <w:t>RON</w:t>
      </w:r>
      <w:r w:rsidRPr="00125472">
        <w:rPr>
          <w:rFonts w:ascii="Cambria" w:eastAsia="Times New Roman" w:hAnsi="Cambria" w:cs="Times New Roman"/>
          <w:sz w:val="24"/>
          <w:szCs w:val="24"/>
          <w:lang w:val="en-GB" w:eastAsia="ro-RO"/>
        </w:rPr>
        <w:t xml:space="preserve"> </w:t>
      </w:r>
      <w:r w:rsidR="00242FF6" w:rsidRPr="00242FF6">
        <w:rPr>
          <w:rFonts w:ascii="Cambria" w:eastAsia="Calibri" w:hAnsi="Cambria" w:cs="Times New Roman"/>
          <w:b/>
          <w:sz w:val="24"/>
          <w:szCs w:val="24"/>
          <w:lang w:val="en-GB" w:eastAsia="en-US"/>
        </w:rPr>
        <w:t xml:space="preserve">14.496 </w:t>
      </w:r>
      <w:r w:rsidRPr="00125472">
        <w:rPr>
          <w:rFonts w:ascii="Cambria" w:eastAsia="Times New Roman" w:hAnsi="Cambria" w:cs="Times New Roman"/>
          <w:b/>
          <w:sz w:val="24"/>
          <w:szCs w:val="24"/>
          <w:lang w:val="en-GB" w:eastAsia="ro-RO"/>
        </w:rPr>
        <w:t xml:space="preserve">thousands </w:t>
      </w:r>
      <w:r w:rsidRPr="00125472">
        <w:rPr>
          <w:rFonts w:ascii="Cambria" w:eastAsia="Times New Roman" w:hAnsi="Cambria" w:cs="Cambria"/>
          <w:sz w:val="24"/>
          <w:szCs w:val="24"/>
          <w:lang w:val="en-GB"/>
        </w:rPr>
        <w:t>due to the variation of the exchange rates of the currencies under the contracts</w:t>
      </w:r>
      <w:r w:rsidR="00242FF6">
        <w:rPr>
          <w:rFonts w:ascii="Cambria" w:eastAsia="Times New Roman" w:hAnsi="Cambria" w:cs="Times New Roman"/>
          <w:sz w:val="24"/>
          <w:szCs w:val="24"/>
          <w:lang w:val="en-GB" w:eastAsia="ro-RO"/>
        </w:rPr>
        <w:t xml:space="preserve"> and to the application of the provisions of ANRE Order no 34/19 July 2016;</w:t>
      </w:r>
    </w:p>
    <w:p w:rsidR="00B70747" w:rsidRPr="00B70747" w:rsidRDefault="00B70747" w:rsidP="00B70747">
      <w:pPr>
        <w:numPr>
          <w:ilvl w:val="0"/>
          <w:numId w:val="14"/>
        </w:numPr>
        <w:spacing w:after="0" w:line="240" w:lineRule="auto"/>
        <w:contextualSpacing/>
        <w:jc w:val="both"/>
        <w:rPr>
          <w:rFonts w:asciiTheme="majorHAnsi" w:eastAsia="Calibri" w:hAnsiTheme="majorHAnsi"/>
          <w:sz w:val="24"/>
          <w:szCs w:val="24"/>
          <w:lang w:val="en-GB"/>
        </w:rPr>
      </w:pPr>
      <w:r w:rsidRPr="00125472">
        <w:rPr>
          <w:rFonts w:asciiTheme="majorHAnsi" w:hAnsiTheme="majorHAnsi" w:cs="Arial"/>
          <w:sz w:val="24"/>
          <w:szCs w:val="24"/>
          <w:lang w:val="en-GB"/>
        </w:rPr>
        <w:t>O</w:t>
      </w:r>
      <w:r>
        <w:rPr>
          <w:rFonts w:asciiTheme="majorHAnsi" w:hAnsiTheme="majorHAnsi" w:cs="Arial"/>
          <w:sz w:val="24"/>
          <w:szCs w:val="24"/>
          <w:lang w:val="en-GB"/>
        </w:rPr>
        <w:t>ther operating</w:t>
      </w:r>
      <w:r w:rsidRPr="00125472">
        <w:rPr>
          <w:rFonts w:asciiTheme="majorHAnsi" w:hAnsiTheme="majorHAnsi" w:cs="Arial"/>
          <w:sz w:val="24"/>
          <w:szCs w:val="24"/>
          <w:lang w:val="en-GB"/>
        </w:rPr>
        <w:t xml:space="preserve"> revenue recorded an increase by </w:t>
      </w:r>
      <w:r w:rsidRPr="00125472">
        <w:rPr>
          <w:rFonts w:asciiTheme="majorHAnsi" w:hAnsiTheme="majorHAnsi" w:cs="Arial"/>
          <w:b/>
          <w:sz w:val="24"/>
          <w:szCs w:val="24"/>
          <w:lang w:val="en-GB"/>
        </w:rPr>
        <w:t xml:space="preserve">RON </w:t>
      </w:r>
      <w:r w:rsidRPr="00242FF6">
        <w:rPr>
          <w:rFonts w:asciiTheme="majorHAnsi" w:eastAsia="Calibri" w:hAnsiTheme="majorHAnsi" w:cs="Times New Roman"/>
          <w:b/>
          <w:sz w:val="24"/>
          <w:szCs w:val="24"/>
          <w:lang w:val="en-GB" w:eastAsia="en-US"/>
        </w:rPr>
        <w:t xml:space="preserve">52.565 </w:t>
      </w:r>
      <w:r w:rsidRPr="00125472">
        <w:rPr>
          <w:rFonts w:asciiTheme="majorHAnsi" w:hAnsiTheme="majorHAnsi" w:cs="Arial"/>
          <w:b/>
          <w:sz w:val="24"/>
          <w:szCs w:val="24"/>
          <w:lang w:val="en-GB"/>
        </w:rPr>
        <w:t>thousand</w:t>
      </w:r>
      <w:r>
        <w:rPr>
          <w:rFonts w:asciiTheme="majorHAnsi" w:hAnsiTheme="majorHAnsi" w:cs="Arial"/>
          <w:sz w:val="24"/>
          <w:szCs w:val="24"/>
          <w:lang w:val="en-GB"/>
        </w:rPr>
        <w:t xml:space="preserve"> compared to the REB mainly due to the prescription of the delay penalties increase related to some dividends paid in delay from the period 2000-2003</w:t>
      </w:r>
      <w:r w:rsidRPr="00125472">
        <w:rPr>
          <w:rFonts w:asciiTheme="majorHAnsi" w:eastAsia="Calibri" w:hAnsiTheme="majorHAnsi" w:cs="Times New Roman"/>
          <w:sz w:val="24"/>
          <w:szCs w:val="24"/>
          <w:lang w:val="en-GB" w:eastAsia="en-US"/>
        </w:rPr>
        <w:t>;</w:t>
      </w:r>
    </w:p>
    <w:p w:rsidR="00242FF6" w:rsidRPr="00242FF6" w:rsidRDefault="00242FF6" w:rsidP="00FA6EB9">
      <w:pPr>
        <w:numPr>
          <w:ilvl w:val="0"/>
          <w:numId w:val="14"/>
        </w:numPr>
        <w:tabs>
          <w:tab w:val="num" w:pos="717"/>
          <w:tab w:val="num" w:pos="3905"/>
        </w:tabs>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The revenues from the balancing activity decreased by </w:t>
      </w:r>
      <w:r w:rsidRPr="00125472">
        <w:rPr>
          <w:rFonts w:asciiTheme="majorHAnsi" w:hAnsiTheme="majorHAnsi" w:cs="Arial"/>
          <w:b/>
          <w:sz w:val="24"/>
          <w:szCs w:val="24"/>
          <w:lang w:val="en-GB"/>
        </w:rPr>
        <w:t xml:space="preserve">RON </w:t>
      </w:r>
      <w:r w:rsidRPr="00242FF6">
        <w:rPr>
          <w:rFonts w:asciiTheme="majorHAnsi" w:eastAsia="Calibri" w:hAnsiTheme="majorHAnsi" w:cs="Times New Roman"/>
          <w:b/>
          <w:sz w:val="24"/>
          <w:szCs w:val="24"/>
          <w:lang w:val="en-GB" w:eastAsia="en-US"/>
        </w:rPr>
        <w:t xml:space="preserve">35.539 </w:t>
      </w:r>
      <w:r w:rsidRPr="00125472">
        <w:rPr>
          <w:rFonts w:asciiTheme="majorHAnsi" w:hAnsiTheme="majorHAnsi" w:cs="Arial"/>
          <w:b/>
          <w:sz w:val="24"/>
          <w:szCs w:val="24"/>
          <w:lang w:val="en-GB"/>
        </w:rPr>
        <w:t>thousand</w:t>
      </w:r>
      <w:r>
        <w:rPr>
          <w:rFonts w:asciiTheme="majorHAnsi" w:hAnsiTheme="majorHAnsi" w:cs="Arial"/>
          <w:b/>
          <w:sz w:val="24"/>
          <w:szCs w:val="24"/>
          <w:lang w:val="en-GB"/>
        </w:rPr>
        <w:t xml:space="preserve"> </w:t>
      </w:r>
      <w:r w:rsidRPr="00242FF6">
        <w:rPr>
          <w:rFonts w:asciiTheme="majorHAnsi" w:hAnsiTheme="majorHAnsi" w:cs="Arial"/>
          <w:sz w:val="24"/>
          <w:szCs w:val="24"/>
          <w:lang w:val="en-GB"/>
        </w:rPr>
        <w:t>on account of the following factors:</w:t>
      </w:r>
      <w:r>
        <w:rPr>
          <w:rFonts w:asciiTheme="majorHAnsi" w:hAnsiTheme="majorHAnsi" w:cs="Arial"/>
          <w:b/>
          <w:sz w:val="24"/>
          <w:szCs w:val="24"/>
          <w:lang w:val="en-GB"/>
        </w:rPr>
        <w:t xml:space="preserve"> </w:t>
      </w:r>
    </w:p>
    <w:p w:rsidR="00242FF6" w:rsidRDefault="00242FF6" w:rsidP="00FA6EB9">
      <w:pPr>
        <w:pStyle w:val="ListParagraph"/>
        <w:numPr>
          <w:ilvl w:val="0"/>
          <w:numId w:val="176"/>
        </w:numPr>
        <w:tabs>
          <w:tab w:val="num" w:pos="717"/>
          <w:tab w:val="num" w:pos="3905"/>
        </w:tabs>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Trading price lower by </w:t>
      </w:r>
      <w:r w:rsidRPr="00242FF6">
        <w:rPr>
          <w:rFonts w:ascii="Cambria" w:eastAsia="Times New Roman" w:hAnsi="Cambria" w:cs="Times New Roman"/>
          <w:sz w:val="24"/>
          <w:szCs w:val="24"/>
          <w:lang w:val="en-GB" w:eastAsia="ro-RO"/>
        </w:rPr>
        <w:t>9,473 lei/MWh</w:t>
      </w:r>
      <w:r>
        <w:rPr>
          <w:rFonts w:ascii="Cambria" w:eastAsia="Times New Roman" w:hAnsi="Cambria" w:cs="Times New Roman"/>
          <w:sz w:val="24"/>
          <w:szCs w:val="24"/>
          <w:lang w:val="en-GB" w:eastAsia="ro-RO"/>
        </w:rPr>
        <w:t xml:space="preserve"> with a negative influence of RON </w:t>
      </w:r>
      <w:r w:rsidRPr="00242FF6">
        <w:rPr>
          <w:rFonts w:ascii="Cambria" w:eastAsia="Times New Roman" w:hAnsi="Cambria" w:cs="Times New Roman"/>
          <w:sz w:val="24"/>
          <w:szCs w:val="24"/>
          <w:lang w:val="en-GB" w:eastAsia="ro-RO"/>
        </w:rPr>
        <w:t>6.990</w:t>
      </w:r>
      <w:r>
        <w:rPr>
          <w:rFonts w:ascii="Cambria" w:eastAsia="Times New Roman" w:hAnsi="Cambria" w:cs="Times New Roman"/>
          <w:sz w:val="24"/>
          <w:szCs w:val="24"/>
          <w:lang w:val="en-GB" w:eastAsia="ro-RO"/>
        </w:rPr>
        <w:t xml:space="preserve"> thousand;</w:t>
      </w:r>
    </w:p>
    <w:p w:rsidR="00242FF6" w:rsidRPr="00242FF6" w:rsidRDefault="00242FF6" w:rsidP="00FA6EB9">
      <w:pPr>
        <w:pStyle w:val="ListParagraph"/>
        <w:numPr>
          <w:ilvl w:val="0"/>
          <w:numId w:val="176"/>
        </w:numPr>
        <w:tabs>
          <w:tab w:val="num" w:pos="717"/>
          <w:tab w:val="num" w:pos="3905"/>
        </w:tabs>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Lower quatity by </w:t>
      </w:r>
      <w:r w:rsidRPr="00242FF6">
        <w:rPr>
          <w:rFonts w:ascii="Cambria" w:eastAsia="Times New Roman" w:hAnsi="Cambria" w:cs="Times New Roman"/>
          <w:sz w:val="24"/>
          <w:szCs w:val="24"/>
          <w:lang w:val="en-GB" w:eastAsia="ro-RO"/>
        </w:rPr>
        <w:t>327.137 MWh</w:t>
      </w:r>
      <w:r>
        <w:rPr>
          <w:rFonts w:ascii="Cambria" w:eastAsia="Times New Roman" w:hAnsi="Cambria" w:cs="Times New Roman"/>
          <w:sz w:val="24"/>
          <w:szCs w:val="24"/>
          <w:lang w:val="en-GB" w:eastAsia="ro-RO"/>
        </w:rPr>
        <w:t xml:space="preserve"> with an unfavourable influence of RON </w:t>
      </w:r>
      <w:r w:rsidRPr="00242FF6">
        <w:rPr>
          <w:rFonts w:ascii="Cambria" w:eastAsia="Times New Roman" w:hAnsi="Cambria" w:cs="Times New Roman"/>
          <w:sz w:val="24"/>
          <w:szCs w:val="24"/>
          <w:lang w:val="en-GB" w:eastAsia="ro-RO"/>
        </w:rPr>
        <w:t>28.549</w:t>
      </w:r>
      <w:r>
        <w:rPr>
          <w:rFonts w:ascii="Cambria" w:eastAsia="Times New Roman" w:hAnsi="Cambria" w:cs="Times New Roman"/>
          <w:sz w:val="24"/>
          <w:szCs w:val="24"/>
          <w:lang w:val="en-GB" w:eastAsia="ro-RO"/>
        </w:rPr>
        <w:t xml:space="preserve"> thousand;</w:t>
      </w:r>
    </w:p>
    <w:p w:rsidR="00F1495F" w:rsidRDefault="00F1495F" w:rsidP="00F1495F">
      <w:pPr>
        <w:tabs>
          <w:tab w:val="left" w:pos="90"/>
          <w:tab w:val="left" w:pos="270"/>
          <w:tab w:val="left" w:pos="360"/>
        </w:tabs>
        <w:spacing w:after="0" w:line="240" w:lineRule="auto"/>
        <w:contextualSpacing/>
        <w:jc w:val="both"/>
        <w:rPr>
          <w:rFonts w:asciiTheme="majorHAnsi" w:eastAsia="Calibri" w:hAnsiTheme="majorHAnsi" w:cs="Times New Roman"/>
          <w:sz w:val="24"/>
          <w:szCs w:val="24"/>
          <w:lang w:val="en-GB" w:eastAsia="en-US"/>
        </w:rPr>
      </w:pPr>
    </w:p>
    <w:p w:rsidR="0037604E" w:rsidRPr="00125472" w:rsidRDefault="0037604E" w:rsidP="00F1495F">
      <w:pPr>
        <w:tabs>
          <w:tab w:val="left" w:pos="90"/>
          <w:tab w:val="left" w:pos="270"/>
          <w:tab w:val="left" w:pos="360"/>
        </w:tabs>
        <w:spacing w:after="0" w:line="240" w:lineRule="auto"/>
        <w:ind w:firstLine="0"/>
        <w:contextualSpacing/>
        <w:jc w:val="both"/>
        <w:rPr>
          <w:rFonts w:asciiTheme="majorHAnsi" w:eastAsia="Calibri" w:hAnsiTheme="majorHAnsi"/>
          <w:sz w:val="24"/>
          <w:szCs w:val="24"/>
          <w:lang w:val="en-GB"/>
        </w:rPr>
      </w:pPr>
      <w:r w:rsidRPr="00125472">
        <w:rPr>
          <w:rFonts w:asciiTheme="majorHAnsi" w:eastAsia="Calibri" w:hAnsiTheme="majorHAnsi" w:cs="Times New Roman"/>
          <w:sz w:val="24"/>
          <w:szCs w:val="24"/>
          <w:lang w:val="en-GB" w:eastAsia="en-US"/>
        </w:rPr>
        <w:t xml:space="preserve">  </w:t>
      </w:r>
      <w:r w:rsidRPr="00F1495F">
        <w:rPr>
          <w:rFonts w:asciiTheme="majorHAnsi" w:eastAsia="Calibri" w:hAnsiTheme="majorHAnsi" w:cs="Times New Roman"/>
          <w:b/>
          <w:i/>
          <w:sz w:val="24"/>
          <w:szCs w:val="24"/>
          <w:lang w:val="en-GB" w:eastAsia="en-US"/>
        </w:rPr>
        <w:t>The financial revenue</w:t>
      </w:r>
      <w:r w:rsidRPr="00125472">
        <w:rPr>
          <w:rFonts w:asciiTheme="majorHAnsi" w:eastAsia="Calibri" w:hAnsiTheme="majorHAnsi" w:cs="Times New Roman"/>
          <w:sz w:val="24"/>
          <w:szCs w:val="24"/>
          <w:lang w:val="en-GB" w:eastAsia="en-US"/>
        </w:rPr>
        <w:t xml:space="preserve"> increased as compared to the REB by </w:t>
      </w:r>
      <w:r w:rsidRPr="00125472">
        <w:rPr>
          <w:rFonts w:asciiTheme="majorHAnsi" w:eastAsia="Calibri" w:hAnsiTheme="majorHAnsi" w:cs="Times New Roman"/>
          <w:b/>
          <w:sz w:val="24"/>
          <w:szCs w:val="24"/>
          <w:lang w:val="en-GB" w:eastAsia="en-US"/>
        </w:rPr>
        <w:t>RON</w:t>
      </w:r>
      <w:r w:rsidRPr="00125472">
        <w:rPr>
          <w:rFonts w:asciiTheme="majorHAnsi" w:eastAsia="Calibri" w:hAnsiTheme="majorHAnsi" w:cs="Times New Roman"/>
          <w:sz w:val="24"/>
          <w:szCs w:val="24"/>
          <w:lang w:val="en-GB" w:eastAsia="en-US"/>
        </w:rPr>
        <w:t xml:space="preserve"> </w:t>
      </w:r>
      <w:r w:rsidR="00F1495F" w:rsidRPr="00F1495F">
        <w:rPr>
          <w:rFonts w:asciiTheme="majorHAnsi" w:eastAsia="Calibri" w:hAnsiTheme="majorHAnsi" w:cs="Times New Roman"/>
          <w:b/>
          <w:sz w:val="24"/>
          <w:szCs w:val="24"/>
          <w:lang w:val="en-GB" w:eastAsia="en-US"/>
        </w:rPr>
        <w:t xml:space="preserve">3.379 </w:t>
      </w:r>
      <w:r w:rsidRPr="00125472">
        <w:rPr>
          <w:rFonts w:asciiTheme="majorHAnsi" w:eastAsia="Calibri" w:hAnsiTheme="majorHAnsi" w:cs="Times New Roman"/>
          <w:b/>
          <w:sz w:val="24"/>
          <w:szCs w:val="24"/>
          <w:lang w:val="en-GB" w:eastAsia="en-US"/>
        </w:rPr>
        <w:t>thousand</w:t>
      </w:r>
      <w:r w:rsidRPr="00125472">
        <w:rPr>
          <w:rFonts w:asciiTheme="majorHAnsi" w:eastAsia="Calibri" w:hAnsiTheme="majorHAnsi" w:cs="Times New Roman"/>
          <w:sz w:val="24"/>
          <w:szCs w:val="24"/>
          <w:lang w:val="en-GB" w:eastAsia="en-US"/>
        </w:rPr>
        <w:t xml:space="preserve"> due to the </w:t>
      </w:r>
      <w:r w:rsidR="00F1495F">
        <w:rPr>
          <w:rFonts w:asciiTheme="majorHAnsi" w:eastAsia="Calibri" w:hAnsiTheme="majorHAnsi" w:cs="Times New Roman"/>
          <w:sz w:val="24"/>
          <w:szCs w:val="24"/>
          <w:lang w:val="en-GB" w:eastAsia="en-US"/>
        </w:rPr>
        <w:t xml:space="preserve">increase of the </w:t>
      </w:r>
      <w:r w:rsidRPr="00125472">
        <w:rPr>
          <w:rFonts w:asciiTheme="majorHAnsi" w:eastAsia="Calibri" w:hAnsiTheme="majorHAnsi" w:cs="Times New Roman"/>
          <w:sz w:val="24"/>
          <w:szCs w:val="24"/>
          <w:lang w:val="en-GB" w:eastAsia="en-US"/>
        </w:rPr>
        <w:t xml:space="preserve">revenue from the </w:t>
      </w:r>
      <w:r w:rsidR="00F1495F">
        <w:rPr>
          <w:rFonts w:asciiTheme="majorHAnsi" w:eastAsia="Calibri" w:hAnsiTheme="majorHAnsi" w:cs="Times New Roman"/>
          <w:sz w:val="24"/>
          <w:szCs w:val="24"/>
          <w:lang w:val="en-GB" w:eastAsia="en-US"/>
        </w:rPr>
        <w:t xml:space="preserve">currency </w:t>
      </w:r>
      <w:r w:rsidRPr="00125472">
        <w:rPr>
          <w:rFonts w:asciiTheme="majorHAnsi" w:eastAsia="Calibri" w:hAnsiTheme="majorHAnsi" w:cs="Times New Roman"/>
          <w:sz w:val="24"/>
          <w:szCs w:val="24"/>
          <w:lang w:val="en-GB" w:eastAsia="en-US"/>
        </w:rPr>
        <w:t>exchange rate gains.</w:t>
      </w:r>
    </w:p>
    <w:p w:rsidR="0037604E" w:rsidRPr="0037604E" w:rsidRDefault="0037604E" w:rsidP="0037604E">
      <w:pPr>
        <w:tabs>
          <w:tab w:val="num" w:pos="717"/>
          <w:tab w:val="num" w:pos="3905"/>
        </w:tabs>
        <w:spacing w:after="0" w:line="240" w:lineRule="auto"/>
        <w:ind w:left="450" w:firstLine="0"/>
        <w:jc w:val="both"/>
        <w:rPr>
          <w:rFonts w:ascii="Cambria" w:eastAsia="Times New Roman" w:hAnsi="Cambria" w:cs="Times New Roman"/>
          <w:color w:val="FF0000"/>
          <w:sz w:val="24"/>
          <w:szCs w:val="24"/>
          <w:lang w:val="en-GB" w:eastAsia="ro-RO"/>
        </w:rPr>
      </w:pPr>
    </w:p>
    <w:p w:rsidR="0037604E" w:rsidRPr="00F1495F" w:rsidRDefault="0037604E" w:rsidP="0037604E">
      <w:pPr>
        <w:spacing w:after="0" w:line="240" w:lineRule="auto"/>
        <w:ind w:firstLine="0"/>
        <w:contextualSpacing/>
        <w:jc w:val="both"/>
        <w:rPr>
          <w:rFonts w:ascii="Cambria" w:eastAsia="Times New Roman" w:hAnsi="Cambria" w:cs="Times New Roman"/>
          <w:sz w:val="24"/>
          <w:szCs w:val="24"/>
          <w:lang w:val="en-GB" w:eastAsia="ro-RO"/>
        </w:rPr>
      </w:pPr>
      <w:r w:rsidRPr="00F1495F">
        <w:rPr>
          <w:rFonts w:ascii="Cambria" w:eastAsia="Times New Roman" w:hAnsi="Cambria" w:cs="Times New Roman"/>
          <w:b/>
          <w:i/>
          <w:sz w:val="24"/>
          <w:szCs w:val="24"/>
          <w:lang w:val="en-GB" w:eastAsia="ro-RO"/>
        </w:rPr>
        <w:t xml:space="preserve">The operating expense </w:t>
      </w:r>
      <w:r w:rsidRPr="00F1495F">
        <w:rPr>
          <w:rFonts w:ascii="Cambria" w:eastAsia="Times New Roman" w:hAnsi="Cambria" w:cs="Times New Roman"/>
          <w:sz w:val="24"/>
          <w:szCs w:val="24"/>
          <w:lang w:val="en-GB" w:eastAsia="ro-RO"/>
        </w:rPr>
        <w:t xml:space="preserve">before </w:t>
      </w:r>
      <w:r w:rsidR="00B70747">
        <w:rPr>
          <w:rFonts w:ascii="Cambria" w:eastAsia="Times New Roman" w:hAnsi="Cambria" w:cs="Times New Roman"/>
          <w:sz w:val="24"/>
          <w:szCs w:val="24"/>
          <w:lang w:val="en-GB" w:eastAsia="ro-RO"/>
        </w:rPr>
        <w:t xml:space="preserve">balancing and </w:t>
      </w:r>
      <w:r w:rsidRPr="00F1495F">
        <w:rPr>
          <w:rFonts w:ascii="Cambria" w:eastAsia="Times New Roman" w:hAnsi="Cambria" w:cs="Times New Roman"/>
          <w:sz w:val="24"/>
          <w:szCs w:val="24"/>
          <w:lang w:val="en-GB" w:eastAsia="ro-RO"/>
        </w:rPr>
        <w:t xml:space="preserve">the construction activity acc. to IFRIC12 are </w:t>
      </w:r>
      <w:r w:rsidR="00F1495F">
        <w:rPr>
          <w:rFonts w:ascii="Cambria" w:eastAsia="Times New Roman" w:hAnsi="Cambria" w:cs="Times New Roman"/>
          <w:b/>
          <w:sz w:val="24"/>
          <w:szCs w:val="24"/>
          <w:lang w:val="en-GB" w:eastAsia="ro-RO"/>
        </w:rPr>
        <w:t>8</w:t>
      </w:r>
      <w:r w:rsidRPr="00F1495F">
        <w:rPr>
          <w:rFonts w:ascii="Cambria" w:eastAsia="Times New Roman" w:hAnsi="Cambria" w:cs="Times New Roman"/>
          <w:b/>
          <w:sz w:val="24"/>
          <w:szCs w:val="24"/>
          <w:lang w:val="en-GB" w:eastAsia="ro-RO"/>
        </w:rPr>
        <w:t>%</w:t>
      </w:r>
      <w:r w:rsidRPr="00F1495F">
        <w:rPr>
          <w:rFonts w:ascii="Cambria" w:eastAsia="Times New Roman" w:hAnsi="Cambria" w:cs="Times New Roman"/>
          <w:sz w:val="24"/>
          <w:szCs w:val="24"/>
          <w:lang w:val="en-GB" w:eastAsia="ro-RO"/>
        </w:rPr>
        <w:t xml:space="preserve"> lower</w:t>
      </w:r>
      <w:r w:rsidR="00F1495F">
        <w:rPr>
          <w:rFonts w:ascii="Cambria" w:eastAsia="Times New Roman" w:hAnsi="Cambria" w:cs="Times New Roman"/>
          <w:sz w:val="24"/>
          <w:szCs w:val="24"/>
          <w:lang w:val="en-GB" w:eastAsia="ro-RO"/>
        </w:rPr>
        <w:t xml:space="preserve"> as compared to the approved program</w:t>
      </w:r>
      <w:r w:rsidRPr="00F1495F">
        <w:rPr>
          <w:rFonts w:ascii="Cambria" w:eastAsia="Times New Roman" w:hAnsi="Cambria" w:cs="Times New Roman"/>
          <w:sz w:val="24"/>
          <w:szCs w:val="24"/>
          <w:lang w:val="en-GB" w:eastAsia="ro-RO"/>
        </w:rPr>
        <w:t xml:space="preserve">, which is lower by </w:t>
      </w:r>
      <w:r w:rsidRPr="00F1495F">
        <w:rPr>
          <w:rFonts w:ascii="Cambria" w:eastAsia="Times New Roman" w:hAnsi="Cambria" w:cs="Times New Roman"/>
          <w:b/>
          <w:sz w:val="24"/>
          <w:szCs w:val="24"/>
          <w:lang w:val="en-GB" w:eastAsia="ro-RO"/>
        </w:rPr>
        <w:t>RON</w:t>
      </w:r>
      <w:r w:rsidRPr="00F1495F">
        <w:rPr>
          <w:rFonts w:ascii="Cambria" w:eastAsia="Times New Roman" w:hAnsi="Cambria" w:cs="Times New Roman"/>
          <w:sz w:val="24"/>
          <w:szCs w:val="24"/>
          <w:lang w:val="en-GB" w:eastAsia="ro-RO"/>
        </w:rPr>
        <w:t xml:space="preserve"> </w:t>
      </w:r>
      <w:r w:rsidR="00B70747">
        <w:rPr>
          <w:rFonts w:ascii="Cambria" w:eastAsia="Calibri" w:hAnsi="Cambria" w:cs="DokChampa"/>
          <w:b/>
          <w:sz w:val="24"/>
          <w:szCs w:val="24"/>
          <w:lang w:val="ro-RO" w:eastAsia="en-US"/>
        </w:rPr>
        <w:t>60</w:t>
      </w:r>
      <w:r w:rsidR="00B70747" w:rsidRPr="003B32EB">
        <w:rPr>
          <w:rFonts w:ascii="Cambria" w:eastAsia="Calibri" w:hAnsi="Cambria" w:cs="DokChampa"/>
          <w:b/>
          <w:sz w:val="24"/>
          <w:szCs w:val="24"/>
          <w:lang w:val="ro-RO" w:eastAsia="en-US"/>
        </w:rPr>
        <w:t>.</w:t>
      </w:r>
      <w:r w:rsidR="00B70747">
        <w:rPr>
          <w:rFonts w:ascii="Cambria" w:eastAsia="Calibri" w:hAnsi="Cambria" w:cs="DokChampa"/>
          <w:b/>
          <w:sz w:val="24"/>
          <w:szCs w:val="24"/>
          <w:lang w:val="ro-RO" w:eastAsia="en-US"/>
        </w:rPr>
        <w:t>371</w:t>
      </w:r>
      <w:r w:rsidR="00B70747" w:rsidRPr="003B32EB">
        <w:rPr>
          <w:rFonts w:ascii="Cambria" w:eastAsia="Calibri" w:hAnsi="Cambria" w:cs="DokChampa"/>
          <w:b/>
          <w:sz w:val="24"/>
          <w:szCs w:val="24"/>
          <w:lang w:val="ro-RO" w:eastAsia="en-US"/>
        </w:rPr>
        <w:t xml:space="preserve"> </w:t>
      </w:r>
      <w:r w:rsidRPr="00F1495F">
        <w:rPr>
          <w:rFonts w:ascii="Cambria" w:eastAsia="Times New Roman" w:hAnsi="Cambria" w:cs="Times New Roman"/>
          <w:b/>
          <w:sz w:val="24"/>
          <w:szCs w:val="24"/>
          <w:lang w:val="en-GB" w:eastAsia="ro-RO"/>
        </w:rPr>
        <w:t>thousand</w:t>
      </w:r>
      <w:r w:rsidR="00F1495F">
        <w:rPr>
          <w:rFonts w:ascii="Cambria" w:eastAsia="Times New Roman" w:hAnsi="Cambria" w:cs="Times New Roman"/>
          <w:b/>
          <w:sz w:val="24"/>
          <w:szCs w:val="24"/>
          <w:lang w:val="en-GB" w:eastAsia="ro-RO"/>
        </w:rPr>
        <w:t xml:space="preserve"> </w:t>
      </w:r>
      <w:r w:rsidR="00F1495F">
        <w:rPr>
          <w:rFonts w:ascii="Cambria" w:eastAsia="Times New Roman" w:hAnsi="Cambria" w:cs="Times New Roman"/>
          <w:sz w:val="24"/>
          <w:szCs w:val="24"/>
          <w:lang w:val="en-GB" w:eastAsia="ro-RO"/>
        </w:rPr>
        <w:t>than the REB</w:t>
      </w:r>
      <w:r w:rsidRPr="00F1495F">
        <w:rPr>
          <w:rFonts w:ascii="Cambria" w:eastAsia="Times New Roman" w:hAnsi="Cambria" w:cs="Times New Roman"/>
          <w:sz w:val="24"/>
          <w:szCs w:val="24"/>
          <w:lang w:val="en-GB" w:eastAsia="ro-RO"/>
        </w:rPr>
        <w:t>.</w:t>
      </w:r>
    </w:p>
    <w:p w:rsidR="0037604E" w:rsidRPr="00F1495F" w:rsidRDefault="0037604E" w:rsidP="0037604E">
      <w:pPr>
        <w:spacing w:after="0" w:line="240" w:lineRule="auto"/>
        <w:ind w:firstLine="0"/>
        <w:jc w:val="both"/>
        <w:rPr>
          <w:rFonts w:ascii="Cambria" w:eastAsia="Times New Roman" w:hAnsi="Cambria" w:cs="Cambria"/>
          <w:b/>
          <w:i/>
          <w:iCs/>
          <w:sz w:val="24"/>
          <w:szCs w:val="24"/>
          <w:lang w:val="en-GB"/>
        </w:rPr>
      </w:pPr>
    </w:p>
    <w:p w:rsidR="0037604E" w:rsidRPr="00F1495F" w:rsidRDefault="0037604E" w:rsidP="0037604E">
      <w:pPr>
        <w:spacing w:after="0" w:line="240" w:lineRule="auto"/>
        <w:ind w:firstLine="0"/>
        <w:jc w:val="both"/>
        <w:rPr>
          <w:rFonts w:ascii="Cambria" w:eastAsia="Times New Roman" w:hAnsi="Cambria" w:cs="Times New Roman"/>
          <w:sz w:val="24"/>
          <w:szCs w:val="24"/>
          <w:lang w:val="en-GB" w:eastAsia="ro-RO"/>
        </w:rPr>
      </w:pPr>
      <w:r w:rsidRPr="00F1495F">
        <w:rPr>
          <w:rFonts w:ascii="Cambria" w:eastAsia="Times New Roman" w:hAnsi="Cambria" w:cs="Cambria"/>
          <w:b/>
          <w:i/>
          <w:iCs/>
          <w:sz w:val="24"/>
          <w:szCs w:val="24"/>
          <w:lang w:val="en-GB"/>
        </w:rPr>
        <w:t>Savings amounting to</w:t>
      </w:r>
      <w:r w:rsidRPr="00F1495F">
        <w:rPr>
          <w:rFonts w:ascii="Cambria" w:eastAsia="Times New Roman" w:hAnsi="Cambria" w:cs="Times New Roman"/>
          <w:i/>
          <w:sz w:val="24"/>
          <w:szCs w:val="24"/>
          <w:lang w:val="en-GB" w:eastAsia="ro-RO"/>
        </w:rPr>
        <w:t xml:space="preserve"> </w:t>
      </w:r>
      <w:r w:rsidRPr="00F1495F">
        <w:rPr>
          <w:rFonts w:ascii="Cambria" w:eastAsia="Times New Roman" w:hAnsi="Cambria" w:cs="Times New Roman"/>
          <w:b/>
          <w:i/>
          <w:sz w:val="24"/>
          <w:szCs w:val="24"/>
          <w:lang w:val="en-GB" w:eastAsia="ro-RO"/>
        </w:rPr>
        <w:t>RON</w:t>
      </w:r>
      <w:r w:rsidRPr="00F1495F">
        <w:rPr>
          <w:rFonts w:ascii="Cambria" w:eastAsia="Times New Roman" w:hAnsi="Cambria" w:cs="Times New Roman"/>
          <w:sz w:val="24"/>
          <w:szCs w:val="24"/>
          <w:lang w:val="en-GB" w:eastAsia="ro-RO"/>
        </w:rPr>
        <w:t xml:space="preserve"> </w:t>
      </w:r>
      <w:r w:rsidR="00B70747">
        <w:rPr>
          <w:rFonts w:ascii="Cambria" w:eastAsia="Calibri" w:hAnsi="Cambria" w:cs="DokChampa"/>
          <w:b/>
          <w:sz w:val="24"/>
          <w:szCs w:val="24"/>
          <w:lang w:val="ro-RO" w:eastAsia="en-US"/>
        </w:rPr>
        <w:t>178</w:t>
      </w:r>
      <w:r w:rsidR="00B70747" w:rsidRPr="003B32EB">
        <w:rPr>
          <w:rFonts w:ascii="Cambria" w:eastAsia="Calibri" w:hAnsi="Cambria" w:cs="DokChampa"/>
          <w:b/>
          <w:sz w:val="24"/>
          <w:szCs w:val="24"/>
          <w:lang w:val="ro-RO" w:eastAsia="en-US"/>
        </w:rPr>
        <w:t>.</w:t>
      </w:r>
      <w:r w:rsidR="00B70747">
        <w:rPr>
          <w:rFonts w:ascii="Cambria" w:eastAsia="Calibri" w:hAnsi="Cambria" w:cs="DokChampa"/>
          <w:b/>
          <w:sz w:val="24"/>
          <w:szCs w:val="24"/>
          <w:lang w:val="ro-RO" w:eastAsia="en-US"/>
        </w:rPr>
        <w:t>555</w:t>
      </w:r>
      <w:r w:rsidR="00B70747" w:rsidRPr="003B32EB">
        <w:rPr>
          <w:rFonts w:ascii="Cambria" w:eastAsia="Calibri" w:hAnsi="Cambria" w:cs="DokChampa"/>
          <w:b/>
          <w:sz w:val="24"/>
          <w:szCs w:val="24"/>
          <w:lang w:val="ro-RO" w:eastAsia="en-US"/>
        </w:rPr>
        <w:t xml:space="preserve"> </w:t>
      </w:r>
      <w:r w:rsidRPr="00F1495F">
        <w:rPr>
          <w:rFonts w:ascii="Cambria" w:eastAsia="Times New Roman" w:hAnsi="Cambria" w:cs="Times New Roman"/>
          <w:b/>
          <w:i/>
          <w:sz w:val="24"/>
          <w:szCs w:val="24"/>
          <w:lang w:val="en-GB" w:eastAsia="ro-RO"/>
        </w:rPr>
        <w:t xml:space="preserve">thousand </w:t>
      </w:r>
      <w:r w:rsidRPr="00E3629C">
        <w:rPr>
          <w:rFonts w:ascii="Cambria" w:eastAsia="Times New Roman" w:hAnsi="Cambria" w:cs="Cambria"/>
          <w:iCs/>
          <w:sz w:val="24"/>
          <w:szCs w:val="24"/>
          <w:lang w:val="en-GB"/>
        </w:rPr>
        <w:t>were recorded</w:t>
      </w:r>
      <w:r w:rsidRPr="00F1495F">
        <w:rPr>
          <w:rFonts w:ascii="Cambria" w:eastAsia="Times New Roman" w:hAnsi="Cambria" w:cs="Times New Roman"/>
          <w:b/>
          <w:i/>
          <w:sz w:val="24"/>
          <w:szCs w:val="24"/>
          <w:lang w:val="en-GB" w:eastAsia="ro-RO"/>
        </w:rPr>
        <w:t xml:space="preserve">, </w:t>
      </w:r>
      <w:r w:rsidRPr="00F1495F">
        <w:rPr>
          <w:rFonts w:ascii="Cambria" w:eastAsia="Times New Roman" w:hAnsi="Cambria" w:cs="Cambria"/>
          <w:sz w:val="24"/>
          <w:szCs w:val="24"/>
          <w:lang w:val="en-GB"/>
        </w:rPr>
        <w:t>mainly regarding the following cost items</w:t>
      </w:r>
      <w:r w:rsidRPr="00F1495F">
        <w:rPr>
          <w:rFonts w:ascii="Cambria" w:eastAsia="Times New Roman" w:hAnsi="Cambria" w:cs="Times New Roman"/>
          <w:sz w:val="24"/>
          <w:szCs w:val="24"/>
          <w:lang w:val="en-GB" w:eastAsia="ro-RO"/>
        </w:rPr>
        <w:t>:</w:t>
      </w:r>
    </w:p>
    <w:p w:rsidR="0037604E" w:rsidRDefault="0037604E" w:rsidP="00FA6EB9">
      <w:pPr>
        <w:numPr>
          <w:ilvl w:val="0"/>
          <w:numId w:val="41"/>
        </w:numPr>
        <w:spacing w:after="0" w:line="240" w:lineRule="auto"/>
        <w:contextualSpacing/>
        <w:jc w:val="both"/>
        <w:rPr>
          <w:rFonts w:ascii="Cambria" w:eastAsia="Times New Roman" w:hAnsi="Cambria" w:cs="Times New Roman"/>
          <w:sz w:val="24"/>
          <w:szCs w:val="24"/>
          <w:lang w:val="en-GB" w:eastAsia="ro-RO"/>
        </w:rPr>
      </w:pPr>
      <w:r w:rsidRPr="00F1495F">
        <w:rPr>
          <w:rFonts w:ascii="Cambria" w:eastAsia="Times New Roman" w:hAnsi="Cambria" w:cs="Cambria"/>
          <w:sz w:val="24"/>
          <w:szCs w:val="24"/>
          <w:lang w:val="en-GB"/>
        </w:rPr>
        <w:t>consumption and technological loss of natural gas in the transmission system</w:t>
      </w:r>
      <w:r w:rsidRPr="00F1495F">
        <w:rPr>
          <w:rFonts w:ascii="Cambria" w:eastAsia="Times New Roman" w:hAnsi="Cambria" w:cs="Times New Roman"/>
          <w:sz w:val="24"/>
          <w:szCs w:val="24"/>
          <w:lang w:val="en-GB" w:eastAsia="ro-RO"/>
        </w:rPr>
        <w:t xml:space="preserve">  of </w:t>
      </w:r>
      <w:r w:rsidRPr="00F1495F">
        <w:rPr>
          <w:rFonts w:ascii="Cambria" w:eastAsia="Times New Roman" w:hAnsi="Cambria" w:cs="Times New Roman"/>
          <w:b/>
          <w:sz w:val="24"/>
          <w:szCs w:val="24"/>
          <w:lang w:val="en-GB" w:eastAsia="ro-RO"/>
        </w:rPr>
        <w:t>RON</w:t>
      </w:r>
      <w:r w:rsidRPr="00F1495F">
        <w:rPr>
          <w:rFonts w:ascii="Cambria" w:eastAsia="Times New Roman" w:hAnsi="Cambria" w:cs="Times New Roman"/>
          <w:sz w:val="24"/>
          <w:szCs w:val="24"/>
          <w:lang w:val="en-GB" w:eastAsia="ro-RO"/>
        </w:rPr>
        <w:t xml:space="preserve"> </w:t>
      </w:r>
      <w:r w:rsidR="00E3629C" w:rsidRPr="00E3629C">
        <w:rPr>
          <w:rFonts w:asciiTheme="majorHAnsi" w:hAnsiTheme="majorHAnsi"/>
          <w:b/>
          <w:sz w:val="24"/>
        </w:rPr>
        <w:t xml:space="preserve">14.403 </w:t>
      </w:r>
      <w:r w:rsidRPr="00F1495F">
        <w:rPr>
          <w:rFonts w:ascii="Cambria" w:eastAsia="Times New Roman" w:hAnsi="Cambria" w:cs="Times New Roman"/>
          <w:b/>
          <w:sz w:val="24"/>
          <w:szCs w:val="24"/>
          <w:lang w:val="en-GB" w:eastAsia="ro-RO"/>
        </w:rPr>
        <w:t>thousand</w:t>
      </w:r>
      <w:r w:rsidRPr="00F1495F">
        <w:rPr>
          <w:rFonts w:ascii="Cambria" w:eastAsia="Times New Roman" w:hAnsi="Cambria" w:cs="Times New Roman"/>
          <w:sz w:val="24"/>
          <w:szCs w:val="24"/>
          <w:lang w:val="en-GB" w:eastAsia="ro-RO"/>
        </w:rPr>
        <w:t xml:space="preserve">, </w:t>
      </w:r>
      <w:r w:rsidRPr="00F1495F">
        <w:rPr>
          <w:rFonts w:ascii="Cambria" w:eastAsia="Times New Roman" w:hAnsi="Cambria" w:cs="Cambria"/>
          <w:sz w:val="24"/>
          <w:szCs w:val="24"/>
          <w:lang w:val="en-GB"/>
        </w:rPr>
        <w:t>due to the following</w:t>
      </w:r>
      <w:r w:rsidRPr="00F1495F">
        <w:rPr>
          <w:rFonts w:ascii="Cambria" w:eastAsia="Times New Roman" w:hAnsi="Cambria" w:cs="Times New Roman"/>
          <w:sz w:val="24"/>
          <w:szCs w:val="24"/>
          <w:lang w:val="en-GB" w:eastAsia="ro-RO"/>
        </w:rPr>
        <w:t>:</w:t>
      </w:r>
    </w:p>
    <w:p w:rsidR="00E3629C" w:rsidRPr="00E3629C" w:rsidRDefault="00E3629C" w:rsidP="00FA6EB9">
      <w:pPr>
        <w:pStyle w:val="ListParagraph"/>
        <w:numPr>
          <w:ilvl w:val="0"/>
          <w:numId w:val="13"/>
        </w:numPr>
        <w:tabs>
          <w:tab w:val="left" w:pos="1350"/>
          <w:tab w:val="left" w:pos="1440"/>
        </w:tabs>
        <w:spacing w:after="0" w:line="240" w:lineRule="auto"/>
        <w:ind w:left="1440"/>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the average procurement price achieved lower as the one provided in the REB by </w:t>
      </w:r>
      <w:r w:rsidRPr="00E3629C">
        <w:rPr>
          <w:rFonts w:ascii="Cambria" w:eastAsia="Times New Roman" w:hAnsi="Cambria" w:cs="Times New Roman"/>
          <w:sz w:val="24"/>
          <w:szCs w:val="24"/>
          <w:lang w:val="en-GB" w:eastAsia="ro-RO"/>
        </w:rPr>
        <w:t>10,84 lei/MWh</w:t>
      </w:r>
      <w:r>
        <w:rPr>
          <w:rFonts w:ascii="Cambria" w:eastAsia="Times New Roman" w:hAnsi="Cambria" w:cs="Times New Roman"/>
          <w:sz w:val="24"/>
          <w:szCs w:val="24"/>
          <w:lang w:val="en-GB" w:eastAsia="ro-RO"/>
        </w:rPr>
        <w:t xml:space="preserve"> with a positive influence of RON </w:t>
      </w:r>
      <w:r w:rsidRPr="003B32EB">
        <w:rPr>
          <w:rFonts w:ascii="Cambria" w:eastAsia="Calibri" w:hAnsi="Cambria" w:cs="DokChampa"/>
          <w:sz w:val="24"/>
          <w:szCs w:val="24"/>
          <w:lang w:val="ro-RO" w:eastAsia="en-US"/>
        </w:rPr>
        <w:t>12.839</w:t>
      </w:r>
      <w:r>
        <w:rPr>
          <w:rFonts w:ascii="Cambria" w:eastAsia="Calibri" w:hAnsi="Cambria" w:cs="DokChampa"/>
          <w:sz w:val="24"/>
          <w:szCs w:val="24"/>
          <w:lang w:val="ro-RO" w:eastAsia="en-US"/>
        </w:rPr>
        <w:t xml:space="preserve"> thousand;</w:t>
      </w:r>
    </w:p>
    <w:p w:rsidR="0037604E" w:rsidRPr="00F1495F" w:rsidRDefault="0037604E" w:rsidP="00FA6EB9">
      <w:pPr>
        <w:numPr>
          <w:ilvl w:val="0"/>
          <w:numId w:val="13"/>
        </w:numPr>
        <w:tabs>
          <w:tab w:val="num" w:pos="360"/>
          <w:tab w:val="num" w:pos="1437"/>
        </w:tabs>
        <w:spacing w:after="0" w:line="240" w:lineRule="auto"/>
        <w:ind w:left="1437"/>
        <w:jc w:val="both"/>
        <w:rPr>
          <w:rFonts w:ascii="Cambria" w:eastAsia="Times New Roman" w:hAnsi="Cambria" w:cs="Times New Roman"/>
          <w:sz w:val="24"/>
          <w:szCs w:val="24"/>
          <w:lang w:val="en-GB" w:eastAsia="ro-RO"/>
        </w:rPr>
      </w:pPr>
      <w:r w:rsidRPr="00F1495F">
        <w:rPr>
          <w:rFonts w:ascii="Cambria" w:eastAsia="Times New Roman" w:hAnsi="Cambria" w:cs="Cambria"/>
          <w:sz w:val="24"/>
          <w:szCs w:val="24"/>
          <w:lang w:val="en-GB"/>
        </w:rPr>
        <w:t>technological consumption gas lower than the one provided in the programme by</w:t>
      </w:r>
      <w:r w:rsidRPr="00F1495F">
        <w:rPr>
          <w:rFonts w:ascii="Cambria" w:eastAsia="Times New Roman" w:hAnsi="Cambria" w:cs="Times New Roman"/>
          <w:sz w:val="24"/>
          <w:szCs w:val="24"/>
          <w:lang w:val="en-GB" w:eastAsia="ro-RO"/>
        </w:rPr>
        <w:t xml:space="preserve"> </w:t>
      </w:r>
      <w:r w:rsidR="00E3629C" w:rsidRPr="003B32EB">
        <w:rPr>
          <w:rFonts w:ascii="Cambria" w:eastAsia="Calibri" w:hAnsi="Cambria" w:cs="DokChampa"/>
          <w:sz w:val="24"/>
          <w:szCs w:val="24"/>
          <w:lang w:val="ro-RO" w:eastAsia="en-US"/>
        </w:rPr>
        <w:t xml:space="preserve">19.042 </w:t>
      </w:r>
      <w:r w:rsidRPr="00F1495F">
        <w:rPr>
          <w:rFonts w:ascii="Cambria" w:eastAsia="Calibri" w:hAnsi="Cambria" w:cs="Times New Roman"/>
          <w:sz w:val="24"/>
          <w:szCs w:val="24"/>
          <w:lang w:val="en-GB" w:eastAsia="en-US"/>
        </w:rPr>
        <w:t>MWh/</w:t>
      </w:r>
      <w:r w:rsidR="00E3629C" w:rsidRPr="003B32EB">
        <w:rPr>
          <w:rFonts w:ascii="Cambria" w:eastAsia="Calibri" w:hAnsi="Cambria" w:cs="DokChampa"/>
          <w:sz w:val="24"/>
          <w:szCs w:val="24"/>
          <w:lang w:val="ro-RO" w:eastAsia="en-US"/>
        </w:rPr>
        <w:t>4.649</w:t>
      </w:r>
      <w:r w:rsidR="00E3629C">
        <w:rPr>
          <w:rFonts w:ascii="Cambria" w:eastAsia="Calibri" w:hAnsi="Cambria" w:cs="DokChampa"/>
          <w:sz w:val="24"/>
          <w:szCs w:val="24"/>
          <w:lang w:val="ro-RO" w:eastAsia="en-US"/>
        </w:rPr>
        <w:t xml:space="preserve"> </w:t>
      </w:r>
      <w:r w:rsidRPr="00F1495F">
        <w:rPr>
          <w:rFonts w:ascii="Cambria" w:eastAsia="Calibri" w:hAnsi="Cambria" w:cs="Times New Roman"/>
          <w:sz w:val="24"/>
          <w:szCs w:val="24"/>
          <w:lang w:val="en-GB" w:eastAsia="en-US"/>
        </w:rPr>
        <w:t>thousand cm (</w:t>
      </w:r>
      <w:r w:rsidRPr="00F1495F">
        <w:rPr>
          <w:rFonts w:ascii="Times New Roman" w:eastAsia="Calibri" w:hAnsi="Times New Roman" w:cs="Times New Roman"/>
          <w:sz w:val="24"/>
          <w:szCs w:val="24"/>
          <w:lang w:val="en-GB" w:eastAsia="en-US"/>
        </w:rPr>
        <w:t>▼</w:t>
      </w:r>
      <w:r w:rsidR="00E3629C" w:rsidRPr="003B32EB">
        <w:rPr>
          <w:rFonts w:ascii="Cambria" w:eastAsia="Calibri" w:hAnsi="Cambria" w:cs="DokChampa"/>
          <w:sz w:val="24"/>
          <w:szCs w:val="24"/>
          <w:lang w:val="ro-RO" w:eastAsia="en-US"/>
        </w:rPr>
        <w:t>2</w:t>
      </w:r>
      <w:r w:rsidRPr="00F1495F">
        <w:rPr>
          <w:rFonts w:ascii="Cambria" w:eastAsia="Calibri" w:hAnsi="Cambria" w:cs="Times New Roman"/>
          <w:sz w:val="24"/>
          <w:szCs w:val="24"/>
          <w:lang w:val="en-GB" w:eastAsia="en-US"/>
        </w:rPr>
        <w:t xml:space="preserve">%), </w:t>
      </w:r>
      <w:r w:rsidRPr="00F1495F">
        <w:rPr>
          <w:rFonts w:ascii="Cambria" w:eastAsia="Times New Roman" w:hAnsi="Cambria" w:cs="Cambria"/>
          <w:sz w:val="24"/>
          <w:szCs w:val="24"/>
          <w:lang w:val="en-GB"/>
        </w:rPr>
        <w:t>with a positive influence of</w:t>
      </w:r>
      <w:r w:rsidRPr="00F1495F">
        <w:rPr>
          <w:rFonts w:ascii="Cambria" w:eastAsia="Times New Roman" w:hAnsi="Cambria" w:cs="Times New Roman"/>
          <w:sz w:val="24"/>
          <w:szCs w:val="24"/>
          <w:lang w:val="en-GB" w:eastAsia="ro-RO"/>
        </w:rPr>
        <w:t xml:space="preserve"> RON </w:t>
      </w:r>
      <w:r w:rsidR="00E3629C" w:rsidRPr="003B32EB">
        <w:rPr>
          <w:rFonts w:ascii="Cambria" w:eastAsia="Calibri" w:hAnsi="Cambria" w:cs="DokChampa"/>
          <w:sz w:val="24"/>
          <w:szCs w:val="24"/>
          <w:lang w:val="ro-RO" w:eastAsia="en-US"/>
        </w:rPr>
        <w:t>1.564</w:t>
      </w:r>
      <w:r w:rsidR="00E3629C">
        <w:rPr>
          <w:rFonts w:ascii="Cambria" w:eastAsia="Calibri" w:hAnsi="Cambria" w:cs="DokChampa"/>
          <w:sz w:val="24"/>
          <w:szCs w:val="24"/>
          <w:lang w:val="ro-RO" w:eastAsia="en-US"/>
        </w:rPr>
        <w:t xml:space="preserve"> </w:t>
      </w:r>
      <w:r w:rsidRPr="00F1495F">
        <w:rPr>
          <w:rFonts w:ascii="Cambria" w:eastAsia="Times New Roman" w:hAnsi="Cambria" w:cs="Times New Roman"/>
          <w:sz w:val="24"/>
          <w:szCs w:val="24"/>
          <w:lang w:val="en-GB" w:eastAsia="ro-RO"/>
        </w:rPr>
        <w:t>thousand;</w:t>
      </w:r>
    </w:p>
    <w:p w:rsidR="00E3629C" w:rsidRDefault="00E3629C"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maintenance and transmission: RON </w:t>
      </w:r>
      <w:r w:rsidRPr="00E3629C">
        <w:rPr>
          <w:rFonts w:ascii="Cambria" w:eastAsia="Times New Roman" w:hAnsi="Cambria" w:cs="Times New Roman"/>
          <w:sz w:val="24"/>
          <w:szCs w:val="24"/>
          <w:lang w:val="en-GB" w:eastAsia="ro-RO"/>
        </w:rPr>
        <w:t>81.042</w:t>
      </w:r>
      <w:r>
        <w:rPr>
          <w:rFonts w:ascii="Cambria" w:eastAsia="Times New Roman" w:hAnsi="Cambria" w:cs="Times New Roman"/>
          <w:sz w:val="24"/>
          <w:szCs w:val="24"/>
          <w:lang w:val="en-GB" w:eastAsia="ro-RO"/>
        </w:rPr>
        <w:t xml:space="preserve"> </w:t>
      </w:r>
      <w:r w:rsidRPr="00F1495F">
        <w:rPr>
          <w:rFonts w:ascii="Cambria" w:eastAsia="Times New Roman" w:hAnsi="Cambria" w:cs="Times New Roman"/>
          <w:sz w:val="24"/>
          <w:szCs w:val="24"/>
          <w:lang w:val="en-GB" w:eastAsia="ro-RO"/>
        </w:rPr>
        <w:t>thousand;</w:t>
      </w:r>
    </w:p>
    <w:p w:rsidR="00E3629C" w:rsidRDefault="00E3629C"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cost of balancing activity: RON </w:t>
      </w:r>
      <w:r w:rsidRPr="00E3629C">
        <w:rPr>
          <w:rFonts w:ascii="Cambria" w:eastAsia="Times New Roman" w:hAnsi="Cambria" w:cs="Times New Roman"/>
          <w:sz w:val="24"/>
          <w:szCs w:val="24"/>
          <w:lang w:val="en-GB" w:eastAsia="ro-RO"/>
        </w:rPr>
        <w:t>36.849</w:t>
      </w:r>
      <w:r>
        <w:rPr>
          <w:rFonts w:ascii="Cambria" w:eastAsia="Times New Roman" w:hAnsi="Cambria" w:cs="Times New Roman"/>
          <w:sz w:val="24"/>
          <w:szCs w:val="24"/>
          <w:lang w:val="en-GB" w:eastAsia="ro-RO"/>
        </w:rPr>
        <w:t xml:space="preserve"> </w:t>
      </w:r>
      <w:r w:rsidRPr="00F1495F">
        <w:rPr>
          <w:rFonts w:ascii="Cambria" w:eastAsia="Times New Roman" w:hAnsi="Cambria" w:cs="Times New Roman"/>
          <w:sz w:val="24"/>
          <w:szCs w:val="24"/>
          <w:lang w:val="en-GB" w:eastAsia="ro-RO"/>
        </w:rPr>
        <w:t>thousand;</w:t>
      </w:r>
    </w:p>
    <w:p w:rsidR="00E3629C" w:rsidRPr="00E3629C" w:rsidRDefault="00E3629C"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cost of auxiliary materials and other material expenses: RON </w:t>
      </w:r>
      <w:r w:rsidRPr="00E3629C">
        <w:rPr>
          <w:rFonts w:ascii="Cambria" w:eastAsia="Times New Roman" w:hAnsi="Cambria" w:cs="Times New Roman"/>
          <w:sz w:val="24"/>
          <w:szCs w:val="24"/>
          <w:lang w:val="en-GB" w:eastAsia="ro-RO"/>
        </w:rPr>
        <w:t>37.324</w:t>
      </w:r>
      <w:r>
        <w:rPr>
          <w:rFonts w:ascii="Cambria" w:eastAsia="Times New Roman" w:hAnsi="Cambria" w:cs="Times New Roman"/>
          <w:sz w:val="24"/>
          <w:szCs w:val="24"/>
          <w:lang w:val="en-GB" w:eastAsia="ro-RO"/>
        </w:rPr>
        <w:t xml:space="preserve"> </w:t>
      </w:r>
      <w:r w:rsidRPr="00F1495F">
        <w:rPr>
          <w:rFonts w:ascii="Cambria" w:eastAsia="Times New Roman" w:hAnsi="Cambria" w:cs="Times New Roman"/>
          <w:sz w:val="24"/>
          <w:szCs w:val="24"/>
          <w:lang w:val="en-GB" w:eastAsia="ro-RO"/>
        </w:rPr>
        <w:t>thousand;</w:t>
      </w:r>
    </w:p>
    <w:p w:rsidR="0037604E" w:rsidRDefault="0037604E"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sidRPr="00F1495F">
        <w:rPr>
          <w:rFonts w:ascii="Cambria" w:eastAsia="Times New Roman" w:hAnsi="Cambria" w:cs="Times New Roman"/>
          <w:sz w:val="24"/>
          <w:szCs w:val="24"/>
          <w:lang w:val="en-GB" w:eastAsia="ro-RO"/>
        </w:rPr>
        <w:t xml:space="preserve">cost of personnel: RON </w:t>
      </w:r>
      <w:r w:rsidRPr="00F1495F">
        <w:rPr>
          <w:rFonts w:ascii="Cambria" w:eastAsia="Calibri" w:hAnsi="Cambria" w:cs="Times New Roman"/>
          <w:sz w:val="24"/>
          <w:szCs w:val="24"/>
          <w:lang w:val="en-GB" w:eastAsia="en-US"/>
        </w:rPr>
        <w:t xml:space="preserve"> </w:t>
      </w:r>
      <w:r w:rsidR="00677A96" w:rsidRPr="00677A96">
        <w:rPr>
          <w:rFonts w:ascii="Cambria" w:eastAsia="Calibri" w:hAnsi="Cambria" w:cs="Times New Roman"/>
          <w:sz w:val="24"/>
          <w:szCs w:val="24"/>
          <w:lang w:val="en-GB" w:eastAsia="en-US"/>
        </w:rPr>
        <w:t>20.955</w:t>
      </w:r>
      <w:r w:rsidR="00677A96">
        <w:rPr>
          <w:rFonts w:ascii="Cambria" w:eastAsia="Calibri" w:hAnsi="Cambria" w:cs="Times New Roman"/>
          <w:sz w:val="24"/>
          <w:szCs w:val="24"/>
          <w:lang w:val="en-GB" w:eastAsia="en-US"/>
        </w:rPr>
        <w:t xml:space="preserve"> </w:t>
      </w:r>
      <w:r w:rsidRPr="00F1495F">
        <w:rPr>
          <w:rFonts w:ascii="Cambria" w:eastAsia="Times New Roman" w:hAnsi="Cambria" w:cs="Times New Roman"/>
          <w:sz w:val="24"/>
          <w:szCs w:val="24"/>
          <w:lang w:val="en-GB" w:eastAsia="ro-RO"/>
        </w:rPr>
        <w:t>thousand;</w:t>
      </w:r>
    </w:p>
    <w:p w:rsidR="000E5E54" w:rsidRPr="00F1495F" w:rsidRDefault="000E5E54"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 xml:space="preserve">depreciation: </w:t>
      </w:r>
      <w:r w:rsidRPr="00F1495F">
        <w:rPr>
          <w:rFonts w:ascii="Cambria" w:eastAsia="Times New Roman" w:hAnsi="Cambria" w:cs="Times New Roman"/>
          <w:sz w:val="24"/>
          <w:szCs w:val="24"/>
          <w:lang w:val="en-GB" w:eastAsia="ro-RO"/>
        </w:rPr>
        <w:t>RON</w:t>
      </w:r>
      <w:r>
        <w:rPr>
          <w:rFonts w:ascii="Cambria" w:eastAsia="Times New Roman" w:hAnsi="Cambria" w:cs="Times New Roman"/>
          <w:sz w:val="24"/>
          <w:szCs w:val="24"/>
          <w:lang w:val="en-GB" w:eastAsia="ro-RO"/>
        </w:rPr>
        <w:t xml:space="preserve"> </w:t>
      </w:r>
      <w:r w:rsidRPr="000E5E54">
        <w:rPr>
          <w:rFonts w:ascii="Cambria" w:eastAsia="Times New Roman" w:hAnsi="Cambria" w:cs="Times New Roman"/>
          <w:sz w:val="24"/>
          <w:szCs w:val="24"/>
          <w:lang w:val="en-GB" w:eastAsia="ro-RO"/>
        </w:rPr>
        <w:t xml:space="preserve">11.692 </w:t>
      </w:r>
      <w:r w:rsidRPr="00F1495F">
        <w:rPr>
          <w:rFonts w:ascii="Cambria" w:eastAsia="Times New Roman" w:hAnsi="Cambria" w:cs="Times New Roman"/>
          <w:sz w:val="24"/>
          <w:szCs w:val="24"/>
          <w:lang w:val="en-GB" w:eastAsia="ro-RO"/>
        </w:rPr>
        <w:t>thousand;</w:t>
      </w:r>
      <w:r>
        <w:rPr>
          <w:rFonts w:ascii="Cambria" w:eastAsia="Times New Roman" w:hAnsi="Cambria" w:cs="Times New Roman"/>
          <w:sz w:val="24"/>
          <w:szCs w:val="24"/>
          <w:lang w:val="en-GB" w:eastAsia="ro-RO"/>
        </w:rPr>
        <w:t xml:space="preserve"> </w:t>
      </w:r>
    </w:p>
    <w:p w:rsidR="0037604E" w:rsidRPr="00F1495F" w:rsidRDefault="0037604E" w:rsidP="00FA6EB9">
      <w:pPr>
        <w:numPr>
          <w:ilvl w:val="0"/>
          <w:numId w:val="42"/>
        </w:numPr>
        <w:spacing w:after="0" w:line="240" w:lineRule="auto"/>
        <w:contextualSpacing/>
        <w:jc w:val="both"/>
        <w:rPr>
          <w:rFonts w:ascii="Cambria" w:eastAsia="Calibri" w:hAnsi="Cambria" w:cs="Times New Roman"/>
          <w:sz w:val="24"/>
          <w:szCs w:val="24"/>
          <w:lang w:val="en-GB" w:eastAsia="en-US"/>
        </w:rPr>
      </w:pPr>
      <w:r w:rsidRPr="00F1495F">
        <w:rPr>
          <w:rFonts w:ascii="Cambria" w:eastAsia="Times New Roman" w:hAnsi="Cambria" w:cs="Times New Roman"/>
          <w:sz w:val="24"/>
          <w:szCs w:val="24"/>
          <w:lang w:val="en-GB" w:eastAsia="ro-RO"/>
        </w:rPr>
        <w:t xml:space="preserve">taxes and duties: RON </w:t>
      </w:r>
      <w:r w:rsidR="000E5E54" w:rsidRPr="000E5E54">
        <w:rPr>
          <w:rFonts w:ascii="Cambria" w:eastAsia="Calibri" w:hAnsi="Cambria" w:cs="Times New Roman"/>
          <w:sz w:val="24"/>
          <w:szCs w:val="24"/>
          <w:lang w:val="en-GB" w:eastAsia="en-US"/>
        </w:rPr>
        <w:t xml:space="preserve">10.126 </w:t>
      </w:r>
      <w:r w:rsidRPr="00F1495F">
        <w:rPr>
          <w:rFonts w:ascii="Cambria" w:eastAsia="Calibri" w:hAnsi="Cambria" w:cs="Times New Roman"/>
          <w:sz w:val="24"/>
          <w:szCs w:val="24"/>
          <w:lang w:val="en-GB" w:eastAsia="en-US"/>
        </w:rPr>
        <w:t>thousand;</w:t>
      </w:r>
    </w:p>
    <w:p w:rsidR="0037604E" w:rsidRPr="00F1495F" w:rsidRDefault="0037604E" w:rsidP="00FA6EB9">
      <w:pPr>
        <w:numPr>
          <w:ilvl w:val="0"/>
          <w:numId w:val="42"/>
        </w:numPr>
        <w:spacing w:after="0" w:line="240" w:lineRule="auto"/>
        <w:contextualSpacing/>
        <w:jc w:val="both"/>
        <w:rPr>
          <w:rFonts w:ascii="Cambria" w:eastAsia="Calibri" w:hAnsi="Cambria" w:cs="Times New Roman"/>
          <w:sz w:val="24"/>
          <w:szCs w:val="24"/>
          <w:lang w:val="en-GB" w:eastAsia="en-US"/>
        </w:rPr>
      </w:pPr>
      <w:r w:rsidRPr="00F1495F">
        <w:rPr>
          <w:rFonts w:ascii="Cambria" w:eastAsia="Calibri" w:hAnsi="Cambria" w:cs="Times New Roman"/>
          <w:sz w:val="24"/>
          <w:szCs w:val="24"/>
          <w:lang w:val="en-GB" w:eastAsia="en-US"/>
        </w:rPr>
        <w:t xml:space="preserve">cost of provision for risk and expenses: RON </w:t>
      </w:r>
      <w:r w:rsidR="000E5E54" w:rsidRPr="000E5E54">
        <w:rPr>
          <w:rFonts w:ascii="Cambria" w:eastAsia="Calibri" w:hAnsi="Cambria" w:cs="Times New Roman"/>
          <w:sz w:val="24"/>
          <w:szCs w:val="24"/>
          <w:lang w:val="en-GB" w:eastAsia="en-US"/>
        </w:rPr>
        <w:t>3.013</w:t>
      </w:r>
      <w:r w:rsidR="000E5E54">
        <w:rPr>
          <w:rFonts w:ascii="Cambria" w:eastAsia="Calibri" w:hAnsi="Cambria" w:cs="Times New Roman"/>
          <w:sz w:val="24"/>
          <w:szCs w:val="24"/>
          <w:lang w:val="en-GB" w:eastAsia="en-US"/>
        </w:rPr>
        <w:t xml:space="preserve"> </w:t>
      </w:r>
      <w:r w:rsidRPr="00F1495F">
        <w:rPr>
          <w:rFonts w:ascii="Cambria" w:eastAsia="Calibri" w:hAnsi="Cambria" w:cs="Times New Roman"/>
          <w:sz w:val="24"/>
          <w:szCs w:val="24"/>
          <w:lang w:val="en-GB" w:eastAsia="en-US"/>
        </w:rPr>
        <w:t>thousand;</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7C485D" w:rsidRDefault="0037604E" w:rsidP="007C485D">
      <w:pPr>
        <w:spacing w:after="0" w:line="240" w:lineRule="auto"/>
        <w:ind w:firstLine="0"/>
        <w:jc w:val="both"/>
        <w:rPr>
          <w:rFonts w:ascii="Cambria" w:eastAsia="Times New Roman" w:hAnsi="Cambria" w:cs="Cambria"/>
          <w:sz w:val="24"/>
          <w:szCs w:val="24"/>
          <w:lang w:val="en-GB"/>
        </w:rPr>
      </w:pPr>
      <w:r w:rsidRPr="000E5E54">
        <w:rPr>
          <w:rFonts w:asciiTheme="majorHAnsi" w:eastAsia="Times New Roman" w:hAnsiTheme="majorHAnsi" w:cs="Cambria"/>
          <w:b/>
          <w:i/>
          <w:iCs/>
          <w:sz w:val="24"/>
          <w:szCs w:val="24"/>
          <w:lang w:val="en-GB"/>
        </w:rPr>
        <w:t>Exceedings amounting</w:t>
      </w:r>
      <w:r w:rsidRPr="000E5E54">
        <w:rPr>
          <w:rFonts w:ascii="Cambria" w:eastAsia="Times New Roman" w:hAnsi="Cambria" w:cs="Cambria"/>
          <w:i/>
          <w:iCs/>
          <w:sz w:val="24"/>
          <w:szCs w:val="24"/>
          <w:lang w:val="en-GB"/>
        </w:rPr>
        <w:t xml:space="preserve"> to</w:t>
      </w:r>
      <w:r w:rsidRPr="000E5E54">
        <w:rPr>
          <w:rFonts w:ascii="Cambria" w:eastAsia="Times New Roman" w:hAnsi="Cambria" w:cs="Times New Roman"/>
          <w:i/>
          <w:sz w:val="24"/>
          <w:szCs w:val="24"/>
          <w:lang w:val="en-GB" w:eastAsia="ro-RO"/>
        </w:rPr>
        <w:t xml:space="preserve"> </w:t>
      </w:r>
      <w:r w:rsidRPr="000E5E54">
        <w:rPr>
          <w:rFonts w:ascii="Cambria" w:eastAsia="Times New Roman" w:hAnsi="Cambria" w:cs="Times New Roman"/>
          <w:b/>
          <w:sz w:val="24"/>
          <w:szCs w:val="24"/>
          <w:lang w:val="en-GB" w:eastAsia="ro-RO"/>
        </w:rPr>
        <w:t>RON</w:t>
      </w:r>
      <w:r w:rsidRPr="000E5E54">
        <w:rPr>
          <w:rFonts w:ascii="Cambria" w:eastAsia="Times New Roman" w:hAnsi="Cambria" w:cs="Times New Roman"/>
          <w:i/>
          <w:sz w:val="24"/>
          <w:szCs w:val="24"/>
          <w:lang w:val="en-GB" w:eastAsia="ro-RO"/>
        </w:rPr>
        <w:t xml:space="preserve"> </w:t>
      </w:r>
      <w:r w:rsidR="000E5E54" w:rsidRPr="000E5E54">
        <w:rPr>
          <w:rFonts w:ascii="Cambria" w:eastAsia="Calibri" w:hAnsi="Cambria" w:cs="Times New Roman"/>
          <w:b/>
          <w:sz w:val="24"/>
          <w:szCs w:val="24"/>
          <w:lang w:val="en-GB" w:eastAsia="en-US"/>
        </w:rPr>
        <w:t xml:space="preserve">118.184 </w:t>
      </w:r>
      <w:r w:rsidRPr="000E5E54">
        <w:rPr>
          <w:rFonts w:ascii="Cambria" w:eastAsia="Times New Roman" w:hAnsi="Cambria" w:cs="Times New Roman"/>
          <w:b/>
          <w:i/>
          <w:sz w:val="24"/>
          <w:szCs w:val="24"/>
          <w:lang w:val="en-GB" w:eastAsia="ro-RO"/>
        </w:rPr>
        <w:t xml:space="preserve">thousands </w:t>
      </w:r>
      <w:r w:rsidRPr="000E5E54">
        <w:rPr>
          <w:rFonts w:asciiTheme="majorHAnsi" w:eastAsia="Times New Roman" w:hAnsiTheme="majorHAnsi" w:cs="Cambria"/>
          <w:iCs/>
          <w:sz w:val="24"/>
          <w:szCs w:val="24"/>
          <w:lang w:val="en-GB"/>
        </w:rPr>
        <w:t>were recorded</w:t>
      </w:r>
      <w:r w:rsidRPr="000E5E54">
        <w:rPr>
          <w:rFonts w:ascii="Cambria" w:eastAsia="Times New Roman" w:hAnsi="Cambria" w:cs="Times New Roman"/>
          <w:b/>
          <w:i/>
          <w:sz w:val="24"/>
          <w:szCs w:val="24"/>
          <w:lang w:val="en-GB" w:eastAsia="ro-RO"/>
        </w:rPr>
        <w:t xml:space="preserve">, </w:t>
      </w:r>
      <w:r w:rsidRPr="000E5E54">
        <w:rPr>
          <w:rFonts w:ascii="Cambria" w:eastAsia="Times New Roman" w:hAnsi="Cambria" w:cs="Cambria"/>
          <w:sz w:val="24"/>
          <w:szCs w:val="24"/>
          <w:lang w:val="en-GB"/>
        </w:rPr>
        <w:t xml:space="preserve">mainly </w:t>
      </w:r>
      <w:r w:rsidR="000E5E54">
        <w:rPr>
          <w:rFonts w:ascii="Cambria" w:eastAsia="Times New Roman" w:hAnsi="Cambria" w:cs="Cambria"/>
          <w:sz w:val="24"/>
          <w:szCs w:val="24"/>
          <w:lang w:val="en-GB"/>
        </w:rPr>
        <w:t xml:space="preserve">to the following cost </w:t>
      </w:r>
      <w:r w:rsidR="007C485D">
        <w:rPr>
          <w:rFonts w:ascii="Cambria" w:eastAsia="Times New Roman" w:hAnsi="Cambria" w:cs="Cambria"/>
          <w:sz w:val="24"/>
          <w:szCs w:val="24"/>
          <w:lang w:val="en-GB"/>
        </w:rPr>
        <w:t>elements:</w:t>
      </w:r>
    </w:p>
    <w:p w:rsidR="007C485D" w:rsidRDefault="007C485D" w:rsidP="00FA6EB9">
      <w:pPr>
        <w:pStyle w:val="ListParagraph"/>
        <w:numPr>
          <w:ilvl w:val="0"/>
          <w:numId w:val="14"/>
        </w:numPr>
        <w:spacing w:after="0" w:line="240" w:lineRule="auto"/>
        <w:jc w:val="both"/>
        <w:rPr>
          <w:rFonts w:ascii="Cambria" w:eastAsia="Calibri" w:hAnsi="Cambria" w:cs="Times New Roman"/>
          <w:sz w:val="24"/>
          <w:szCs w:val="24"/>
          <w:lang w:val="en-GB" w:eastAsia="en-US"/>
        </w:rPr>
      </w:pPr>
      <w:r>
        <w:rPr>
          <w:rFonts w:ascii="Cambria" w:eastAsia="Calibri" w:hAnsi="Cambria" w:cs="Times New Roman"/>
          <w:sz w:val="24"/>
          <w:szCs w:val="24"/>
          <w:lang w:val="en-GB" w:eastAsia="en-US"/>
        </w:rPr>
        <w:t xml:space="preserve">royalty for the NTS concession: RON </w:t>
      </w:r>
      <w:r w:rsidRPr="007C485D">
        <w:rPr>
          <w:rFonts w:ascii="Cambria" w:eastAsia="Calibri" w:hAnsi="Cambria" w:cs="Times New Roman"/>
          <w:sz w:val="24"/>
          <w:szCs w:val="24"/>
          <w:lang w:val="en-GB" w:eastAsia="en-US"/>
        </w:rPr>
        <w:t>13.260</w:t>
      </w:r>
      <w:r>
        <w:rPr>
          <w:rFonts w:ascii="Cambria" w:eastAsia="Calibri" w:hAnsi="Cambria" w:cs="Times New Roman"/>
          <w:sz w:val="24"/>
          <w:szCs w:val="24"/>
          <w:lang w:val="en-GB" w:eastAsia="en-US"/>
        </w:rPr>
        <w:t xml:space="preserve"> </w:t>
      </w:r>
      <w:r w:rsidRPr="00F1495F">
        <w:rPr>
          <w:rFonts w:ascii="Cambria" w:eastAsia="Calibri" w:hAnsi="Cambria" w:cs="Times New Roman"/>
          <w:sz w:val="24"/>
          <w:szCs w:val="24"/>
          <w:lang w:val="en-GB" w:eastAsia="en-US"/>
        </w:rPr>
        <w:t>thousand;</w:t>
      </w:r>
    </w:p>
    <w:p w:rsidR="0037604E" w:rsidRPr="007C485D" w:rsidRDefault="0037604E" w:rsidP="00FA6EB9">
      <w:pPr>
        <w:pStyle w:val="ListParagraph"/>
        <w:numPr>
          <w:ilvl w:val="0"/>
          <w:numId w:val="14"/>
        </w:numPr>
        <w:spacing w:after="0" w:line="240" w:lineRule="auto"/>
        <w:jc w:val="both"/>
        <w:rPr>
          <w:rFonts w:ascii="Cambria" w:eastAsia="Calibri" w:hAnsi="Cambria" w:cs="Times New Roman"/>
          <w:sz w:val="24"/>
          <w:szCs w:val="24"/>
          <w:lang w:val="en-GB" w:eastAsia="en-US"/>
        </w:rPr>
      </w:pPr>
      <w:r w:rsidRPr="007C485D">
        <w:rPr>
          <w:rFonts w:ascii="Cambria" w:eastAsia="Calibri" w:hAnsi="Cambria" w:cs="Times New Roman"/>
          <w:sz w:val="24"/>
          <w:szCs w:val="24"/>
          <w:lang w:val="en-GB" w:eastAsia="en-US"/>
        </w:rPr>
        <w:lastRenderedPageBreak/>
        <w:t xml:space="preserve">other operating expense </w:t>
      </w:r>
      <w:r w:rsidR="007C485D">
        <w:rPr>
          <w:rFonts w:ascii="Cambria" w:eastAsia="Calibri" w:hAnsi="Cambria" w:cs="Times New Roman"/>
          <w:sz w:val="24"/>
          <w:szCs w:val="24"/>
          <w:lang w:val="en-GB" w:eastAsia="en-US"/>
        </w:rPr>
        <w:t xml:space="preserve">RON </w:t>
      </w:r>
      <w:r w:rsidR="007C485D" w:rsidRPr="007C485D">
        <w:rPr>
          <w:rFonts w:ascii="Cambria" w:eastAsia="Calibri" w:hAnsi="Cambria" w:cs="Times New Roman"/>
          <w:sz w:val="24"/>
          <w:szCs w:val="24"/>
          <w:lang w:val="en-GB" w:eastAsia="en-US"/>
        </w:rPr>
        <w:t xml:space="preserve">104.924 </w:t>
      </w:r>
      <w:r w:rsidR="007C485D" w:rsidRPr="00F1495F">
        <w:rPr>
          <w:rFonts w:ascii="Cambria" w:eastAsia="Calibri" w:hAnsi="Cambria" w:cs="Times New Roman"/>
          <w:sz w:val="24"/>
          <w:szCs w:val="24"/>
          <w:lang w:val="en-GB" w:eastAsia="en-US"/>
        </w:rPr>
        <w:t>thousand</w:t>
      </w:r>
      <w:r w:rsidR="007C485D" w:rsidRPr="007C485D">
        <w:rPr>
          <w:rFonts w:ascii="Cambria" w:eastAsia="Calibri" w:hAnsi="Cambria" w:cs="Times New Roman"/>
          <w:sz w:val="24"/>
          <w:szCs w:val="24"/>
          <w:lang w:val="en-GB" w:eastAsia="en-US"/>
        </w:rPr>
        <w:t xml:space="preserve"> </w:t>
      </w:r>
      <w:r w:rsidRPr="007C485D">
        <w:rPr>
          <w:rFonts w:ascii="Cambria" w:eastAsia="Calibri" w:hAnsi="Cambria" w:cs="Times New Roman"/>
          <w:sz w:val="24"/>
          <w:szCs w:val="24"/>
          <w:lang w:val="en-GB" w:eastAsia="en-US"/>
        </w:rPr>
        <w:t xml:space="preserve">is </w:t>
      </w:r>
      <w:r w:rsidR="007C485D">
        <w:rPr>
          <w:rFonts w:ascii="Cambria" w:eastAsia="Calibri" w:hAnsi="Cambria" w:cs="Times New Roman"/>
          <w:sz w:val="24"/>
          <w:szCs w:val="24"/>
          <w:lang w:val="en-GB" w:eastAsia="en-US"/>
        </w:rPr>
        <w:t>mainly due to the establishing in 2016</w:t>
      </w:r>
      <w:r w:rsidRPr="007C485D">
        <w:rPr>
          <w:rFonts w:ascii="Cambria" w:eastAsia="Calibri" w:hAnsi="Cambria" w:cs="Times New Roman"/>
          <w:sz w:val="24"/>
          <w:szCs w:val="24"/>
          <w:lang w:val="en-GB" w:eastAsia="en-US"/>
        </w:rPr>
        <w:t xml:space="preserve"> of the additional provision </w:t>
      </w:r>
      <w:r w:rsidR="007C485D">
        <w:rPr>
          <w:rFonts w:ascii="Cambria" w:eastAsia="Calibri" w:hAnsi="Cambria" w:cs="Times New Roman"/>
          <w:sz w:val="24"/>
          <w:szCs w:val="24"/>
          <w:lang w:val="en-GB" w:eastAsia="en-US"/>
        </w:rPr>
        <w:t xml:space="preserve">for the impairment of receivables </w:t>
      </w:r>
      <w:r w:rsidRPr="007C485D">
        <w:rPr>
          <w:rFonts w:ascii="Cambria" w:eastAsia="Calibri" w:hAnsi="Cambria" w:cs="Times New Roman"/>
          <w:sz w:val="24"/>
          <w:szCs w:val="24"/>
          <w:lang w:val="en-GB" w:eastAsia="en-US"/>
        </w:rPr>
        <w:t>with Electrocentrale Bucharest.</w:t>
      </w:r>
    </w:p>
    <w:p w:rsidR="00676FE2" w:rsidRPr="00676FE2" w:rsidRDefault="00676FE2" w:rsidP="00676FE2">
      <w:pPr>
        <w:spacing w:after="0" w:line="240" w:lineRule="auto"/>
        <w:ind w:firstLine="0"/>
        <w:jc w:val="both"/>
        <w:rPr>
          <w:rFonts w:ascii="Cambria" w:eastAsia="Calibri" w:hAnsi="Cambria" w:cs="DokChampa"/>
          <w:sz w:val="24"/>
          <w:szCs w:val="24"/>
          <w:highlight w:val="yellow"/>
          <w:lang w:val="ro-RO" w:eastAsia="en-US"/>
        </w:rPr>
      </w:pPr>
      <w:r w:rsidRPr="00676FE2">
        <w:rPr>
          <w:rFonts w:ascii="Cambria" w:eastAsia="Calibri" w:hAnsi="Cambria" w:cs="DokChampa"/>
          <w:b/>
          <w:i/>
          <w:sz w:val="24"/>
          <w:szCs w:val="24"/>
          <w:highlight w:val="yellow"/>
          <w:lang w:val="ro-RO" w:eastAsia="en-US"/>
        </w:rPr>
        <w:t>Cheltuielile  din activitatea de echilibrare</w:t>
      </w:r>
      <w:r w:rsidRPr="00676FE2">
        <w:rPr>
          <w:rFonts w:ascii="Cambria" w:eastAsia="Calibri" w:hAnsi="Cambria" w:cs="DokChampa"/>
          <w:sz w:val="24"/>
          <w:szCs w:val="24"/>
          <w:highlight w:val="yellow"/>
          <w:lang w:val="ro-RO" w:eastAsia="en-US"/>
        </w:rPr>
        <w:t xml:space="preserve"> au înregistrat o scădere de </w:t>
      </w:r>
      <w:r w:rsidRPr="00676FE2">
        <w:rPr>
          <w:rFonts w:ascii="Cambria" w:eastAsia="Calibri" w:hAnsi="Cambria" w:cs="DokChampa"/>
          <w:b/>
          <w:sz w:val="24"/>
          <w:szCs w:val="24"/>
          <w:highlight w:val="yellow"/>
          <w:lang w:val="ro-RO" w:eastAsia="en-US"/>
        </w:rPr>
        <w:t xml:space="preserve">36.849 mii lei </w:t>
      </w:r>
      <w:r w:rsidRPr="00676FE2">
        <w:rPr>
          <w:rFonts w:ascii="Cambria" w:eastAsia="Calibri" w:hAnsi="Cambria" w:cs="DokChampa"/>
          <w:sz w:val="24"/>
          <w:szCs w:val="24"/>
          <w:highlight w:val="yellow"/>
          <w:lang w:val="ro-RO" w:eastAsia="en-US"/>
        </w:rPr>
        <w:t>pe seama următorilor factori:</w:t>
      </w:r>
    </w:p>
    <w:p w:rsidR="00676FE2" w:rsidRPr="00676FE2" w:rsidRDefault="00676FE2" w:rsidP="00676FE2">
      <w:pPr>
        <w:numPr>
          <w:ilvl w:val="1"/>
          <w:numId w:val="177"/>
        </w:numPr>
        <w:spacing w:after="0" w:line="240" w:lineRule="auto"/>
        <w:jc w:val="both"/>
        <w:rPr>
          <w:rFonts w:ascii="Cambria" w:eastAsia="Calibri" w:hAnsi="Cambria" w:cs="DokChampa"/>
          <w:sz w:val="24"/>
          <w:szCs w:val="24"/>
          <w:highlight w:val="yellow"/>
          <w:lang w:val="ro-RO" w:eastAsia="en-US"/>
        </w:rPr>
      </w:pPr>
      <w:r w:rsidRPr="00676FE2">
        <w:rPr>
          <w:rFonts w:ascii="Cambria" w:eastAsia="Calibri" w:hAnsi="Cambria" w:cs="DokChampa"/>
          <w:sz w:val="24"/>
          <w:szCs w:val="24"/>
          <w:highlight w:val="yellow"/>
          <w:lang w:val="ro-RO" w:eastAsia="en-US"/>
        </w:rPr>
        <w:t>preț de tranzacționare mai mic cu 5,62 lei/MWh, cu o influență negativă de 3.862 mii lei;</w:t>
      </w:r>
    </w:p>
    <w:p w:rsidR="00676FE2" w:rsidRPr="00676FE2" w:rsidRDefault="00676FE2" w:rsidP="00676FE2">
      <w:pPr>
        <w:numPr>
          <w:ilvl w:val="1"/>
          <w:numId w:val="177"/>
        </w:numPr>
        <w:spacing w:after="0" w:line="240" w:lineRule="auto"/>
        <w:jc w:val="both"/>
        <w:rPr>
          <w:rFonts w:ascii="Cambria" w:eastAsia="Calibri" w:hAnsi="Cambria" w:cs="DokChampa"/>
          <w:sz w:val="24"/>
          <w:szCs w:val="24"/>
          <w:highlight w:val="yellow"/>
          <w:lang w:val="ro-RO" w:eastAsia="en-US"/>
        </w:rPr>
      </w:pPr>
      <w:r w:rsidRPr="00676FE2">
        <w:rPr>
          <w:rFonts w:ascii="Cambria" w:eastAsia="Calibri" w:hAnsi="Cambria" w:cs="DokChampa"/>
          <w:sz w:val="24"/>
          <w:szCs w:val="24"/>
          <w:highlight w:val="yellow"/>
          <w:lang w:val="ro-RO" w:eastAsia="en-US"/>
        </w:rPr>
        <w:t xml:space="preserve">cantitate mai mică cu 377.995 MWh cu influență nefavorabilă de 32.988 mii lei. </w:t>
      </w:r>
    </w:p>
    <w:p w:rsidR="0037604E" w:rsidRPr="000E5E54"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7C485D" w:rsidRDefault="0037604E" w:rsidP="0037604E">
      <w:pPr>
        <w:spacing w:after="0" w:line="240" w:lineRule="auto"/>
        <w:ind w:firstLine="0"/>
        <w:jc w:val="both"/>
        <w:rPr>
          <w:rFonts w:asciiTheme="majorHAnsi" w:eastAsia="Calibri" w:hAnsiTheme="majorHAnsi" w:cs="Times New Roman"/>
          <w:b/>
          <w:sz w:val="24"/>
          <w:szCs w:val="24"/>
          <w:lang w:val="en-GB" w:eastAsia="en-US"/>
        </w:rPr>
      </w:pPr>
      <w:r w:rsidRPr="007C485D">
        <w:rPr>
          <w:rFonts w:ascii="Cambria" w:eastAsia="Calibri" w:hAnsi="Cambria" w:cs="Times New Roman"/>
          <w:sz w:val="24"/>
          <w:szCs w:val="24"/>
          <w:lang w:val="en-GB" w:eastAsia="en-US"/>
        </w:rPr>
        <w:t>The Company recorded at 31 Decemb</w:t>
      </w:r>
      <w:r w:rsidR="0067218A">
        <w:rPr>
          <w:rFonts w:ascii="Cambria" w:eastAsia="Calibri" w:hAnsi="Cambria" w:cs="Times New Roman"/>
          <w:sz w:val="24"/>
          <w:szCs w:val="24"/>
          <w:lang w:val="en-GB" w:eastAsia="en-US"/>
        </w:rPr>
        <w:t>er 2016</w:t>
      </w:r>
      <w:r w:rsidRPr="007C485D">
        <w:rPr>
          <w:rFonts w:ascii="Cambria" w:eastAsia="Calibri" w:hAnsi="Cambria" w:cs="Times New Roman"/>
          <w:sz w:val="24"/>
          <w:szCs w:val="24"/>
          <w:lang w:val="en-GB" w:eastAsia="en-US"/>
        </w:rPr>
        <w:t xml:space="preserve"> the </w:t>
      </w:r>
      <w:r w:rsidRPr="007C485D">
        <w:rPr>
          <w:rFonts w:ascii="Cambria" w:eastAsia="Calibri" w:hAnsi="Cambria" w:cs="Times New Roman"/>
          <w:b/>
          <w:sz w:val="24"/>
          <w:szCs w:val="24"/>
          <w:lang w:val="en-GB" w:eastAsia="en-US"/>
        </w:rPr>
        <w:t xml:space="preserve">Cost of assets built acc. to IFRIC12 in amount of RON </w:t>
      </w:r>
      <w:r w:rsidR="0067218A" w:rsidRPr="0067218A">
        <w:rPr>
          <w:rFonts w:ascii="Cambria" w:eastAsia="Calibri" w:hAnsi="Cambria" w:cs="Times New Roman"/>
          <w:b/>
          <w:sz w:val="24"/>
          <w:szCs w:val="24"/>
          <w:lang w:val="en-GB" w:eastAsia="en-US"/>
        </w:rPr>
        <w:t>118.504</w:t>
      </w:r>
      <w:r w:rsidR="0067218A">
        <w:rPr>
          <w:rFonts w:ascii="Cambria" w:eastAsia="Calibri" w:hAnsi="Cambria" w:cs="Times New Roman"/>
          <w:b/>
          <w:sz w:val="24"/>
          <w:szCs w:val="24"/>
          <w:lang w:val="en-GB" w:eastAsia="en-US"/>
        </w:rPr>
        <w:t xml:space="preserve"> </w:t>
      </w:r>
      <w:r w:rsidRPr="007C485D">
        <w:rPr>
          <w:rFonts w:ascii="Cambria" w:eastAsia="Calibri" w:hAnsi="Cambria" w:cs="Times New Roman"/>
          <w:b/>
          <w:sz w:val="24"/>
          <w:szCs w:val="24"/>
          <w:lang w:val="en-GB" w:eastAsia="en-US"/>
        </w:rPr>
        <w:t xml:space="preserve">thousand, </w:t>
      </w:r>
      <w:r w:rsidRPr="007C485D">
        <w:rPr>
          <w:rFonts w:ascii="Cambria" w:eastAsia="Calibri" w:hAnsi="Cambria" w:cs="Times New Roman"/>
          <w:sz w:val="24"/>
          <w:szCs w:val="24"/>
          <w:lang w:val="en-GB" w:eastAsia="en-US"/>
        </w:rPr>
        <w:t>according to which according to which transmission network construction or upgrade revenue and costs, in exchange to which it is recorded the intangible asset, must be recognized according to  IAS 11, Construction contracts;</w:t>
      </w:r>
      <w:r w:rsidRPr="007C485D">
        <w:rPr>
          <w:rFonts w:asciiTheme="majorHAnsi" w:hAnsiTheme="majorHAnsi" w:cs="Times New Roman"/>
          <w:bCs/>
          <w:sz w:val="24"/>
          <w:szCs w:val="24"/>
          <w:lang w:val="en-GB" w:eastAsia="ro-RO"/>
        </w:rPr>
        <w:t>. Such revenue and expense were not presented previously since their impact was considered insignificant. Transgaz has no profit from the construction activity, the value of the revenue being equal to the value of the expense from this activity.</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67218A" w:rsidRDefault="0037604E" w:rsidP="0037604E">
      <w:pPr>
        <w:spacing w:line="300" w:lineRule="auto"/>
        <w:ind w:firstLine="0"/>
        <w:jc w:val="both"/>
        <w:rPr>
          <w:rFonts w:asciiTheme="majorHAnsi" w:eastAsia="Calibri" w:hAnsiTheme="majorHAnsi"/>
          <w:sz w:val="24"/>
          <w:szCs w:val="24"/>
          <w:lang w:val="en-GB"/>
        </w:rPr>
      </w:pPr>
      <w:r w:rsidRPr="0067218A">
        <w:rPr>
          <w:rFonts w:asciiTheme="majorHAnsi" w:eastAsia="Calibri" w:hAnsiTheme="majorHAnsi"/>
          <w:b/>
          <w:sz w:val="24"/>
          <w:szCs w:val="24"/>
          <w:lang w:val="en-GB"/>
        </w:rPr>
        <w:t xml:space="preserve">The financial costs </w:t>
      </w:r>
      <w:r w:rsidRPr="0067218A">
        <w:rPr>
          <w:rFonts w:asciiTheme="majorHAnsi" w:eastAsia="Calibri" w:hAnsiTheme="majorHAnsi"/>
          <w:sz w:val="24"/>
          <w:szCs w:val="24"/>
          <w:lang w:val="en-GB"/>
        </w:rPr>
        <w:t xml:space="preserve">increased by </w:t>
      </w:r>
      <w:r w:rsidRPr="0067218A">
        <w:rPr>
          <w:rFonts w:asciiTheme="majorHAnsi" w:eastAsia="Calibri" w:hAnsiTheme="majorHAnsi"/>
          <w:b/>
          <w:sz w:val="24"/>
          <w:szCs w:val="24"/>
          <w:lang w:val="en-GB"/>
        </w:rPr>
        <w:t>RON</w:t>
      </w:r>
      <w:r w:rsidRPr="0067218A">
        <w:rPr>
          <w:rFonts w:asciiTheme="majorHAnsi" w:eastAsia="Calibri" w:hAnsiTheme="majorHAnsi"/>
          <w:sz w:val="24"/>
          <w:szCs w:val="24"/>
          <w:lang w:val="en-GB"/>
        </w:rPr>
        <w:t xml:space="preserve"> </w:t>
      </w:r>
      <w:r w:rsidR="0067218A" w:rsidRPr="0067218A">
        <w:rPr>
          <w:rFonts w:ascii="Cambria" w:eastAsia="Calibri" w:hAnsi="Cambria" w:cs="Times New Roman"/>
          <w:b/>
          <w:sz w:val="24"/>
          <w:szCs w:val="24"/>
          <w:lang w:val="en-GB" w:eastAsia="en-US"/>
        </w:rPr>
        <w:t xml:space="preserve">5.878 </w:t>
      </w:r>
      <w:r w:rsidRPr="0067218A">
        <w:rPr>
          <w:rFonts w:asciiTheme="majorHAnsi" w:eastAsia="Calibri" w:hAnsiTheme="majorHAnsi"/>
          <w:b/>
          <w:sz w:val="24"/>
          <w:szCs w:val="24"/>
          <w:lang w:val="en-GB"/>
        </w:rPr>
        <w:t>thousand</w:t>
      </w:r>
      <w:r w:rsidRPr="0067218A">
        <w:rPr>
          <w:rFonts w:asciiTheme="majorHAnsi" w:hAnsiTheme="majorHAnsi"/>
          <w:sz w:val="24"/>
          <w:szCs w:val="24"/>
          <w:lang w:val="en-GB"/>
        </w:rPr>
        <w:t xml:space="preserve"> as compared to the REB </w:t>
      </w:r>
      <w:r w:rsidRPr="0067218A">
        <w:rPr>
          <w:rFonts w:asciiTheme="majorHAnsi" w:eastAsia="Calibri" w:hAnsiTheme="majorHAnsi"/>
          <w:sz w:val="24"/>
          <w:szCs w:val="24"/>
          <w:lang w:val="en-GB"/>
        </w:rPr>
        <w:t>based on the foreign exchange loss.</w:t>
      </w:r>
    </w:p>
    <w:p w:rsidR="0037604E" w:rsidRPr="0067218A" w:rsidRDefault="0037604E" w:rsidP="0037604E">
      <w:pPr>
        <w:spacing w:after="0" w:line="240" w:lineRule="auto"/>
        <w:ind w:firstLine="0"/>
        <w:jc w:val="both"/>
        <w:rPr>
          <w:rFonts w:ascii="Cambria" w:eastAsia="Times New Roman" w:hAnsi="Cambria" w:cs="Times New Roman"/>
          <w:b/>
          <w:sz w:val="24"/>
          <w:szCs w:val="24"/>
          <w:lang w:val="en-GB" w:eastAsia="ro-RO"/>
        </w:rPr>
      </w:pPr>
      <w:r w:rsidRPr="0067218A">
        <w:rPr>
          <w:rFonts w:ascii="Cambria" w:eastAsia="Times New Roman" w:hAnsi="Cambria" w:cs="Times New Roman"/>
          <w:b/>
          <w:sz w:val="24"/>
          <w:szCs w:val="24"/>
          <w:lang w:val="en-GB" w:eastAsia="ro-RO"/>
        </w:rPr>
        <w:t>A</w:t>
      </w:r>
      <w:r w:rsidRPr="0067218A">
        <w:rPr>
          <w:rFonts w:ascii="Cambria" w:eastAsia="Times New Roman" w:hAnsi="Cambria" w:cs="Cambria"/>
          <w:b/>
          <w:sz w:val="24"/>
          <w:szCs w:val="24"/>
          <w:lang w:val="en-GB"/>
        </w:rPr>
        <w:t>s compared to the REB</w:t>
      </w:r>
      <w:r w:rsidRPr="0067218A">
        <w:rPr>
          <w:rFonts w:ascii="Cambria" w:eastAsia="Times New Roman" w:hAnsi="Cambria" w:cs="Cambria"/>
          <w:b/>
          <w:bCs/>
          <w:i/>
          <w:iCs/>
          <w:sz w:val="24"/>
          <w:szCs w:val="24"/>
          <w:lang w:val="en-GB"/>
        </w:rPr>
        <w:t xml:space="preserve"> the gross profit</w:t>
      </w:r>
      <w:r w:rsidRPr="0067218A">
        <w:rPr>
          <w:rFonts w:ascii="Cambria" w:eastAsia="Times New Roman" w:hAnsi="Cambria" w:cs="Cambria"/>
          <w:b/>
          <w:sz w:val="24"/>
          <w:szCs w:val="24"/>
          <w:lang w:val="en-GB"/>
        </w:rPr>
        <w:t xml:space="preserve"> increased by</w:t>
      </w:r>
      <w:r w:rsidRPr="0067218A">
        <w:rPr>
          <w:rFonts w:ascii="Cambria" w:eastAsia="Times New Roman" w:hAnsi="Cambria" w:cs="Times New Roman"/>
          <w:b/>
          <w:sz w:val="24"/>
          <w:szCs w:val="24"/>
          <w:lang w:val="en-GB" w:eastAsia="ro-RO"/>
        </w:rPr>
        <w:t xml:space="preserve"> </w:t>
      </w:r>
      <w:r w:rsidR="0067218A" w:rsidRPr="0067218A">
        <w:rPr>
          <w:rFonts w:ascii="Cambria" w:eastAsia="Times New Roman" w:hAnsi="Cambria" w:cs="Times New Roman"/>
          <w:b/>
          <w:sz w:val="24"/>
          <w:szCs w:val="24"/>
          <w:lang w:val="en-GB" w:eastAsia="ro-RO"/>
        </w:rPr>
        <w:t>52</w:t>
      </w:r>
      <w:r w:rsidRPr="0067218A">
        <w:rPr>
          <w:rFonts w:ascii="Cambria" w:eastAsia="Times New Roman" w:hAnsi="Cambria" w:cs="Times New Roman"/>
          <w:b/>
          <w:sz w:val="24"/>
          <w:szCs w:val="24"/>
          <w:lang w:val="en-GB" w:eastAsia="ro-RO"/>
        </w:rPr>
        <w:t>%</w:t>
      </w:r>
      <w:r w:rsidRPr="0067218A">
        <w:rPr>
          <w:rFonts w:ascii="Cambria" w:eastAsia="Times New Roman" w:hAnsi="Cambria" w:cs="Cambria"/>
          <w:b/>
          <w:sz w:val="24"/>
          <w:szCs w:val="24"/>
          <w:lang w:val="en-GB"/>
        </w:rPr>
        <w:t>, which is higher by</w:t>
      </w:r>
      <w:r w:rsidRPr="0067218A">
        <w:rPr>
          <w:rFonts w:ascii="Cambria" w:eastAsia="Times New Roman" w:hAnsi="Cambria" w:cs="Times New Roman"/>
          <w:b/>
          <w:sz w:val="24"/>
          <w:szCs w:val="24"/>
          <w:lang w:val="en-GB" w:eastAsia="ro-RO"/>
        </w:rPr>
        <w:t xml:space="preserve"> </w:t>
      </w:r>
      <w:r w:rsidRPr="0067218A">
        <w:rPr>
          <w:rFonts w:ascii="Cambria" w:eastAsia="Calibri" w:hAnsi="Cambria" w:cs="Times New Roman"/>
          <w:b/>
          <w:sz w:val="24"/>
          <w:szCs w:val="24"/>
          <w:lang w:val="en-GB" w:eastAsia="en-US"/>
        </w:rPr>
        <w:t xml:space="preserve">RON </w:t>
      </w:r>
      <w:r w:rsidR="0067218A" w:rsidRPr="0067218A">
        <w:rPr>
          <w:rFonts w:ascii="Cambria" w:eastAsia="Calibri" w:hAnsi="Cambria" w:cs="Times New Roman"/>
          <w:b/>
          <w:sz w:val="24"/>
          <w:szCs w:val="24"/>
          <w:lang w:val="en-GB" w:eastAsia="en-US"/>
        </w:rPr>
        <w:t xml:space="preserve">244.350 </w:t>
      </w:r>
      <w:r w:rsidRPr="0067218A">
        <w:rPr>
          <w:rFonts w:ascii="Cambria" w:eastAsia="Times New Roman" w:hAnsi="Cambria" w:cs="Times New Roman"/>
          <w:b/>
          <w:sz w:val="24"/>
          <w:szCs w:val="24"/>
          <w:lang w:val="en-GB" w:eastAsia="ro-RO"/>
        </w:rPr>
        <w:t xml:space="preserve">thousand, </w:t>
      </w:r>
      <w:r w:rsidRPr="0067218A">
        <w:rPr>
          <w:rFonts w:ascii="Cambria" w:eastAsia="Times New Roman" w:hAnsi="Cambria" w:cs="Cambria"/>
          <w:b/>
          <w:sz w:val="24"/>
          <w:szCs w:val="24"/>
          <w:lang w:val="en-GB"/>
        </w:rPr>
        <w:t xml:space="preserve">and the </w:t>
      </w:r>
      <w:r w:rsidRPr="0067218A">
        <w:rPr>
          <w:rFonts w:ascii="Cambria" w:eastAsia="Times New Roman" w:hAnsi="Cambria" w:cs="Cambria"/>
          <w:b/>
          <w:bCs/>
          <w:sz w:val="24"/>
          <w:szCs w:val="24"/>
          <w:lang w:val="en-GB"/>
        </w:rPr>
        <w:t>net profit</w:t>
      </w:r>
      <w:r w:rsidRPr="0067218A">
        <w:rPr>
          <w:rFonts w:ascii="Cambria" w:eastAsia="Times New Roman" w:hAnsi="Cambria" w:cs="Cambria"/>
          <w:b/>
          <w:sz w:val="24"/>
          <w:szCs w:val="24"/>
          <w:lang w:val="en-GB"/>
        </w:rPr>
        <w:t xml:space="preserve"> increased by </w:t>
      </w:r>
      <w:r w:rsidR="0067218A" w:rsidRPr="0067218A">
        <w:rPr>
          <w:rFonts w:ascii="Cambria" w:eastAsia="Times New Roman" w:hAnsi="Cambria" w:cs="Times New Roman"/>
          <w:b/>
          <w:sz w:val="24"/>
          <w:szCs w:val="24"/>
          <w:lang w:val="en-GB" w:eastAsia="ro-RO"/>
        </w:rPr>
        <w:t>50</w:t>
      </w:r>
      <w:r w:rsidRPr="0067218A">
        <w:rPr>
          <w:rFonts w:ascii="Cambria" w:eastAsia="Times New Roman" w:hAnsi="Cambria" w:cs="Times New Roman"/>
          <w:b/>
          <w:sz w:val="24"/>
          <w:szCs w:val="24"/>
          <w:lang w:val="en-GB" w:eastAsia="ro-RO"/>
        </w:rPr>
        <w:t xml:space="preserve">%, </w:t>
      </w:r>
      <w:r w:rsidRPr="0067218A">
        <w:rPr>
          <w:rFonts w:ascii="Cambria" w:eastAsia="Times New Roman" w:hAnsi="Cambria" w:cs="Cambria"/>
          <w:b/>
          <w:sz w:val="24"/>
          <w:szCs w:val="24"/>
          <w:lang w:val="en-GB"/>
        </w:rPr>
        <w:t>which is higher by</w:t>
      </w:r>
      <w:r w:rsidRPr="0067218A">
        <w:rPr>
          <w:rFonts w:ascii="Cambria" w:eastAsia="Times New Roman" w:hAnsi="Cambria" w:cs="Times New Roman"/>
          <w:b/>
          <w:sz w:val="24"/>
          <w:szCs w:val="24"/>
          <w:lang w:val="en-GB" w:eastAsia="ro-RO"/>
        </w:rPr>
        <w:t xml:space="preserve"> RON </w:t>
      </w:r>
      <w:r w:rsidR="0067218A" w:rsidRPr="0067218A">
        <w:rPr>
          <w:rFonts w:ascii="Cambria" w:eastAsia="Calibri" w:hAnsi="Cambria" w:cs="Times New Roman"/>
          <w:b/>
          <w:sz w:val="24"/>
          <w:szCs w:val="24"/>
          <w:lang w:val="en-GB" w:eastAsia="en-US"/>
        </w:rPr>
        <w:t xml:space="preserve">197.089 </w:t>
      </w:r>
      <w:r w:rsidRPr="0067218A">
        <w:rPr>
          <w:rFonts w:ascii="Cambria" w:eastAsia="Times New Roman" w:hAnsi="Cambria" w:cs="Times New Roman"/>
          <w:b/>
          <w:sz w:val="24"/>
          <w:szCs w:val="24"/>
          <w:lang w:val="en-GB" w:eastAsia="ro-RO"/>
        </w:rPr>
        <w:t>thousand.</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37604E" w:rsidRDefault="0037604E" w:rsidP="0037604E">
      <w:pPr>
        <w:shd w:val="clear" w:color="auto" w:fill="EEECE1" w:themeFill="background2"/>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Achievements 2016 versus Management Plan 2016</w:t>
      </w:r>
    </w:p>
    <w:p w:rsidR="0037604E" w:rsidRPr="0037604E" w:rsidRDefault="0037604E" w:rsidP="0037604E">
      <w:pPr>
        <w:spacing w:after="0" w:line="240" w:lineRule="auto"/>
        <w:ind w:firstLine="0"/>
        <w:jc w:val="both"/>
        <w:rPr>
          <w:rFonts w:ascii="Cambria" w:eastAsia="Times New Roman" w:hAnsi="Cambria" w:cs="Cambria"/>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 xml:space="preserve">The main economic and financial indicators achieved in </w:t>
      </w:r>
      <w:r w:rsidRPr="0037604E">
        <w:rPr>
          <w:rFonts w:ascii="Cambria" w:eastAsia="Times New Roman" w:hAnsi="Cambria" w:cs="Times New Roman"/>
          <w:sz w:val="24"/>
          <w:szCs w:val="24"/>
          <w:lang w:val="en-GB" w:eastAsia="ro-RO"/>
        </w:rPr>
        <w:t xml:space="preserve">2016, </w:t>
      </w:r>
      <w:r w:rsidRPr="0037604E">
        <w:rPr>
          <w:rFonts w:ascii="Cambria" w:eastAsia="Times New Roman" w:hAnsi="Cambria" w:cs="Cambria"/>
          <w:sz w:val="24"/>
          <w:szCs w:val="24"/>
          <w:lang w:val="en-GB"/>
        </w:rPr>
        <w:t>as compared to the management plan of SNTGN</w:t>
      </w:r>
      <w:r w:rsidRPr="0037604E">
        <w:rPr>
          <w:rFonts w:ascii="Cambria" w:eastAsia="Times New Roman" w:hAnsi="Cambria" w:cs="Times New Roman"/>
          <w:sz w:val="24"/>
          <w:szCs w:val="24"/>
          <w:lang w:val="en-GB" w:eastAsia="ro-RO"/>
        </w:rPr>
        <w:t xml:space="preserve"> Transgaz SA for 2016, </w:t>
      </w:r>
      <w:r w:rsidRPr="0037604E">
        <w:rPr>
          <w:rFonts w:ascii="Cambria" w:eastAsia="Times New Roman" w:hAnsi="Cambria" w:cs="Cambria"/>
          <w:sz w:val="24"/>
          <w:szCs w:val="24"/>
          <w:lang w:val="en-GB"/>
        </w:rPr>
        <w:t xml:space="preserve">approved by </w:t>
      </w:r>
      <w:r w:rsidRPr="0037604E">
        <w:rPr>
          <w:rFonts w:ascii="Cambria" w:eastAsia="Times New Roman" w:hAnsi="Cambria" w:cs="Times New Roman"/>
          <w:sz w:val="24"/>
          <w:szCs w:val="24"/>
          <w:lang w:val="en-GB" w:eastAsia="ro-RO"/>
        </w:rPr>
        <w:t>OGMS</w:t>
      </w:r>
      <w:r w:rsidRPr="0037604E">
        <w:rPr>
          <w:rFonts w:ascii="Cambria" w:eastAsia="Times New Roman" w:hAnsi="Cambria" w:cs="Cambria"/>
          <w:sz w:val="24"/>
          <w:szCs w:val="24"/>
          <w:lang w:val="en-GB"/>
        </w:rPr>
        <w:t xml:space="preserve"> Resolution no.</w:t>
      </w:r>
      <w:r w:rsidRPr="0037604E">
        <w:rPr>
          <w:rFonts w:ascii="Cambria" w:eastAsia="Times New Roman" w:hAnsi="Cambria" w:cs="Times New Roman"/>
          <w:sz w:val="24"/>
          <w:szCs w:val="24"/>
          <w:lang w:val="en-GB" w:eastAsia="ro-RO"/>
        </w:rPr>
        <w:t xml:space="preserve"> 9/23 September 2013 </w:t>
      </w:r>
      <w:r w:rsidRPr="0037604E">
        <w:rPr>
          <w:rFonts w:ascii="Cambria" w:eastAsia="Times New Roman" w:hAnsi="Cambria" w:cs="Cambria"/>
          <w:sz w:val="24"/>
          <w:szCs w:val="24"/>
          <w:lang w:val="en-GB"/>
        </w:rPr>
        <w:t>are presented in the table below</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right"/>
        <w:rPr>
          <w:rFonts w:ascii="Cambria" w:eastAsia="Times New Roman" w:hAnsi="Cambria" w:cs="Times New Roman"/>
          <w:i/>
          <w:sz w:val="24"/>
          <w:szCs w:val="24"/>
          <w:lang w:val="en-GB" w:eastAsia="ro-RO"/>
        </w:rPr>
      </w:pPr>
      <w:r w:rsidRPr="0037604E">
        <w:rPr>
          <w:rFonts w:ascii="Cambria" w:eastAsia="Times New Roman" w:hAnsi="Cambria" w:cs="Times New Roman"/>
          <w:i/>
          <w:sz w:val="24"/>
          <w:szCs w:val="24"/>
          <w:lang w:val="en-GB" w:eastAsia="ro-RO"/>
        </w:rPr>
        <w:t>*thousand RON*</w:t>
      </w: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000" w:firstRow="0" w:lastRow="0" w:firstColumn="0" w:lastColumn="0" w:noHBand="0" w:noVBand="0"/>
      </w:tblPr>
      <w:tblGrid>
        <w:gridCol w:w="669"/>
        <w:gridCol w:w="3327"/>
        <w:gridCol w:w="1711"/>
        <w:gridCol w:w="1501"/>
        <w:gridCol w:w="1471"/>
      </w:tblGrid>
      <w:tr w:rsidR="0037604E" w:rsidRPr="0037604E" w:rsidTr="0037604E">
        <w:trPr>
          <w:tblHeader/>
          <w:tblCellSpacing w:w="20" w:type="dxa"/>
          <w:jc w:val="center"/>
        </w:trPr>
        <w:tc>
          <w:tcPr>
            <w:tcW w:w="609" w:type="dxa"/>
            <w:shd w:val="clear" w:color="auto" w:fill="D6E0F4"/>
            <w:vAlign w:val="center"/>
          </w:tcPr>
          <w:p w:rsidR="0037604E" w:rsidRPr="0037604E" w:rsidRDefault="0037604E" w:rsidP="0037604E">
            <w:pPr>
              <w:spacing w:after="0" w:line="240" w:lineRule="auto"/>
              <w:ind w:firstLine="0"/>
              <w:jc w:val="both"/>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No.</w:t>
            </w:r>
          </w:p>
        </w:tc>
        <w:tc>
          <w:tcPr>
            <w:tcW w:w="3287"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18"/>
                <w:szCs w:val="18"/>
                <w:lang w:val="en-GB" w:eastAsia="en-US"/>
              </w:rPr>
            </w:pPr>
            <w:r w:rsidRPr="0037604E">
              <w:rPr>
                <w:rFonts w:ascii="Cambria" w:eastAsia="Times New Roman" w:hAnsi="Cambria" w:cs="Times New Roman"/>
                <w:b/>
                <w:bCs/>
                <w:color w:val="000000"/>
                <w:sz w:val="18"/>
                <w:szCs w:val="18"/>
                <w:lang w:val="en-GB" w:eastAsia="en-US"/>
              </w:rPr>
              <w:t>Name</w:t>
            </w:r>
          </w:p>
        </w:tc>
        <w:tc>
          <w:tcPr>
            <w:tcW w:w="167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18"/>
                <w:szCs w:val="18"/>
                <w:lang w:val="en-GB" w:eastAsia="en-US"/>
              </w:rPr>
            </w:pPr>
            <w:r w:rsidRPr="0037604E">
              <w:rPr>
                <w:rFonts w:ascii="Cambria" w:eastAsia="Times New Roman" w:hAnsi="Cambria" w:cs="Times New Roman"/>
                <w:b/>
                <w:bCs/>
                <w:color w:val="000000"/>
                <w:sz w:val="18"/>
                <w:szCs w:val="18"/>
                <w:lang w:val="en-GB" w:eastAsia="en-US"/>
              </w:rPr>
              <w:t xml:space="preserve">Management Plan 2016 </w:t>
            </w:r>
          </w:p>
        </w:tc>
        <w:tc>
          <w:tcPr>
            <w:tcW w:w="1461" w:type="dxa"/>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bCs/>
                <w:color w:val="000000"/>
                <w:sz w:val="18"/>
                <w:szCs w:val="18"/>
                <w:lang w:val="en-GB" w:eastAsia="en-US"/>
              </w:rPr>
            </w:pPr>
            <w:r w:rsidRPr="0037604E">
              <w:rPr>
                <w:rFonts w:ascii="Cambria" w:eastAsia="Times New Roman" w:hAnsi="Cambria" w:cs="Times New Roman"/>
                <w:b/>
                <w:bCs/>
                <w:color w:val="000000"/>
                <w:sz w:val="18"/>
                <w:szCs w:val="18"/>
                <w:lang w:val="en-GB" w:eastAsia="en-US"/>
              </w:rPr>
              <w:t xml:space="preserve">Achieved </w:t>
            </w:r>
          </w:p>
          <w:p w:rsidR="0037604E" w:rsidRPr="0037604E" w:rsidRDefault="0037604E" w:rsidP="0037604E">
            <w:pPr>
              <w:spacing w:after="0" w:line="240" w:lineRule="auto"/>
              <w:ind w:firstLine="0"/>
              <w:jc w:val="center"/>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2016</w:t>
            </w:r>
          </w:p>
        </w:tc>
        <w:tc>
          <w:tcPr>
            <w:tcW w:w="141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Increase</w:t>
            </w:r>
          </w:p>
        </w:tc>
      </w:tr>
      <w:tr w:rsidR="0037604E" w:rsidRPr="0037604E" w:rsidTr="0037604E">
        <w:trPr>
          <w:tblCellSpacing w:w="20" w:type="dxa"/>
          <w:jc w:val="center"/>
        </w:trPr>
        <w:tc>
          <w:tcPr>
            <w:tcW w:w="609"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0</w:t>
            </w:r>
          </w:p>
        </w:tc>
        <w:tc>
          <w:tcPr>
            <w:tcW w:w="3287"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1</w:t>
            </w:r>
          </w:p>
        </w:tc>
        <w:tc>
          <w:tcPr>
            <w:tcW w:w="167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2</w:t>
            </w:r>
          </w:p>
        </w:tc>
        <w:tc>
          <w:tcPr>
            <w:tcW w:w="146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3</w:t>
            </w:r>
          </w:p>
        </w:tc>
        <w:tc>
          <w:tcPr>
            <w:tcW w:w="141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4=3/2x100-100</w:t>
            </w:r>
          </w:p>
        </w:tc>
      </w:tr>
      <w:tr w:rsidR="00676FE2" w:rsidRPr="0037604E" w:rsidTr="0037604E">
        <w:trPr>
          <w:tblCellSpacing w:w="20" w:type="dxa"/>
          <w:jc w:val="center"/>
        </w:trPr>
        <w:tc>
          <w:tcPr>
            <w:tcW w:w="609" w:type="dxa"/>
            <w:vAlign w:val="center"/>
          </w:tcPr>
          <w:p w:rsidR="00676FE2" w:rsidRPr="0037604E" w:rsidRDefault="00676FE2" w:rsidP="0037604E">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1.</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 xml:space="preserve">Operating revenue before </w:t>
            </w:r>
            <w:r>
              <w:rPr>
                <w:rFonts w:asciiTheme="majorHAnsi" w:eastAsia="Times New Roman" w:hAnsiTheme="majorHAnsi" w:cs="Times New Roman"/>
                <w:sz w:val="18"/>
                <w:szCs w:val="18"/>
                <w:lang w:val="en-GB" w:eastAsia="en-US"/>
              </w:rPr>
              <w:t xml:space="preserve">balancing and </w:t>
            </w:r>
            <w:r w:rsidRPr="0037604E">
              <w:rPr>
                <w:rFonts w:asciiTheme="majorHAnsi" w:eastAsia="Times New Roman" w:hAnsiTheme="majorHAnsi" w:cs="Times New Roman"/>
                <w:sz w:val="18"/>
                <w:szCs w:val="18"/>
                <w:lang w:val="en-GB" w:eastAsia="en-US"/>
              </w:rPr>
              <w:t>the construction activity acc. to IFRIC12</w:t>
            </w: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1.802.272</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1.8</w:t>
            </w:r>
            <w:r>
              <w:rPr>
                <w:rFonts w:ascii="Cambria" w:eastAsia="Calibri" w:hAnsi="Cambria" w:cs="Arial"/>
                <w:sz w:val="18"/>
                <w:szCs w:val="18"/>
                <w:lang w:val="ro-RO" w:eastAsia="en-US"/>
              </w:rPr>
              <w:t>15</w:t>
            </w:r>
            <w:r w:rsidRPr="003B32EB">
              <w:rPr>
                <w:rFonts w:ascii="Cambria" w:eastAsia="Calibri" w:hAnsi="Cambria" w:cs="Arial"/>
                <w:sz w:val="18"/>
                <w:szCs w:val="18"/>
                <w:lang w:val="ro-RO" w:eastAsia="en-US"/>
              </w:rPr>
              <w:t>.</w:t>
            </w:r>
            <w:r>
              <w:rPr>
                <w:rFonts w:ascii="Cambria" w:eastAsia="Calibri" w:hAnsi="Cambria" w:cs="Arial"/>
                <w:sz w:val="18"/>
                <w:szCs w:val="18"/>
                <w:lang w:val="ro-RO" w:eastAsia="en-US"/>
              </w:rPr>
              <w:t>385</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1</w:t>
            </w:r>
            <w:r w:rsidRPr="003B32EB">
              <w:rPr>
                <w:rFonts w:ascii="Cambria" w:eastAsia="Calibri" w:hAnsi="Cambria" w:cs="Arial"/>
                <w:sz w:val="18"/>
                <w:szCs w:val="18"/>
                <w:lang w:val="ro-RO" w:eastAsia="en-US"/>
              </w:rPr>
              <w:t>%</w:t>
            </w: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2.</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57.404</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x</w:t>
            </w: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3.</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Revenue from the construction activity acc. to IFRIC12</w:t>
            </w: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118.504</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x</w:t>
            </w: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b/>
                <w:sz w:val="18"/>
                <w:szCs w:val="18"/>
                <w:lang w:val="en-GB" w:eastAsia="en-US"/>
              </w:rPr>
            </w:pP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revenue</w:t>
            </w: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20.612</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32.231</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56%</w:t>
            </w:r>
          </w:p>
        </w:tc>
      </w:tr>
      <w:tr w:rsidR="00676FE2" w:rsidRPr="0037604E" w:rsidTr="0037604E">
        <w:trPr>
          <w:tblCellSpacing w:w="20" w:type="dxa"/>
          <w:jc w:val="center"/>
        </w:trPr>
        <w:tc>
          <w:tcPr>
            <w:tcW w:w="609" w:type="dxa"/>
            <w:shd w:val="clear" w:color="auto" w:fill="D6E0F4"/>
            <w:vAlign w:val="center"/>
          </w:tcPr>
          <w:p w:rsidR="00676FE2" w:rsidRPr="0037604E" w:rsidRDefault="00676FE2" w:rsidP="00A64BC6">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4.</w:t>
            </w:r>
          </w:p>
        </w:tc>
        <w:tc>
          <w:tcPr>
            <w:tcW w:w="3287" w:type="dxa"/>
            <w:shd w:val="clear" w:color="auto" w:fill="D6E0F4"/>
            <w:vAlign w:val="center"/>
          </w:tcPr>
          <w:p w:rsidR="00676FE2" w:rsidRPr="0037604E" w:rsidRDefault="00676FE2" w:rsidP="0037604E">
            <w:pPr>
              <w:spacing w:after="0" w:line="240" w:lineRule="auto"/>
              <w:ind w:firstLine="0"/>
              <w:rPr>
                <w:rFonts w:asciiTheme="majorHAnsi" w:eastAsia="Times New Roman" w:hAnsiTheme="majorHAnsi" w:cs="Times New Roman"/>
                <w:b/>
                <w:bCs/>
                <w:sz w:val="10"/>
                <w:szCs w:val="10"/>
                <w:lang w:val="en-GB" w:eastAsia="en-US"/>
              </w:rPr>
            </w:pPr>
          </w:p>
        </w:tc>
        <w:tc>
          <w:tcPr>
            <w:tcW w:w="1671" w:type="dxa"/>
            <w:shd w:val="clear" w:color="auto" w:fill="D6E0F4"/>
            <w:vAlign w:val="center"/>
          </w:tcPr>
          <w:p w:rsidR="00676FE2" w:rsidRPr="003B32EB" w:rsidRDefault="00676FE2" w:rsidP="00A64BC6">
            <w:pPr>
              <w:spacing w:after="0" w:line="240" w:lineRule="auto"/>
              <w:ind w:firstLine="0"/>
              <w:jc w:val="right"/>
              <w:rPr>
                <w:rFonts w:ascii="Cambria" w:eastAsia="Calibri" w:hAnsi="Cambria" w:cs="Arial"/>
                <w:b/>
                <w:bCs/>
                <w:sz w:val="18"/>
                <w:szCs w:val="18"/>
                <w:lang w:val="ro-RO" w:eastAsia="en-US"/>
              </w:rPr>
            </w:pPr>
          </w:p>
        </w:tc>
        <w:tc>
          <w:tcPr>
            <w:tcW w:w="1461" w:type="dxa"/>
            <w:shd w:val="clear" w:color="auto" w:fill="D6E0F4"/>
            <w:vAlign w:val="center"/>
          </w:tcPr>
          <w:p w:rsidR="00676FE2" w:rsidRPr="003B32EB" w:rsidRDefault="00676FE2" w:rsidP="00A64BC6">
            <w:pPr>
              <w:spacing w:after="0" w:line="240" w:lineRule="auto"/>
              <w:ind w:firstLine="0"/>
              <w:jc w:val="right"/>
              <w:rPr>
                <w:rFonts w:ascii="Cambria" w:eastAsia="Calibri" w:hAnsi="Cambria" w:cs="Arial"/>
                <w:b/>
                <w:bCs/>
                <w:sz w:val="18"/>
                <w:szCs w:val="18"/>
                <w:lang w:val="ro-RO" w:eastAsia="en-US"/>
              </w:rPr>
            </w:pPr>
          </w:p>
        </w:tc>
        <w:tc>
          <w:tcPr>
            <w:tcW w:w="1411" w:type="dxa"/>
            <w:shd w:val="clear" w:color="auto" w:fill="D6E0F4"/>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sz w:val="18"/>
                <w:szCs w:val="18"/>
                <w:lang w:val="en-GB" w:eastAsia="en-US"/>
              </w:rPr>
              <w:t>5.</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Operating cost before the construction activity acc. to IFRIC12</w:t>
            </w: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1.324.835</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1.1</w:t>
            </w:r>
            <w:r>
              <w:rPr>
                <w:rFonts w:ascii="Cambria" w:eastAsia="Calibri" w:hAnsi="Cambria" w:cs="Arial"/>
                <w:sz w:val="18"/>
                <w:szCs w:val="18"/>
                <w:lang w:val="ro-RO" w:eastAsia="en-US"/>
              </w:rPr>
              <w:t>25</w:t>
            </w:r>
            <w:r w:rsidRPr="003B32EB">
              <w:rPr>
                <w:rFonts w:ascii="Cambria" w:eastAsia="Calibri" w:hAnsi="Cambria" w:cs="Arial"/>
                <w:sz w:val="18"/>
                <w:szCs w:val="18"/>
                <w:lang w:val="ro-RO" w:eastAsia="en-US"/>
              </w:rPr>
              <w:t>.</w:t>
            </w:r>
            <w:r>
              <w:rPr>
                <w:rFonts w:ascii="Cambria" w:eastAsia="Calibri" w:hAnsi="Cambria" w:cs="Arial"/>
                <w:sz w:val="18"/>
                <w:szCs w:val="18"/>
                <w:lang w:val="ro-RO" w:eastAsia="en-US"/>
              </w:rPr>
              <w:t>268</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w:t>
            </w:r>
            <w:r>
              <w:rPr>
                <w:rFonts w:ascii="Cambria" w:eastAsia="Calibri" w:hAnsi="Cambria" w:cs="Arial"/>
                <w:sz w:val="18"/>
                <w:szCs w:val="18"/>
                <w:lang w:val="ro-RO" w:eastAsia="en-US"/>
              </w:rPr>
              <w:t>5</w:t>
            </w:r>
            <w:r w:rsidRPr="003B32EB">
              <w:rPr>
                <w:rFonts w:ascii="Cambria" w:eastAsia="Calibri" w:hAnsi="Cambria" w:cs="Arial"/>
                <w:sz w:val="18"/>
                <w:szCs w:val="18"/>
                <w:lang w:val="ro-RO" w:eastAsia="en-US"/>
              </w:rPr>
              <w:t>%</w:t>
            </w: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6.</w:t>
            </w:r>
          </w:p>
        </w:tc>
        <w:tc>
          <w:tcPr>
            <w:tcW w:w="3287" w:type="dxa"/>
            <w:vAlign w:val="center"/>
          </w:tcPr>
          <w:p w:rsidR="00676FE2" w:rsidRPr="0037604E" w:rsidRDefault="00BF70ED" w:rsidP="0037604E">
            <w:pPr>
              <w:spacing w:after="0" w:line="240" w:lineRule="auto"/>
              <w:ind w:firstLine="0"/>
              <w:rPr>
                <w:rFonts w:asciiTheme="majorHAnsi" w:eastAsia="Times New Roman" w:hAnsiTheme="majorHAnsi" w:cs="Times New Roman"/>
                <w:sz w:val="18"/>
                <w:szCs w:val="18"/>
                <w:lang w:val="en-GB" w:eastAsia="en-US"/>
              </w:rPr>
            </w:pPr>
            <w:r>
              <w:rPr>
                <w:rFonts w:asciiTheme="majorHAnsi" w:eastAsia="Times New Roman" w:hAnsiTheme="majorHAnsi" w:cs="Times New Roman"/>
                <w:sz w:val="18"/>
                <w:szCs w:val="18"/>
                <w:lang w:val="en-GB" w:eastAsia="en-US"/>
              </w:rPr>
              <w:t>Expenses</w:t>
            </w:r>
            <w:r w:rsidR="00676FE2">
              <w:rPr>
                <w:rFonts w:asciiTheme="majorHAnsi" w:eastAsia="Times New Roman" w:hAnsiTheme="majorHAnsi" w:cs="Times New Roman"/>
                <w:sz w:val="18"/>
                <w:szCs w:val="18"/>
                <w:lang w:val="en-GB" w:eastAsia="en-US"/>
              </w:rPr>
              <w:t xml:space="preserve"> with balancing activity</w:t>
            </w:r>
          </w:p>
        </w:tc>
        <w:tc>
          <w:tcPr>
            <w:tcW w:w="167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w:t>
            </w:r>
          </w:p>
        </w:tc>
        <w:tc>
          <w:tcPr>
            <w:tcW w:w="146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56.093</w:t>
            </w:r>
          </w:p>
        </w:tc>
        <w:tc>
          <w:tcPr>
            <w:tcW w:w="1411" w:type="dxa"/>
            <w:vAlign w:val="center"/>
          </w:tcPr>
          <w:p w:rsidR="00676FE2" w:rsidRPr="003B32EB" w:rsidRDefault="00676FE2" w:rsidP="00A64BC6">
            <w:pPr>
              <w:spacing w:after="0" w:line="240" w:lineRule="auto"/>
              <w:ind w:firstLine="0"/>
              <w:jc w:val="right"/>
              <w:rPr>
                <w:rFonts w:ascii="Cambria" w:eastAsia="Calibri" w:hAnsi="Cambria" w:cs="Arial"/>
                <w:sz w:val="18"/>
                <w:szCs w:val="18"/>
                <w:lang w:val="ro-RO" w:eastAsia="en-US"/>
              </w:rPr>
            </w:pPr>
            <w:r>
              <w:rPr>
                <w:rFonts w:ascii="Cambria" w:eastAsia="Calibri" w:hAnsi="Cambria" w:cs="Arial"/>
                <w:sz w:val="18"/>
                <w:szCs w:val="18"/>
                <w:lang w:val="ro-RO" w:eastAsia="en-US"/>
              </w:rPr>
              <w:t>x</w:t>
            </w:r>
          </w:p>
        </w:tc>
      </w:tr>
      <w:tr w:rsidR="00676FE2" w:rsidRPr="0037604E" w:rsidTr="0037604E">
        <w:trPr>
          <w:tblCellSpacing w:w="20" w:type="dxa"/>
          <w:jc w:val="center"/>
        </w:trPr>
        <w:tc>
          <w:tcPr>
            <w:tcW w:w="609" w:type="dxa"/>
            <w:vAlign w:val="center"/>
          </w:tcPr>
          <w:p w:rsidR="00676FE2" w:rsidRPr="0037604E" w:rsidRDefault="00676FE2" w:rsidP="0037604E">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Calibri" w:hAnsiTheme="majorHAnsi" w:cs="Times New Roman"/>
                <w:b/>
                <w:sz w:val="18"/>
                <w:szCs w:val="18"/>
                <w:lang w:val="en-GB" w:eastAsia="en-US"/>
              </w:rPr>
              <w:t>7.</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Cost of assets built acc. to IFRIC12</w:t>
            </w:r>
          </w:p>
        </w:tc>
        <w:tc>
          <w:tcPr>
            <w:tcW w:w="167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w:t>
            </w:r>
          </w:p>
        </w:tc>
        <w:tc>
          <w:tcPr>
            <w:tcW w:w="146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118.504</w:t>
            </w:r>
          </w:p>
        </w:tc>
        <w:tc>
          <w:tcPr>
            <w:tcW w:w="141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X</w:t>
            </w:r>
          </w:p>
        </w:tc>
      </w:tr>
      <w:tr w:rsidR="00676FE2" w:rsidRPr="0037604E" w:rsidTr="0037604E">
        <w:trPr>
          <w:tblCellSpacing w:w="20" w:type="dxa"/>
          <w:jc w:val="center"/>
        </w:trPr>
        <w:tc>
          <w:tcPr>
            <w:tcW w:w="609" w:type="dxa"/>
            <w:vAlign w:val="center"/>
          </w:tcPr>
          <w:p w:rsidR="00676FE2" w:rsidRPr="0037604E" w:rsidRDefault="00676FE2" w:rsidP="00A64BC6">
            <w:pPr>
              <w:spacing w:after="0" w:line="240" w:lineRule="auto"/>
              <w:ind w:firstLine="0"/>
              <w:jc w:val="both"/>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8.</w:t>
            </w:r>
          </w:p>
        </w:tc>
        <w:tc>
          <w:tcPr>
            <w:tcW w:w="3287" w:type="dxa"/>
            <w:vAlign w:val="center"/>
          </w:tcPr>
          <w:p w:rsidR="00676FE2" w:rsidRPr="0037604E" w:rsidRDefault="00676FE2" w:rsidP="0037604E">
            <w:pPr>
              <w:spacing w:after="0" w:line="240" w:lineRule="auto"/>
              <w:ind w:firstLine="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Financial cost</w:t>
            </w:r>
          </w:p>
        </w:tc>
        <w:tc>
          <w:tcPr>
            <w:tcW w:w="167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7.772</w:t>
            </w:r>
          </w:p>
        </w:tc>
        <w:tc>
          <w:tcPr>
            <w:tcW w:w="146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9.683</w:t>
            </w:r>
          </w:p>
        </w:tc>
        <w:tc>
          <w:tcPr>
            <w:tcW w:w="141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25%</w:t>
            </w:r>
          </w:p>
        </w:tc>
      </w:tr>
      <w:tr w:rsidR="00676FE2" w:rsidRPr="0037604E" w:rsidTr="0037604E">
        <w:trPr>
          <w:tblCellSpacing w:w="20" w:type="dxa"/>
          <w:jc w:val="center"/>
        </w:trPr>
        <w:tc>
          <w:tcPr>
            <w:tcW w:w="609" w:type="dxa"/>
            <w:shd w:val="clear" w:color="auto" w:fill="D6E0F4"/>
            <w:vAlign w:val="center"/>
          </w:tcPr>
          <w:p w:rsidR="00676FE2" w:rsidRPr="0037604E" w:rsidRDefault="00676FE2" w:rsidP="0037604E">
            <w:pPr>
              <w:spacing w:after="0" w:line="240" w:lineRule="auto"/>
              <w:ind w:firstLine="0"/>
              <w:jc w:val="both"/>
              <w:rPr>
                <w:rFonts w:asciiTheme="majorHAnsi" w:eastAsia="Calibri" w:hAnsiTheme="majorHAnsi" w:cs="Times New Roman"/>
                <w:b/>
                <w:sz w:val="18"/>
                <w:szCs w:val="18"/>
                <w:lang w:val="en-GB" w:eastAsia="en-US"/>
              </w:rPr>
            </w:pPr>
          </w:p>
        </w:tc>
        <w:tc>
          <w:tcPr>
            <w:tcW w:w="3287" w:type="dxa"/>
            <w:shd w:val="clear" w:color="auto" w:fill="D6E0F4"/>
            <w:vAlign w:val="center"/>
          </w:tcPr>
          <w:p w:rsidR="00676FE2" w:rsidRPr="0037604E" w:rsidRDefault="00676FE2" w:rsidP="0037604E">
            <w:pPr>
              <w:spacing w:after="0" w:line="240" w:lineRule="auto"/>
              <w:ind w:firstLine="0"/>
              <w:rPr>
                <w:rFonts w:asciiTheme="majorHAnsi" w:eastAsia="Times New Roman" w:hAnsiTheme="majorHAnsi" w:cs="Times New Roman"/>
                <w:b/>
                <w:bCs/>
                <w:sz w:val="10"/>
                <w:szCs w:val="10"/>
                <w:lang w:val="en-GB" w:eastAsia="en-US"/>
              </w:rPr>
            </w:pPr>
          </w:p>
        </w:tc>
        <w:tc>
          <w:tcPr>
            <w:tcW w:w="167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p>
        </w:tc>
        <w:tc>
          <w:tcPr>
            <w:tcW w:w="146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p>
        </w:tc>
        <w:tc>
          <w:tcPr>
            <w:tcW w:w="141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p>
        </w:tc>
      </w:tr>
      <w:tr w:rsidR="00676FE2" w:rsidRPr="0037604E" w:rsidTr="0037604E">
        <w:trPr>
          <w:tblCellSpacing w:w="20" w:type="dxa"/>
          <w:jc w:val="center"/>
        </w:trPr>
        <w:tc>
          <w:tcPr>
            <w:tcW w:w="609" w:type="dxa"/>
            <w:shd w:val="clear" w:color="auto" w:fill="D6E0F4"/>
            <w:vAlign w:val="center"/>
          </w:tcPr>
          <w:p w:rsidR="00676FE2" w:rsidRPr="0037604E" w:rsidRDefault="00676FE2" w:rsidP="00A64BC6">
            <w:pPr>
              <w:spacing w:after="0" w:line="240" w:lineRule="auto"/>
              <w:ind w:firstLine="0"/>
              <w:jc w:val="both"/>
              <w:rPr>
                <w:rFonts w:asciiTheme="majorHAnsi" w:eastAsia="Calibri" w:hAnsiTheme="majorHAnsi" w:cs="Times New Roman"/>
                <w:b/>
                <w:sz w:val="18"/>
                <w:szCs w:val="18"/>
                <w:lang w:val="en-GB" w:eastAsia="en-US"/>
              </w:rPr>
            </w:pPr>
            <w:r w:rsidRPr="0037604E">
              <w:rPr>
                <w:rFonts w:asciiTheme="majorHAnsi" w:eastAsia="Calibri" w:hAnsiTheme="majorHAnsi" w:cs="Times New Roman"/>
                <w:b/>
                <w:sz w:val="18"/>
                <w:szCs w:val="18"/>
                <w:lang w:val="en-GB" w:eastAsia="en-US"/>
              </w:rPr>
              <w:t>9.</w:t>
            </w:r>
          </w:p>
        </w:tc>
        <w:tc>
          <w:tcPr>
            <w:tcW w:w="3287" w:type="dxa"/>
            <w:shd w:val="clear" w:color="auto" w:fill="D6E0F4"/>
            <w:vAlign w:val="center"/>
          </w:tcPr>
          <w:p w:rsidR="00676FE2" w:rsidRPr="0037604E" w:rsidRDefault="00676FE2" w:rsidP="0037604E">
            <w:pPr>
              <w:spacing w:after="0" w:line="240" w:lineRule="auto"/>
              <w:ind w:firstLine="0"/>
              <w:jc w:val="both"/>
              <w:rPr>
                <w:rFonts w:asciiTheme="majorHAnsi" w:eastAsia="Calibri" w:hAnsiTheme="majorHAnsi" w:cs="Times New Roman"/>
                <w:sz w:val="18"/>
                <w:szCs w:val="18"/>
                <w:lang w:val="en-GB" w:eastAsia="en-US"/>
              </w:rPr>
            </w:pPr>
            <w:r w:rsidRPr="0037604E">
              <w:rPr>
                <w:rFonts w:asciiTheme="majorHAnsi" w:eastAsia="Times New Roman" w:hAnsiTheme="majorHAnsi" w:cs="Times New Roman"/>
                <w:b/>
                <w:bCs/>
                <w:sz w:val="18"/>
                <w:szCs w:val="18"/>
                <w:lang w:val="en-GB" w:eastAsia="en-US"/>
              </w:rPr>
              <w:t xml:space="preserve">GROSS PROFIT </w:t>
            </w:r>
            <w:r w:rsidRPr="0037604E">
              <w:rPr>
                <w:rFonts w:asciiTheme="majorHAnsi" w:eastAsia="Calibri" w:hAnsiTheme="majorHAnsi" w:cs="Times New Roman"/>
                <w:sz w:val="18"/>
                <w:szCs w:val="18"/>
                <w:lang w:val="en-GB" w:eastAsia="en-US"/>
              </w:rPr>
              <w:t>(rd.3.- rd.6.), of which:</w:t>
            </w:r>
          </w:p>
        </w:tc>
        <w:tc>
          <w:tcPr>
            <w:tcW w:w="167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490.277</w:t>
            </w:r>
          </w:p>
        </w:tc>
        <w:tc>
          <w:tcPr>
            <w:tcW w:w="146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713.975</w:t>
            </w:r>
          </w:p>
        </w:tc>
        <w:tc>
          <w:tcPr>
            <w:tcW w:w="141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46%</w:t>
            </w:r>
          </w:p>
        </w:tc>
      </w:tr>
      <w:tr w:rsidR="00676FE2" w:rsidRPr="0037604E" w:rsidTr="0037604E">
        <w:trPr>
          <w:tblCellSpacing w:w="20" w:type="dxa"/>
          <w:jc w:val="center"/>
        </w:trPr>
        <w:tc>
          <w:tcPr>
            <w:tcW w:w="609" w:type="dxa"/>
            <w:vAlign w:val="center"/>
          </w:tcPr>
          <w:p w:rsidR="00676FE2" w:rsidRPr="0037604E" w:rsidRDefault="00676FE2" w:rsidP="0037604E">
            <w:pPr>
              <w:spacing w:after="0" w:line="240" w:lineRule="auto"/>
              <w:ind w:firstLine="0"/>
              <w:jc w:val="both"/>
              <w:rPr>
                <w:rFonts w:asciiTheme="majorHAnsi" w:eastAsia="Calibri" w:hAnsiTheme="majorHAnsi" w:cs="Times New Roman"/>
                <w:sz w:val="18"/>
                <w:szCs w:val="18"/>
                <w:lang w:val="en-GB" w:eastAsia="en-US"/>
              </w:rPr>
            </w:pPr>
          </w:p>
        </w:tc>
        <w:tc>
          <w:tcPr>
            <w:tcW w:w="3287" w:type="dxa"/>
            <w:vAlign w:val="center"/>
          </w:tcPr>
          <w:p w:rsidR="00676FE2" w:rsidRPr="0037604E" w:rsidRDefault="00676FE2" w:rsidP="0037604E">
            <w:pPr>
              <w:spacing w:after="0" w:line="240" w:lineRule="auto"/>
              <w:ind w:firstLineChars="20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from operation</w:t>
            </w:r>
          </w:p>
        </w:tc>
        <w:tc>
          <w:tcPr>
            <w:tcW w:w="167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477.437</w:t>
            </w:r>
          </w:p>
        </w:tc>
        <w:tc>
          <w:tcPr>
            <w:tcW w:w="146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691.427</w:t>
            </w:r>
          </w:p>
        </w:tc>
        <w:tc>
          <w:tcPr>
            <w:tcW w:w="141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45%</w:t>
            </w:r>
          </w:p>
        </w:tc>
      </w:tr>
      <w:tr w:rsidR="00676FE2" w:rsidRPr="0037604E" w:rsidTr="0037604E">
        <w:trPr>
          <w:tblCellSpacing w:w="20" w:type="dxa"/>
          <w:jc w:val="center"/>
        </w:trPr>
        <w:tc>
          <w:tcPr>
            <w:tcW w:w="609" w:type="dxa"/>
            <w:vAlign w:val="center"/>
          </w:tcPr>
          <w:p w:rsidR="00676FE2" w:rsidRPr="0037604E" w:rsidRDefault="00676FE2" w:rsidP="0037604E">
            <w:pPr>
              <w:spacing w:after="0" w:line="240" w:lineRule="auto"/>
              <w:ind w:firstLine="0"/>
              <w:jc w:val="both"/>
              <w:rPr>
                <w:rFonts w:asciiTheme="majorHAnsi" w:eastAsia="Calibri" w:hAnsiTheme="majorHAnsi" w:cs="Times New Roman"/>
                <w:sz w:val="18"/>
                <w:szCs w:val="18"/>
                <w:lang w:val="en-GB" w:eastAsia="en-US"/>
              </w:rPr>
            </w:pPr>
          </w:p>
        </w:tc>
        <w:tc>
          <w:tcPr>
            <w:tcW w:w="3287" w:type="dxa"/>
            <w:vAlign w:val="center"/>
          </w:tcPr>
          <w:p w:rsidR="00676FE2" w:rsidRPr="0037604E" w:rsidRDefault="00676FE2" w:rsidP="0037604E">
            <w:pPr>
              <w:spacing w:after="0" w:line="240" w:lineRule="auto"/>
              <w:ind w:firstLineChars="200"/>
              <w:rPr>
                <w:rFonts w:asciiTheme="majorHAnsi" w:eastAsia="Times New Roman" w:hAnsiTheme="majorHAnsi" w:cs="Times New Roman"/>
                <w:sz w:val="18"/>
                <w:szCs w:val="18"/>
                <w:lang w:val="en-GB" w:eastAsia="en-US"/>
              </w:rPr>
            </w:pPr>
            <w:r w:rsidRPr="0037604E">
              <w:rPr>
                <w:rFonts w:asciiTheme="majorHAnsi" w:eastAsia="Times New Roman" w:hAnsiTheme="majorHAnsi" w:cs="Times New Roman"/>
                <w:sz w:val="18"/>
                <w:szCs w:val="18"/>
                <w:lang w:val="en-GB" w:eastAsia="en-US"/>
              </w:rPr>
              <w:t>from the financial activity</w:t>
            </w:r>
          </w:p>
        </w:tc>
        <w:tc>
          <w:tcPr>
            <w:tcW w:w="167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12.840</w:t>
            </w:r>
          </w:p>
        </w:tc>
        <w:tc>
          <w:tcPr>
            <w:tcW w:w="146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22.547</w:t>
            </w:r>
          </w:p>
        </w:tc>
        <w:tc>
          <w:tcPr>
            <w:tcW w:w="141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76%</w:t>
            </w:r>
          </w:p>
        </w:tc>
      </w:tr>
      <w:tr w:rsidR="00676FE2" w:rsidRPr="0037604E" w:rsidTr="0037604E">
        <w:trPr>
          <w:tblCellSpacing w:w="20" w:type="dxa"/>
          <w:jc w:val="center"/>
        </w:trPr>
        <w:tc>
          <w:tcPr>
            <w:tcW w:w="609" w:type="dxa"/>
            <w:vAlign w:val="center"/>
          </w:tcPr>
          <w:p w:rsidR="00676FE2" w:rsidRPr="0037604E" w:rsidRDefault="00676FE2" w:rsidP="0037604E">
            <w:pPr>
              <w:spacing w:after="0" w:line="240" w:lineRule="auto"/>
              <w:ind w:firstLine="0"/>
              <w:jc w:val="both"/>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lastRenderedPageBreak/>
              <w:t>10.</w:t>
            </w:r>
          </w:p>
        </w:tc>
        <w:tc>
          <w:tcPr>
            <w:tcW w:w="3287" w:type="dxa"/>
            <w:vAlign w:val="center"/>
          </w:tcPr>
          <w:p w:rsidR="00676FE2" w:rsidRPr="00676FE2" w:rsidRDefault="00676FE2" w:rsidP="0037604E">
            <w:pPr>
              <w:spacing w:after="0" w:line="240" w:lineRule="auto"/>
              <w:ind w:firstLine="0"/>
              <w:rPr>
                <w:rFonts w:asciiTheme="majorHAnsi" w:eastAsia="Times New Roman" w:hAnsiTheme="majorHAnsi" w:cs="Times New Roman"/>
                <w:b/>
                <w:sz w:val="18"/>
                <w:szCs w:val="18"/>
                <w:lang w:val="en-GB" w:eastAsia="en-US"/>
              </w:rPr>
            </w:pPr>
            <w:r w:rsidRPr="00676FE2">
              <w:rPr>
                <w:rFonts w:asciiTheme="majorHAnsi" w:eastAsia="Times New Roman" w:hAnsiTheme="majorHAnsi" w:cs="Times New Roman"/>
                <w:b/>
                <w:sz w:val="18"/>
                <w:szCs w:val="18"/>
                <w:lang w:val="en-GB" w:eastAsia="en-US"/>
              </w:rPr>
              <w:t>Tax on profit</w:t>
            </w:r>
          </w:p>
        </w:tc>
        <w:tc>
          <w:tcPr>
            <w:tcW w:w="1671" w:type="dxa"/>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77.871</w:t>
            </w:r>
          </w:p>
        </w:tc>
        <w:tc>
          <w:tcPr>
            <w:tcW w:w="1461" w:type="dxa"/>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119.410</w:t>
            </w:r>
          </w:p>
        </w:tc>
        <w:tc>
          <w:tcPr>
            <w:tcW w:w="1411" w:type="dxa"/>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53%</w:t>
            </w:r>
          </w:p>
        </w:tc>
      </w:tr>
      <w:tr w:rsidR="00676FE2" w:rsidRPr="0037604E" w:rsidTr="0037604E">
        <w:trPr>
          <w:trHeight w:val="248"/>
          <w:tblCellSpacing w:w="20" w:type="dxa"/>
          <w:jc w:val="center"/>
        </w:trPr>
        <w:tc>
          <w:tcPr>
            <w:tcW w:w="609" w:type="dxa"/>
            <w:shd w:val="clear" w:color="auto" w:fill="D6E0F4"/>
            <w:vAlign w:val="center"/>
          </w:tcPr>
          <w:p w:rsidR="00676FE2" w:rsidRPr="0037604E" w:rsidRDefault="00676FE2" w:rsidP="0037604E">
            <w:pPr>
              <w:spacing w:after="0" w:line="240" w:lineRule="auto"/>
              <w:ind w:firstLine="0"/>
              <w:jc w:val="both"/>
              <w:rPr>
                <w:rFonts w:asciiTheme="majorHAnsi" w:eastAsia="Calibri" w:hAnsiTheme="majorHAnsi" w:cs="Times New Roman"/>
                <w:b/>
                <w:sz w:val="18"/>
                <w:szCs w:val="18"/>
                <w:lang w:val="en-GB" w:eastAsia="en-US"/>
              </w:rPr>
            </w:pPr>
            <w:r>
              <w:rPr>
                <w:rFonts w:asciiTheme="majorHAnsi" w:eastAsia="Calibri" w:hAnsiTheme="majorHAnsi" w:cs="Times New Roman"/>
                <w:b/>
                <w:sz w:val="18"/>
                <w:szCs w:val="18"/>
                <w:lang w:val="en-GB" w:eastAsia="en-US"/>
              </w:rPr>
              <w:t>11.</w:t>
            </w:r>
          </w:p>
        </w:tc>
        <w:tc>
          <w:tcPr>
            <w:tcW w:w="3287" w:type="dxa"/>
            <w:shd w:val="clear" w:color="auto" w:fill="D6E0F4"/>
            <w:vAlign w:val="center"/>
          </w:tcPr>
          <w:p w:rsidR="00676FE2" w:rsidRPr="0037604E" w:rsidRDefault="00676FE2" w:rsidP="0037604E">
            <w:pPr>
              <w:spacing w:after="0" w:line="240" w:lineRule="auto"/>
              <w:ind w:firstLine="0"/>
              <w:rPr>
                <w:rFonts w:asciiTheme="majorHAnsi" w:eastAsia="Times New Roman" w:hAnsiTheme="majorHAnsi" w:cs="Times New Roman"/>
                <w:b/>
                <w:bCs/>
                <w:sz w:val="18"/>
                <w:szCs w:val="18"/>
                <w:lang w:val="en-GB" w:eastAsia="en-US"/>
              </w:rPr>
            </w:pPr>
            <w:r w:rsidRPr="0037604E">
              <w:rPr>
                <w:rFonts w:asciiTheme="majorHAnsi" w:eastAsia="Times New Roman" w:hAnsiTheme="majorHAnsi" w:cs="Times New Roman"/>
                <w:b/>
                <w:bCs/>
                <w:sz w:val="18"/>
                <w:szCs w:val="18"/>
                <w:lang w:val="en-GB" w:eastAsia="en-US"/>
              </w:rPr>
              <w:t xml:space="preserve">NET PROFITUL </w:t>
            </w:r>
          </w:p>
        </w:tc>
        <w:tc>
          <w:tcPr>
            <w:tcW w:w="167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412.406</w:t>
            </w:r>
          </w:p>
        </w:tc>
        <w:tc>
          <w:tcPr>
            <w:tcW w:w="146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b/>
                <w:bCs/>
                <w:sz w:val="18"/>
                <w:szCs w:val="18"/>
                <w:lang w:val="ro-RO" w:eastAsia="en-US"/>
              </w:rPr>
            </w:pPr>
            <w:r w:rsidRPr="003B32EB">
              <w:rPr>
                <w:rFonts w:ascii="Cambria" w:eastAsia="Calibri" w:hAnsi="Cambria" w:cs="Arial"/>
                <w:b/>
                <w:bCs/>
                <w:sz w:val="18"/>
                <w:szCs w:val="18"/>
                <w:lang w:val="ro-RO" w:eastAsia="en-US"/>
              </w:rPr>
              <w:t>594.565</w:t>
            </w:r>
          </w:p>
        </w:tc>
        <w:tc>
          <w:tcPr>
            <w:tcW w:w="1411" w:type="dxa"/>
            <w:shd w:val="clear" w:color="auto" w:fill="D6E0F4"/>
            <w:vAlign w:val="center"/>
          </w:tcPr>
          <w:p w:rsidR="00676FE2" w:rsidRPr="003B32EB" w:rsidRDefault="00676FE2" w:rsidP="004816F8">
            <w:pPr>
              <w:spacing w:after="0" w:line="240" w:lineRule="auto"/>
              <w:ind w:firstLine="0"/>
              <w:jc w:val="right"/>
              <w:rPr>
                <w:rFonts w:ascii="Cambria" w:eastAsia="Calibri" w:hAnsi="Cambria" w:cs="Arial"/>
                <w:sz w:val="18"/>
                <w:szCs w:val="18"/>
                <w:lang w:val="ro-RO" w:eastAsia="en-US"/>
              </w:rPr>
            </w:pPr>
            <w:r w:rsidRPr="003B32EB">
              <w:rPr>
                <w:rFonts w:ascii="Cambria" w:eastAsia="Calibri" w:hAnsi="Cambria" w:cs="Arial"/>
                <w:sz w:val="18"/>
                <w:szCs w:val="18"/>
                <w:lang w:val="ro-RO" w:eastAsia="en-US"/>
              </w:rPr>
              <w:t>44%</w:t>
            </w:r>
          </w:p>
        </w:tc>
      </w:tr>
    </w:tbl>
    <w:p w:rsidR="0037604E" w:rsidRPr="0037604E" w:rsidRDefault="0037604E" w:rsidP="0037604E">
      <w:pPr>
        <w:spacing w:after="0" w:line="240" w:lineRule="auto"/>
        <w:ind w:firstLine="0"/>
        <w:jc w:val="right"/>
        <w:rPr>
          <w:rFonts w:ascii="Cambria" w:eastAsia="Times New Roman" w:hAnsi="Cambria" w:cs="Times New Roman"/>
          <w:i/>
          <w:sz w:val="24"/>
          <w:szCs w:val="24"/>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Table 27</w:t>
      </w:r>
      <w:r w:rsidRPr="0037604E">
        <w:rPr>
          <w:rFonts w:ascii="Cambria" w:eastAsia="Times New Roman" w:hAnsi="Cambria" w:cs="Times New Roman"/>
          <w:b/>
          <w:i/>
          <w:color w:val="FF0000"/>
          <w:sz w:val="16"/>
          <w:szCs w:val="16"/>
          <w:lang w:val="en-GB" w:eastAsia="ro-RO"/>
        </w:rPr>
        <w:t xml:space="preserve">– </w:t>
      </w:r>
      <w:r w:rsidRPr="0037604E">
        <w:rPr>
          <w:rFonts w:ascii="Cambria" w:eastAsia="Times New Roman" w:hAnsi="Cambria" w:cs="Times New Roman"/>
          <w:b/>
          <w:i/>
          <w:sz w:val="16"/>
          <w:szCs w:val="16"/>
          <w:lang w:val="en-GB" w:eastAsia="ro-RO"/>
        </w:rPr>
        <w:t>Results 2016 vs Management Plan 2016</w:t>
      </w:r>
    </w:p>
    <w:p w:rsidR="0037604E" w:rsidRPr="0037604E" w:rsidRDefault="0037604E" w:rsidP="0037604E">
      <w:pPr>
        <w:spacing w:after="0" w:line="240" w:lineRule="auto"/>
        <w:ind w:firstLine="0"/>
        <w:jc w:val="right"/>
        <w:rPr>
          <w:rFonts w:ascii="Cambria" w:eastAsia="Times New Roman" w:hAnsi="Cambria" w:cs="Times New Roman"/>
          <w:i/>
          <w:sz w:val="24"/>
          <w:szCs w:val="24"/>
          <w:lang w:val="en-GB" w:eastAsia="ro-RO"/>
        </w:rPr>
      </w:pPr>
    </w:p>
    <w:p w:rsidR="0037604E" w:rsidRPr="0037604E" w:rsidRDefault="00FF07CD" w:rsidP="0037604E">
      <w:pPr>
        <w:spacing w:after="0" w:line="240" w:lineRule="auto"/>
        <w:ind w:firstLine="0"/>
        <w:jc w:val="both"/>
        <w:rPr>
          <w:rFonts w:ascii="Cambria" w:eastAsia="Times New Roman" w:hAnsi="Cambria" w:cs="Times New Roman"/>
          <w:b/>
          <w:i/>
          <w:sz w:val="16"/>
          <w:szCs w:val="16"/>
          <w:lang w:val="en-GB" w:eastAsia="ro-RO"/>
        </w:rPr>
      </w:pPr>
      <w:r w:rsidRPr="00715E6E">
        <w:rPr>
          <w:rFonts w:ascii="Cambria" w:eastAsia="Calibri" w:hAnsi="Cambria" w:cs="Times New Roman"/>
          <w:b/>
          <w:i/>
          <w:noProof/>
          <w:sz w:val="26"/>
          <w:szCs w:val="26"/>
          <w:lang w:val="ro-RO" w:eastAsia="ro-RO"/>
        </w:rPr>
        <w:drawing>
          <wp:inline distT="0" distB="0" distL="0" distR="0" wp14:anchorId="53D57B10" wp14:editId="3FDEFAF1">
            <wp:extent cx="5732145" cy="2490194"/>
            <wp:effectExtent l="0" t="0" r="1905" b="571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Chart 33 – Results 2016 vs Management plan 2016</w:t>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642082" w:rsidP="0037604E">
      <w:pPr>
        <w:spacing w:after="0" w:line="240" w:lineRule="auto"/>
        <w:ind w:firstLine="0"/>
        <w:jc w:val="center"/>
        <w:rPr>
          <w:rFonts w:ascii="Cambria" w:eastAsia="Times New Roman" w:hAnsi="Cambria" w:cs="Times New Roman"/>
          <w:b/>
          <w:i/>
          <w:sz w:val="24"/>
          <w:szCs w:val="24"/>
          <w:lang w:val="en-GB" w:eastAsia="ro-RO"/>
        </w:rPr>
      </w:pPr>
      <w:r w:rsidRPr="00715E6E">
        <w:rPr>
          <w:rFonts w:ascii="Cambria" w:eastAsia="Calibri" w:hAnsi="Cambria" w:cs="Times New Roman"/>
          <w:noProof/>
          <w:lang w:val="ro-RO" w:eastAsia="ro-RO"/>
        </w:rPr>
        <w:drawing>
          <wp:inline distT="0" distB="0" distL="0" distR="0" wp14:anchorId="684DB921" wp14:editId="08C40F11">
            <wp:extent cx="5732145" cy="1872085"/>
            <wp:effectExtent l="0" t="0" r="1905"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Chart 34– Achieved 2016vs Management plan 2016 (%)</w:t>
      </w:r>
    </w:p>
    <w:p w:rsidR="0037604E" w:rsidRPr="0037604E" w:rsidRDefault="0037604E" w:rsidP="0037604E">
      <w:pPr>
        <w:spacing w:after="0" w:line="240" w:lineRule="auto"/>
        <w:ind w:firstLine="0"/>
        <w:jc w:val="center"/>
        <w:rPr>
          <w:rFonts w:ascii="Cambria" w:eastAsia="Times New Roman" w:hAnsi="Cambria" w:cs="Times New Roman"/>
          <w:b/>
          <w:i/>
          <w:sz w:val="24"/>
          <w:szCs w:val="24"/>
          <w:lang w:val="en-GB" w:eastAsia="ro-RO"/>
        </w:rPr>
      </w:pPr>
    </w:p>
    <w:p w:rsidR="0037604E" w:rsidRPr="0067218A" w:rsidRDefault="0037604E" w:rsidP="0037604E">
      <w:pPr>
        <w:spacing w:after="0" w:line="240" w:lineRule="auto"/>
        <w:ind w:firstLine="0"/>
        <w:jc w:val="both"/>
        <w:rPr>
          <w:rFonts w:ascii="Cambria" w:eastAsia="Times New Roman" w:hAnsi="Cambria" w:cs="Times New Roman"/>
          <w:sz w:val="24"/>
          <w:szCs w:val="24"/>
          <w:lang w:val="en-GB" w:eastAsia="ro-RO"/>
        </w:rPr>
      </w:pPr>
      <w:r w:rsidRPr="0067218A">
        <w:rPr>
          <w:rFonts w:ascii="Cambria" w:eastAsia="Times New Roman" w:hAnsi="Cambria" w:cs="Cambria"/>
          <w:b/>
          <w:bCs/>
          <w:i/>
          <w:iCs/>
          <w:sz w:val="24"/>
          <w:szCs w:val="24"/>
          <w:lang w:val="en-GB"/>
        </w:rPr>
        <w:t xml:space="preserve">The operating revenue before </w:t>
      </w:r>
      <w:r w:rsidR="00CE66D6">
        <w:rPr>
          <w:rFonts w:ascii="Cambria" w:eastAsia="Times New Roman" w:hAnsi="Cambria" w:cs="Cambria"/>
          <w:b/>
          <w:bCs/>
          <w:i/>
          <w:iCs/>
          <w:sz w:val="24"/>
          <w:szCs w:val="24"/>
          <w:lang w:val="en-GB"/>
        </w:rPr>
        <w:t xml:space="preserve">balancing and </w:t>
      </w:r>
      <w:r w:rsidRPr="0067218A">
        <w:rPr>
          <w:rFonts w:ascii="Cambria" w:eastAsia="Times New Roman" w:hAnsi="Cambria" w:cs="Cambria"/>
          <w:b/>
          <w:bCs/>
          <w:i/>
          <w:iCs/>
          <w:sz w:val="24"/>
          <w:szCs w:val="24"/>
          <w:lang w:val="en-GB"/>
        </w:rPr>
        <w:t xml:space="preserve">the construction activity acc. to IFRIC12 </w:t>
      </w:r>
      <w:r w:rsidR="0067218A">
        <w:rPr>
          <w:rFonts w:ascii="Cambria" w:eastAsia="Times New Roman" w:hAnsi="Cambria" w:cs="Cambria"/>
          <w:bCs/>
          <w:iCs/>
          <w:sz w:val="24"/>
          <w:szCs w:val="24"/>
          <w:lang w:val="en-GB"/>
        </w:rPr>
        <w:t xml:space="preserve">increased by </w:t>
      </w:r>
      <w:r w:rsidR="00CE66D6" w:rsidRPr="00CE66D6">
        <w:rPr>
          <w:rFonts w:ascii="Cambria" w:eastAsia="Calibri" w:hAnsi="Cambria" w:cs="DokChampa"/>
          <w:b/>
          <w:sz w:val="24"/>
          <w:szCs w:val="24"/>
          <w:lang w:val="ro-RO" w:eastAsia="en-US"/>
        </w:rPr>
        <w:t>1</w:t>
      </w:r>
      <w:r w:rsidRPr="00CE66D6">
        <w:rPr>
          <w:rFonts w:ascii="Cambria" w:eastAsia="Times New Roman" w:hAnsi="Cambria" w:cs="Cambria"/>
          <w:b/>
          <w:bCs/>
          <w:iCs/>
          <w:sz w:val="24"/>
          <w:szCs w:val="24"/>
          <w:lang w:val="en-GB"/>
        </w:rPr>
        <w:t>%</w:t>
      </w:r>
      <w:r w:rsidRPr="0067218A">
        <w:rPr>
          <w:rFonts w:ascii="Cambria" w:eastAsia="Times New Roman" w:hAnsi="Cambria" w:cs="Cambria"/>
          <w:bCs/>
          <w:iCs/>
          <w:sz w:val="24"/>
          <w:szCs w:val="24"/>
          <w:lang w:val="en-GB"/>
        </w:rPr>
        <w:t xml:space="preserve"> as compared to the</w:t>
      </w:r>
      <w:r w:rsidR="0067218A">
        <w:rPr>
          <w:rFonts w:ascii="Cambria" w:eastAsia="Times New Roman" w:hAnsi="Cambria" w:cs="Cambria"/>
          <w:bCs/>
          <w:iCs/>
          <w:sz w:val="24"/>
          <w:szCs w:val="24"/>
          <w:lang w:val="en-GB"/>
        </w:rPr>
        <w:t xml:space="preserve"> management plan, which is higher</w:t>
      </w:r>
      <w:r w:rsidRPr="0067218A">
        <w:rPr>
          <w:rFonts w:ascii="Cambria" w:eastAsia="Times New Roman" w:hAnsi="Cambria" w:cs="Cambria"/>
          <w:bCs/>
          <w:iCs/>
          <w:sz w:val="24"/>
          <w:szCs w:val="24"/>
          <w:lang w:val="en-GB"/>
        </w:rPr>
        <w:t xml:space="preserve"> by </w:t>
      </w:r>
      <w:r w:rsidRPr="0067218A">
        <w:rPr>
          <w:rFonts w:ascii="Cambria" w:eastAsia="Times New Roman" w:hAnsi="Cambria" w:cs="Cambria"/>
          <w:b/>
          <w:bCs/>
          <w:iCs/>
          <w:sz w:val="24"/>
          <w:szCs w:val="24"/>
          <w:lang w:val="en-GB"/>
        </w:rPr>
        <w:t xml:space="preserve">RON </w:t>
      </w:r>
      <w:r w:rsidR="00E97828">
        <w:rPr>
          <w:rFonts w:ascii="Cambria" w:eastAsia="Calibri" w:hAnsi="Cambria" w:cs="DokChampa"/>
          <w:b/>
          <w:sz w:val="24"/>
          <w:szCs w:val="24"/>
          <w:lang w:val="ro-RO" w:eastAsia="en-US"/>
        </w:rPr>
        <w:t>13.113</w:t>
      </w:r>
      <w:r w:rsidR="00E97828" w:rsidRPr="00C33102">
        <w:rPr>
          <w:rFonts w:ascii="Cambria" w:eastAsia="Calibri" w:hAnsi="Cambria" w:cs="DokChampa"/>
          <w:b/>
          <w:sz w:val="24"/>
          <w:szCs w:val="24"/>
          <w:lang w:val="ro-RO" w:eastAsia="en-US"/>
        </w:rPr>
        <w:t xml:space="preserve"> </w:t>
      </w:r>
      <w:r w:rsidRPr="0067218A">
        <w:rPr>
          <w:rFonts w:ascii="Cambria" w:eastAsia="Times New Roman" w:hAnsi="Cambria" w:cs="Cambria"/>
          <w:b/>
          <w:bCs/>
          <w:iCs/>
          <w:sz w:val="24"/>
          <w:szCs w:val="24"/>
          <w:lang w:val="en-GB"/>
        </w:rPr>
        <w:t>thousand</w:t>
      </w:r>
      <w:r w:rsidRPr="0067218A">
        <w:rPr>
          <w:rFonts w:ascii="Cambria" w:eastAsia="Times New Roman" w:hAnsi="Cambria" w:cs="Times New Roman"/>
          <w:b/>
          <w:sz w:val="24"/>
          <w:szCs w:val="24"/>
          <w:lang w:val="en-GB" w:eastAsia="ro-RO"/>
        </w:rPr>
        <w:t>.</w:t>
      </w:r>
      <w:r w:rsidRPr="0067218A">
        <w:rPr>
          <w:rFonts w:ascii="Cambria" w:eastAsia="Times New Roman" w:hAnsi="Cambria" w:cs="Times New Roman"/>
          <w:sz w:val="24"/>
          <w:szCs w:val="24"/>
          <w:lang w:val="en-GB" w:eastAsia="ro-RO"/>
        </w:rPr>
        <w:t xml:space="preserve"> </w:t>
      </w:r>
    </w:p>
    <w:p w:rsidR="0037604E" w:rsidRPr="0067218A" w:rsidRDefault="0037604E" w:rsidP="0037604E">
      <w:pPr>
        <w:spacing w:after="0" w:line="240" w:lineRule="auto"/>
        <w:ind w:firstLine="0"/>
        <w:jc w:val="both"/>
        <w:rPr>
          <w:rFonts w:asciiTheme="majorHAnsi" w:eastAsia="Times New Roman" w:hAnsiTheme="majorHAnsi" w:cs="Times New Roman"/>
          <w:b/>
          <w:sz w:val="24"/>
          <w:szCs w:val="24"/>
          <w:lang w:val="en-GB" w:eastAsia="ro-RO"/>
        </w:rPr>
      </w:pPr>
    </w:p>
    <w:p w:rsidR="0037604E" w:rsidRPr="0067218A" w:rsidRDefault="0037604E" w:rsidP="0037604E">
      <w:pPr>
        <w:spacing w:after="0" w:line="240" w:lineRule="auto"/>
        <w:ind w:firstLine="0"/>
        <w:jc w:val="both"/>
        <w:rPr>
          <w:rFonts w:asciiTheme="majorHAnsi" w:hAnsiTheme="majorHAnsi"/>
          <w:b/>
          <w:sz w:val="24"/>
          <w:szCs w:val="24"/>
          <w:lang w:val="en-GB"/>
        </w:rPr>
      </w:pPr>
      <w:r w:rsidRPr="0067218A">
        <w:rPr>
          <w:rFonts w:asciiTheme="majorHAnsi" w:hAnsiTheme="majorHAnsi"/>
          <w:b/>
          <w:sz w:val="24"/>
          <w:szCs w:val="24"/>
          <w:lang w:val="en-GB"/>
        </w:rPr>
        <w:t>The revenue was influenced mainly by the following factors:</w:t>
      </w:r>
    </w:p>
    <w:p w:rsidR="0037604E" w:rsidRPr="0067218A" w:rsidRDefault="0037604E" w:rsidP="00FA6EB9">
      <w:pPr>
        <w:numPr>
          <w:ilvl w:val="0"/>
          <w:numId w:val="44"/>
        </w:numPr>
        <w:spacing w:after="0" w:line="240" w:lineRule="auto"/>
        <w:contextualSpacing/>
        <w:jc w:val="both"/>
        <w:rPr>
          <w:rFonts w:asciiTheme="majorHAnsi" w:hAnsiTheme="majorHAnsi"/>
          <w:i/>
          <w:sz w:val="24"/>
          <w:szCs w:val="24"/>
          <w:lang w:val="en-GB"/>
        </w:rPr>
      </w:pPr>
      <w:r w:rsidRPr="0067218A">
        <w:rPr>
          <w:rFonts w:asciiTheme="majorHAnsi" w:hAnsiTheme="majorHAnsi"/>
          <w:i/>
          <w:sz w:val="24"/>
          <w:szCs w:val="24"/>
          <w:lang w:val="en-GB"/>
        </w:rPr>
        <w:t>capacity booking revenue</w:t>
      </w:r>
      <w:r w:rsidRPr="0067218A">
        <w:rPr>
          <w:rFonts w:asciiTheme="majorHAnsi" w:hAnsiTheme="majorHAnsi"/>
          <w:sz w:val="24"/>
          <w:szCs w:val="24"/>
          <w:lang w:val="en-GB"/>
        </w:rPr>
        <w:t xml:space="preserve"> higher by </w:t>
      </w:r>
      <w:r w:rsidRPr="0067218A">
        <w:rPr>
          <w:rFonts w:asciiTheme="majorHAnsi" w:hAnsiTheme="majorHAnsi"/>
          <w:b/>
          <w:i/>
          <w:sz w:val="24"/>
          <w:szCs w:val="24"/>
          <w:lang w:val="en-GB"/>
        </w:rPr>
        <w:t>RON</w:t>
      </w:r>
      <w:r w:rsidRPr="0067218A">
        <w:rPr>
          <w:rFonts w:asciiTheme="majorHAnsi" w:eastAsia="Calibri" w:hAnsiTheme="majorHAnsi"/>
          <w:sz w:val="24"/>
          <w:szCs w:val="24"/>
          <w:lang w:val="en-GB"/>
        </w:rPr>
        <w:t xml:space="preserve"> </w:t>
      </w:r>
      <w:r w:rsidR="0067218A" w:rsidRPr="0067218A">
        <w:rPr>
          <w:rFonts w:asciiTheme="majorHAnsi" w:eastAsia="Calibri" w:hAnsiTheme="majorHAnsi" w:cs="Times New Roman"/>
          <w:b/>
          <w:i/>
          <w:sz w:val="24"/>
          <w:szCs w:val="24"/>
          <w:lang w:val="en-GB" w:eastAsia="en-US"/>
        </w:rPr>
        <w:t xml:space="preserve">331.960 </w:t>
      </w:r>
      <w:r w:rsidRPr="0067218A">
        <w:rPr>
          <w:rFonts w:asciiTheme="majorHAnsi" w:eastAsia="Calibri" w:hAnsiTheme="majorHAnsi"/>
          <w:b/>
          <w:i/>
          <w:sz w:val="24"/>
          <w:szCs w:val="24"/>
          <w:lang w:val="en-GB"/>
        </w:rPr>
        <w:t>thousand</w:t>
      </w:r>
      <w:r w:rsidRPr="0067218A">
        <w:rPr>
          <w:rFonts w:asciiTheme="majorHAnsi" w:eastAsia="Calibri" w:hAnsiTheme="majorHAnsi"/>
          <w:sz w:val="24"/>
          <w:szCs w:val="24"/>
          <w:lang w:val="en-GB"/>
        </w:rPr>
        <w:t xml:space="preserve"> due to:</w:t>
      </w:r>
    </w:p>
    <w:p w:rsidR="0037604E" w:rsidRPr="0067218A" w:rsidRDefault="0037604E" w:rsidP="00FA6EB9">
      <w:pPr>
        <w:numPr>
          <w:ilvl w:val="1"/>
          <w:numId w:val="39"/>
        </w:numPr>
        <w:spacing w:after="0" w:line="240" w:lineRule="auto"/>
        <w:contextualSpacing/>
        <w:jc w:val="both"/>
        <w:rPr>
          <w:rFonts w:asciiTheme="majorHAnsi" w:eastAsia="Calibri" w:hAnsiTheme="majorHAnsi"/>
          <w:i/>
          <w:sz w:val="24"/>
          <w:szCs w:val="24"/>
          <w:lang w:val="en-GB"/>
        </w:rPr>
      </w:pPr>
      <w:r w:rsidRPr="0067218A">
        <w:rPr>
          <w:rFonts w:asciiTheme="majorHAnsi" w:hAnsiTheme="majorHAnsi"/>
          <w:sz w:val="24"/>
          <w:szCs w:val="24"/>
          <w:lang w:val="en-GB"/>
        </w:rPr>
        <w:t>the increasing of the fixed component share in the total revenue from 35% to</w:t>
      </w:r>
      <w:r w:rsidRPr="0067218A">
        <w:rPr>
          <w:rFonts w:asciiTheme="majorHAnsi" w:eastAsia="Calibri" w:hAnsiTheme="majorHAnsi"/>
          <w:sz w:val="24"/>
          <w:szCs w:val="24"/>
          <w:lang w:val="en-GB"/>
        </w:rPr>
        <w:t xml:space="preserve"> 60%;</w:t>
      </w:r>
    </w:p>
    <w:p w:rsidR="0037604E" w:rsidRPr="0067218A" w:rsidRDefault="0037604E" w:rsidP="00FA6EB9">
      <w:pPr>
        <w:numPr>
          <w:ilvl w:val="1"/>
          <w:numId w:val="39"/>
        </w:numPr>
        <w:spacing w:after="0" w:line="240" w:lineRule="auto"/>
        <w:contextualSpacing/>
        <w:jc w:val="both"/>
        <w:rPr>
          <w:rFonts w:asciiTheme="majorHAnsi" w:eastAsia="Calibri" w:hAnsiTheme="majorHAnsi"/>
          <w:i/>
          <w:sz w:val="24"/>
          <w:szCs w:val="24"/>
          <w:lang w:val="en-GB"/>
        </w:rPr>
      </w:pPr>
      <w:r w:rsidRPr="0067218A">
        <w:rPr>
          <w:rFonts w:asciiTheme="majorHAnsi" w:hAnsiTheme="majorHAnsi"/>
          <w:sz w:val="24"/>
          <w:szCs w:val="24"/>
          <w:lang w:val="en-GB"/>
        </w:rPr>
        <w:t xml:space="preserve">the increasing of the capacity booked by </w:t>
      </w:r>
      <w:r w:rsidR="0067218A" w:rsidRPr="0067218A">
        <w:rPr>
          <w:rFonts w:asciiTheme="majorHAnsi" w:eastAsia="Calibri" w:hAnsiTheme="majorHAnsi" w:cs="Times New Roman"/>
          <w:sz w:val="24"/>
          <w:szCs w:val="24"/>
          <w:lang w:val="en-GB" w:eastAsia="en-US"/>
        </w:rPr>
        <w:t xml:space="preserve">167.329.147 </w:t>
      </w:r>
      <w:r w:rsidRPr="0067218A">
        <w:rPr>
          <w:rFonts w:asciiTheme="majorHAnsi" w:eastAsia="Calibri" w:hAnsiTheme="majorHAnsi"/>
          <w:sz w:val="24"/>
          <w:szCs w:val="24"/>
          <w:lang w:val="en-GB"/>
        </w:rPr>
        <w:t>MWh due to the introduction of the entry/exit capacity booking from 1 August 2014</w:t>
      </w:r>
      <w:r w:rsidRPr="0067218A">
        <w:rPr>
          <w:rFonts w:asciiTheme="majorHAnsi" w:eastAsia="Calibri" w:hAnsiTheme="majorHAnsi"/>
          <w:b/>
          <w:sz w:val="24"/>
          <w:szCs w:val="24"/>
          <w:lang w:val="en-GB"/>
        </w:rPr>
        <w:t>;</w:t>
      </w:r>
    </w:p>
    <w:p w:rsidR="0037604E" w:rsidRPr="0067218A" w:rsidRDefault="0037604E" w:rsidP="00FA6EB9">
      <w:pPr>
        <w:numPr>
          <w:ilvl w:val="0"/>
          <w:numId w:val="43"/>
        </w:numPr>
        <w:spacing w:after="0" w:line="240" w:lineRule="auto"/>
        <w:contextualSpacing/>
        <w:jc w:val="both"/>
        <w:rPr>
          <w:rFonts w:asciiTheme="majorHAnsi" w:eastAsia="Calibri" w:hAnsiTheme="majorHAnsi"/>
          <w:sz w:val="24"/>
          <w:szCs w:val="24"/>
          <w:lang w:val="en-GB"/>
        </w:rPr>
      </w:pPr>
      <w:r w:rsidRPr="0067218A">
        <w:rPr>
          <w:rFonts w:asciiTheme="majorHAnsi" w:hAnsiTheme="majorHAnsi"/>
          <w:i/>
          <w:sz w:val="24"/>
          <w:szCs w:val="24"/>
          <w:lang w:val="en-GB"/>
        </w:rPr>
        <w:t xml:space="preserve">volumetric component revenue </w:t>
      </w:r>
      <w:r w:rsidRPr="0067218A">
        <w:rPr>
          <w:rFonts w:asciiTheme="majorHAnsi" w:hAnsiTheme="majorHAnsi"/>
          <w:sz w:val="24"/>
          <w:szCs w:val="24"/>
          <w:lang w:val="en-GB"/>
        </w:rPr>
        <w:t xml:space="preserve"> lower by </w:t>
      </w:r>
      <w:r w:rsidRPr="0067218A">
        <w:rPr>
          <w:rFonts w:asciiTheme="majorHAnsi" w:hAnsiTheme="majorHAnsi"/>
          <w:b/>
          <w:i/>
          <w:sz w:val="24"/>
          <w:szCs w:val="24"/>
          <w:lang w:val="en-GB"/>
        </w:rPr>
        <w:t>RON</w:t>
      </w:r>
      <w:r w:rsidRPr="0067218A">
        <w:rPr>
          <w:rFonts w:asciiTheme="majorHAnsi" w:eastAsia="Calibri" w:hAnsiTheme="majorHAnsi"/>
          <w:b/>
          <w:i/>
          <w:sz w:val="24"/>
          <w:szCs w:val="24"/>
          <w:lang w:val="en-GB"/>
        </w:rPr>
        <w:t xml:space="preserve"> </w:t>
      </w:r>
      <w:r w:rsidR="0067218A" w:rsidRPr="0067218A">
        <w:rPr>
          <w:rFonts w:asciiTheme="majorHAnsi" w:eastAsia="Calibri" w:hAnsiTheme="majorHAnsi" w:cs="Times New Roman"/>
          <w:b/>
          <w:i/>
          <w:sz w:val="24"/>
          <w:szCs w:val="24"/>
          <w:lang w:val="en-GB" w:eastAsia="en-US"/>
        </w:rPr>
        <w:t xml:space="preserve">453.217 </w:t>
      </w:r>
      <w:r w:rsidRPr="0067218A">
        <w:rPr>
          <w:rFonts w:asciiTheme="majorHAnsi" w:eastAsia="Calibri" w:hAnsiTheme="majorHAnsi"/>
          <w:b/>
          <w:i/>
          <w:sz w:val="24"/>
          <w:szCs w:val="24"/>
          <w:lang w:val="en-GB"/>
        </w:rPr>
        <w:t>thousand</w:t>
      </w:r>
      <w:r w:rsidRPr="0067218A">
        <w:rPr>
          <w:rFonts w:asciiTheme="majorHAnsi" w:hAnsiTheme="majorHAnsi"/>
          <w:sz w:val="24"/>
          <w:szCs w:val="24"/>
          <w:lang w:val="en-GB"/>
        </w:rPr>
        <w:t xml:space="preserve"> due to</w:t>
      </w:r>
      <w:r w:rsidRPr="0067218A">
        <w:rPr>
          <w:rFonts w:asciiTheme="majorHAnsi" w:eastAsia="Calibri" w:hAnsiTheme="majorHAnsi"/>
          <w:sz w:val="24"/>
          <w:szCs w:val="24"/>
          <w:lang w:val="en-GB"/>
        </w:rPr>
        <w:t>:</w:t>
      </w:r>
    </w:p>
    <w:p w:rsidR="0037604E" w:rsidRPr="0067218A" w:rsidRDefault="0037604E" w:rsidP="00FA6EB9">
      <w:pPr>
        <w:numPr>
          <w:ilvl w:val="1"/>
          <w:numId w:val="39"/>
        </w:numPr>
        <w:spacing w:after="0" w:line="240" w:lineRule="auto"/>
        <w:contextualSpacing/>
        <w:jc w:val="both"/>
        <w:rPr>
          <w:rFonts w:asciiTheme="majorHAnsi" w:eastAsia="Calibri" w:hAnsiTheme="majorHAnsi"/>
          <w:i/>
          <w:sz w:val="24"/>
          <w:szCs w:val="24"/>
          <w:lang w:val="en-GB"/>
        </w:rPr>
      </w:pPr>
      <w:r w:rsidRPr="0067218A">
        <w:rPr>
          <w:rFonts w:asciiTheme="majorHAnsi" w:eastAsia="Calibri" w:hAnsiTheme="majorHAnsi"/>
          <w:sz w:val="24"/>
          <w:szCs w:val="24"/>
          <w:lang w:val="en-GB"/>
        </w:rPr>
        <w:t>the decreasing of the variable component share in the total revenue from 65% to 40%;</w:t>
      </w:r>
      <w:r w:rsidR="0067218A">
        <w:rPr>
          <w:rFonts w:asciiTheme="majorHAnsi" w:eastAsia="Calibri" w:hAnsiTheme="majorHAnsi"/>
          <w:sz w:val="24"/>
          <w:szCs w:val="24"/>
          <w:lang w:val="en-GB"/>
        </w:rPr>
        <w:t xml:space="preserve"> </w:t>
      </w:r>
    </w:p>
    <w:p w:rsidR="0067218A" w:rsidRPr="0067218A" w:rsidRDefault="0067218A" w:rsidP="00FA6EB9">
      <w:pPr>
        <w:numPr>
          <w:ilvl w:val="1"/>
          <w:numId w:val="39"/>
        </w:numPr>
        <w:spacing w:after="0" w:line="240" w:lineRule="auto"/>
        <w:contextualSpacing/>
        <w:jc w:val="both"/>
        <w:rPr>
          <w:rFonts w:asciiTheme="majorHAnsi" w:eastAsia="Calibri" w:hAnsiTheme="majorHAnsi"/>
          <w:i/>
          <w:sz w:val="24"/>
          <w:szCs w:val="24"/>
          <w:lang w:val="en-GB"/>
        </w:rPr>
      </w:pPr>
      <w:r>
        <w:rPr>
          <w:rFonts w:asciiTheme="majorHAnsi" w:eastAsia="Calibri" w:hAnsiTheme="majorHAnsi"/>
          <w:sz w:val="24"/>
          <w:szCs w:val="24"/>
          <w:lang w:val="en-GB"/>
        </w:rPr>
        <w:t xml:space="preserve">the decrease in the transmission tariff by </w:t>
      </w:r>
      <w:r w:rsidR="00711B64" w:rsidRPr="00711B64">
        <w:rPr>
          <w:rFonts w:asciiTheme="majorHAnsi" w:eastAsia="Calibri" w:hAnsiTheme="majorHAnsi"/>
          <w:sz w:val="24"/>
          <w:szCs w:val="24"/>
          <w:lang w:val="en-GB"/>
        </w:rPr>
        <w:t>4,187 lei/MWh</w:t>
      </w:r>
      <w:r w:rsidR="00711B64">
        <w:rPr>
          <w:rFonts w:asciiTheme="majorHAnsi" w:eastAsia="Calibri" w:hAnsiTheme="majorHAnsi"/>
          <w:sz w:val="24"/>
          <w:szCs w:val="24"/>
          <w:lang w:val="en-GB"/>
        </w:rPr>
        <w:t>;</w:t>
      </w:r>
    </w:p>
    <w:p w:rsidR="0037604E" w:rsidRPr="0067218A" w:rsidRDefault="0037604E" w:rsidP="00FA6EB9">
      <w:pPr>
        <w:numPr>
          <w:ilvl w:val="1"/>
          <w:numId w:val="39"/>
        </w:numPr>
        <w:spacing w:after="0" w:line="240" w:lineRule="auto"/>
        <w:jc w:val="both"/>
        <w:rPr>
          <w:rFonts w:asciiTheme="majorHAnsi" w:eastAsia="Calibri" w:hAnsiTheme="majorHAnsi"/>
          <w:sz w:val="24"/>
          <w:szCs w:val="24"/>
          <w:lang w:val="en-GB"/>
        </w:rPr>
      </w:pPr>
      <w:r w:rsidRPr="0067218A">
        <w:rPr>
          <w:rFonts w:asciiTheme="majorHAnsi" w:eastAsia="Calibri" w:hAnsiTheme="majorHAnsi"/>
          <w:sz w:val="24"/>
          <w:szCs w:val="24"/>
          <w:lang w:val="en-GB"/>
        </w:rPr>
        <w:lastRenderedPageBreak/>
        <w:t xml:space="preserve">the increasing of the quantity of invoiced gas by </w:t>
      </w:r>
      <w:r w:rsidR="00711B64">
        <w:rPr>
          <w:rFonts w:asciiTheme="majorHAnsi" w:eastAsia="Calibri" w:hAnsiTheme="majorHAnsi" w:cs="Times New Roman"/>
          <w:sz w:val="24"/>
          <w:szCs w:val="24"/>
          <w:lang w:val="en-GB" w:eastAsia="en-US"/>
        </w:rPr>
        <w:t>11.</w:t>
      </w:r>
      <w:r w:rsidR="00711B64" w:rsidRPr="00711B64">
        <w:rPr>
          <w:rFonts w:asciiTheme="majorHAnsi" w:eastAsia="Calibri" w:hAnsiTheme="majorHAnsi" w:cs="Times New Roman"/>
          <w:sz w:val="24"/>
          <w:szCs w:val="24"/>
          <w:lang w:val="en-GB" w:eastAsia="en-US"/>
        </w:rPr>
        <w:t xml:space="preserve">136.472 </w:t>
      </w:r>
      <w:r w:rsidRPr="0067218A">
        <w:rPr>
          <w:rFonts w:asciiTheme="majorHAnsi" w:eastAsia="Calibri" w:hAnsiTheme="majorHAnsi"/>
          <w:sz w:val="24"/>
          <w:szCs w:val="24"/>
          <w:lang w:val="en-GB"/>
        </w:rPr>
        <w:t>MWh (</w:t>
      </w:r>
      <w:r w:rsidR="00711B64" w:rsidRPr="00711B64">
        <w:rPr>
          <w:rFonts w:asciiTheme="majorHAnsi" w:eastAsia="Calibri" w:hAnsiTheme="majorHAnsi" w:cs="Times New Roman"/>
          <w:sz w:val="24"/>
          <w:szCs w:val="24"/>
          <w:lang w:val="en-GB" w:eastAsia="en-US"/>
        </w:rPr>
        <w:t xml:space="preserve">888.677 </w:t>
      </w:r>
      <w:r w:rsidRPr="0067218A">
        <w:rPr>
          <w:rFonts w:asciiTheme="majorHAnsi" w:eastAsia="Calibri" w:hAnsiTheme="majorHAnsi"/>
          <w:sz w:val="24"/>
          <w:szCs w:val="24"/>
          <w:lang w:val="en-GB"/>
        </w:rPr>
        <w:t>thousand m</w:t>
      </w:r>
      <w:r w:rsidRPr="0067218A">
        <w:rPr>
          <w:rFonts w:asciiTheme="majorHAnsi" w:eastAsia="Calibri" w:hAnsiTheme="majorHAnsi"/>
          <w:sz w:val="24"/>
          <w:szCs w:val="24"/>
          <w:vertAlign w:val="superscript"/>
          <w:lang w:val="en-GB"/>
        </w:rPr>
        <w:t>3</w:t>
      </w:r>
      <w:r w:rsidRPr="0067218A">
        <w:rPr>
          <w:rFonts w:asciiTheme="majorHAnsi" w:eastAsia="Calibri" w:hAnsiTheme="majorHAnsi"/>
          <w:sz w:val="24"/>
          <w:szCs w:val="24"/>
          <w:lang w:val="en-GB"/>
        </w:rPr>
        <w:t>);</w:t>
      </w:r>
    </w:p>
    <w:p w:rsidR="0037604E" w:rsidRDefault="0037604E" w:rsidP="00FA6EB9">
      <w:pPr>
        <w:numPr>
          <w:ilvl w:val="0"/>
          <w:numId w:val="14"/>
        </w:numPr>
        <w:tabs>
          <w:tab w:val="num" w:pos="717"/>
          <w:tab w:val="num" w:pos="3905"/>
        </w:tabs>
        <w:spacing w:after="0" w:line="240" w:lineRule="auto"/>
        <w:jc w:val="both"/>
        <w:rPr>
          <w:rFonts w:ascii="Cambria" w:eastAsia="Times New Roman" w:hAnsi="Cambria" w:cs="Times New Roman"/>
          <w:sz w:val="24"/>
          <w:szCs w:val="24"/>
          <w:lang w:val="en-GB" w:eastAsia="ro-RO"/>
        </w:rPr>
      </w:pPr>
      <w:r w:rsidRPr="0067218A">
        <w:rPr>
          <w:rFonts w:ascii="Cambria" w:eastAsia="Times New Roman" w:hAnsi="Cambria" w:cs="Cambria"/>
          <w:sz w:val="24"/>
          <w:szCs w:val="24"/>
          <w:lang w:val="en-GB"/>
        </w:rPr>
        <w:t>The revenue from international gas transmission services recorded an increase of</w:t>
      </w:r>
      <w:r w:rsidRPr="0067218A">
        <w:rPr>
          <w:rFonts w:ascii="Cambria" w:eastAsia="Times New Roman" w:hAnsi="Cambria" w:cs="Times New Roman"/>
          <w:sz w:val="24"/>
          <w:szCs w:val="24"/>
          <w:lang w:val="en-GB" w:eastAsia="ro-RO"/>
        </w:rPr>
        <w:t xml:space="preserve"> </w:t>
      </w:r>
      <w:r w:rsidRPr="0067218A">
        <w:rPr>
          <w:rFonts w:ascii="Cambria" w:eastAsia="Times New Roman" w:hAnsi="Cambria" w:cs="Times New Roman"/>
          <w:b/>
          <w:sz w:val="24"/>
          <w:szCs w:val="24"/>
          <w:lang w:val="en-GB" w:eastAsia="ro-RO"/>
        </w:rPr>
        <w:t>RON</w:t>
      </w:r>
      <w:r w:rsidRPr="0067218A">
        <w:rPr>
          <w:rFonts w:ascii="Cambria" w:eastAsia="Times New Roman" w:hAnsi="Cambria" w:cs="Times New Roman"/>
          <w:sz w:val="24"/>
          <w:szCs w:val="24"/>
          <w:lang w:val="en-GB" w:eastAsia="ro-RO"/>
        </w:rPr>
        <w:t xml:space="preserve"> </w:t>
      </w:r>
      <w:r w:rsidR="00711B64" w:rsidRPr="00711B64">
        <w:rPr>
          <w:rFonts w:ascii="Cambria" w:eastAsia="Calibri" w:hAnsi="Cambria" w:cs="Times New Roman"/>
          <w:b/>
          <w:sz w:val="24"/>
          <w:szCs w:val="24"/>
          <w:lang w:val="en-GB" w:eastAsia="en-US"/>
        </w:rPr>
        <w:t xml:space="preserve">57.042 </w:t>
      </w:r>
      <w:r w:rsidRPr="0067218A">
        <w:rPr>
          <w:rFonts w:ascii="Cambria" w:eastAsia="Times New Roman" w:hAnsi="Cambria" w:cs="Times New Roman"/>
          <w:b/>
          <w:sz w:val="24"/>
          <w:szCs w:val="24"/>
          <w:lang w:val="en-GB" w:eastAsia="ro-RO"/>
        </w:rPr>
        <w:t xml:space="preserve">thousands </w:t>
      </w:r>
      <w:r w:rsidRPr="0067218A">
        <w:rPr>
          <w:rFonts w:ascii="Cambria" w:eastAsia="Times New Roman" w:hAnsi="Cambria" w:cs="Cambria"/>
          <w:sz w:val="24"/>
          <w:szCs w:val="24"/>
          <w:lang w:val="en-GB"/>
        </w:rPr>
        <w:t>due to the variation of the exchange rates of the currencies provided in the contracts</w:t>
      </w:r>
      <w:r w:rsidRPr="0067218A">
        <w:rPr>
          <w:rFonts w:ascii="Cambria" w:eastAsia="Times New Roman" w:hAnsi="Cambria" w:cs="Times New Roman"/>
          <w:sz w:val="24"/>
          <w:szCs w:val="24"/>
          <w:lang w:val="en-GB" w:eastAsia="ro-RO"/>
        </w:rPr>
        <w:t>;</w:t>
      </w:r>
    </w:p>
    <w:p w:rsidR="0037604E" w:rsidRPr="0067218A" w:rsidRDefault="0037604E" w:rsidP="00FA6EB9">
      <w:pPr>
        <w:numPr>
          <w:ilvl w:val="0"/>
          <w:numId w:val="14"/>
        </w:numPr>
        <w:spacing w:after="0" w:line="240" w:lineRule="auto"/>
        <w:contextualSpacing/>
        <w:jc w:val="both"/>
        <w:rPr>
          <w:rFonts w:asciiTheme="majorHAnsi" w:eastAsia="Calibri" w:hAnsiTheme="majorHAnsi"/>
          <w:sz w:val="24"/>
          <w:szCs w:val="24"/>
          <w:lang w:val="en-GB"/>
        </w:rPr>
      </w:pPr>
      <w:r w:rsidRPr="0067218A">
        <w:rPr>
          <w:rFonts w:asciiTheme="majorHAnsi" w:hAnsiTheme="majorHAnsi" w:cs="Arial"/>
          <w:sz w:val="24"/>
          <w:szCs w:val="24"/>
          <w:lang w:val="en-GB"/>
        </w:rPr>
        <w:t xml:space="preserve">Other operating revenue recorded a positive difference of </w:t>
      </w:r>
      <w:r w:rsidRPr="0067218A">
        <w:rPr>
          <w:rFonts w:asciiTheme="majorHAnsi" w:hAnsiTheme="majorHAnsi" w:cs="Arial"/>
          <w:b/>
          <w:sz w:val="24"/>
          <w:szCs w:val="24"/>
          <w:lang w:val="en-GB"/>
        </w:rPr>
        <w:t xml:space="preserve">RON </w:t>
      </w:r>
      <w:r w:rsidR="00711B64" w:rsidRPr="00711B64">
        <w:rPr>
          <w:rFonts w:ascii="Cambria" w:eastAsia="Calibri" w:hAnsi="Cambria" w:cs="Times New Roman"/>
          <w:b/>
          <w:sz w:val="24"/>
          <w:szCs w:val="24"/>
          <w:lang w:val="en-GB" w:eastAsia="en-US"/>
        </w:rPr>
        <w:t xml:space="preserve">77.329 </w:t>
      </w:r>
      <w:r w:rsidRPr="0067218A">
        <w:rPr>
          <w:rFonts w:asciiTheme="majorHAnsi" w:hAnsiTheme="majorHAnsi" w:cs="Arial"/>
          <w:b/>
          <w:sz w:val="24"/>
          <w:szCs w:val="24"/>
          <w:lang w:val="en-GB"/>
        </w:rPr>
        <w:t>thousand</w:t>
      </w:r>
      <w:r w:rsidRPr="0067218A">
        <w:rPr>
          <w:rFonts w:asciiTheme="majorHAnsi" w:eastAsia="Calibri" w:hAnsiTheme="majorHAnsi" w:cs="Times New Roman"/>
          <w:sz w:val="24"/>
          <w:szCs w:val="24"/>
          <w:lang w:val="en-GB" w:eastAsia="en-US"/>
        </w:rPr>
        <w:t>;</w:t>
      </w:r>
    </w:p>
    <w:p w:rsidR="0037604E" w:rsidRPr="0067218A" w:rsidRDefault="0037604E" w:rsidP="00FA6EB9">
      <w:pPr>
        <w:numPr>
          <w:ilvl w:val="0"/>
          <w:numId w:val="14"/>
        </w:numPr>
        <w:tabs>
          <w:tab w:val="left" w:pos="90"/>
          <w:tab w:val="left" w:pos="270"/>
          <w:tab w:val="left" w:pos="360"/>
        </w:tabs>
        <w:spacing w:after="0" w:line="240" w:lineRule="auto"/>
        <w:contextualSpacing/>
        <w:jc w:val="both"/>
        <w:rPr>
          <w:rFonts w:asciiTheme="majorHAnsi" w:eastAsia="Calibri" w:hAnsiTheme="majorHAnsi"/>
          <w:sz w:val="24"/>
          <w:szCs w:val="24"/>
          <w:lang w:val="en-GB"/>
        </w:rPr>
      </w:pPr>
      <w:r w:rsidRPr="0067218A">
        <w:rPr>
          <w:rFonts w:asciiTheme="majorHAnsi" w:eastAsia="Calibri" w:hAnsiTheme="majorHAnsi" w:cs="Times New Roman"/>
          <w:sz w:val="24"/>
          <w:szCs w:val="24"/>
          <w:lang w:val="en-GB" w:eastAsia="en-US"/>
        </w:rPr>
        <w:t xml:space="preserve">   The financial revenue increased as compared to the Management Plan by </w:t>
      </w:r>
      <w:r w:rsidRPr="0067218A">
        <w:rPr>
          <w:rFonts w:asciiTheme="majorHAnsi" w:eastAsia="Calibri" w:hAnsiTheme="majorHAnsi" w:cs="Times New Roman"/>
          <w:b/>
          <w:sz w:val="24"/>
          <w:szCs w:val="24"/>
          <w:lang w:val="en-GB" w:eastAsia="en-US"/>
        </w:rPr>
        <w:t>RON</w:t>
      </w:r>
      <w:r w:rsidRPr="0067218A">
        <w:rPr>
          <w:rFonts w:asciiTheme="majorHAnsi" w:eastAsia="Calibri" w:hAnsiTheme="majorHAnsi" w:cs="Times New Roman"/>
          <w:sz w:val="24"/>
          <w:szCs w:val="24"/>
          <w:lang w:val="en-GB" w:eastAsia="en-US"/>
        </w:rPr>
        <w:t xml:space="preserve"> </w:t>
      </w:r>
      <w:r w:rsidR="00711B64" w:rsidRPr="00711B64">
        <w:rPr>
          <w:rFonts w:asciiTheme="majorHAnsi" w:eastAsia="Calibri" w:hAnsiTheme="majorHAnsi" w:cs="Times New Roman"/>
          <w:b/>
          <w:sz w:val="24"/>
          <w:szCs w:val="24"/>
          <w:lang w:val="en-GB" w:eastAsia="en-US"/>
        </w:rPr>
        <w:t>11.619</w:t>
      </w:r>
      <w:r w:rsidR="00711B64">
        <w:rPr>
          <w:rFonts w:asciiTheme="majorHAnsi" w:eastAsia="Calibri" w:hAnsiTheme="majorHAnsi" w:cs="Times New Roman"/>
          <w:b/>
          <w:sz w:val="24"/>
          <w:szCs w:val="24"/>
          <w:lang w:val="en-GB" w:eastAsia="en-US"/>
        </w:rPr>
        <w:t xml:space="preserve"> </w:t>
      </w:r>
      <w:r w:rsidRPr="0067218A">
        <w:rPr>
          <w:rFonts w:asciiTheme="majorHAnsi" w:eastAsia="Calibri" w:hAnsiTheme="majorHAnsi" w:cs="Times New Roman"/>
          <w:b/>
          <w:sz w:val="24"/>
          <w:szCs w:val="24"/>
          <w:lang w:val="en-GB" w:eastAsia="en-US"/>
        </w:rPr>
        <w:t>thousand</w:t>
      </w:r>
      <w:r w:rsidRPr="0067218A">
        <w:rPr>
          <w:rFonts w:asciiTheme="majorHAnsi" w:eastAsia="Calibri" w:hAnsiTheme="majorHAnsi" w:cs="Times New Roman"/>
          <w:sz w:val="24"/>
          <w:szCs w:val="24"/>
          <w:lang w:val="en-GB" w:eastAsia="en-US"/>
        </w:rPr>
        <w:t xml:space="preserve"> mainly due to the revenue from interest recorded as an effect of the </w:t>
      </w:r>
      <w:r w:rsidRPr="0067218A">
        <w:rPr>
          <w:rFonts w:asciiTheme="majorHAnsi" w:hAnsiTheme="majorHAnsi"/>
          <w:sz w:val="24"/>
          <w:szCs w:val="24"/>
          <w:lang w:val="en-GB"/>
        </w:rPr>
        <w:t>of discounting the liabilities for the regulated value of the regulated asset base remaining undepreciated at the end of the Concession Agreement</w:t>
      </w:r>
      <w:r w:rsidR="00EB2BA8">
        <w:rPr>
          <w:rFonts w:asciiTheme="majorHAnsi" w:eastAsia="Calibri" w:hAnsiTheme="majorHAnsi" w:cs="Times New Roman"/>
          <w:sz w:val="24"/>
          <w:szCs w:val="24"/>
          <w:lang w:val="en-GB" w:eastAsia="en-US"/>
        </w:rPr>
        <w:t>.</w:t>
      </w:r>
    </w:p>
    <w:p w:rsidR="0037604E" w:rsidRPr="0067218A" w:rsidRDefault="0037604E" w:rsidP="0037604E">
      <w:pPr>
        <w:tabs>
          <w:tab w:val="num" w:pos="717"/>
          <w:tab w:val="num" w:pos="3905"/>
        </w:tabs>
        <w:spacing w:after="0" w:line="240" w:lineRule="auto"/>
        <w:ind w:left="450" w:firstLine="0"/>
        <w:jc w:val="both"/>
        <w:rPr>
          <w:rFonts w:ascii="Cambria" w:eastAsia="Times New Roman" w:hAnsi="Cambria" w:cs="Times New Roman"/>
          <w:sz w:val="24"/>
          <w:szCs w:val="24"/>
          <w:lang w:val="en-GB" w:eastAsia="ro-RO"/>
        </w:rPr>
      </w:pPr>
    </w:p>
    <w:p w:rsidR="0037604E" w:rsidRPr="0067218A" w:rsidRDefault="0037604E" w:rsidP="0037604E">
      <w:pPr>
        <w:spacing w:after="0" w:line="240" w:lineRule="auto"/>
        <w:ind w:firstLine="0"/>
        <w:contextualSpacing/>
        <w:jc w:val="both"/>
        <w:rPr>
          <w:rFonts w:ascii="Cambria" w:eastAsia="Times New Roman" w:hAnsi="Cambria" w:cs="Times New Roman"/>
          <w:sz w:val="24"/>
          <w:szCs w:val="24"/>
          <w:lang w:val="en-GB" w:eastAsia="ro-RO"/>
        </w:rPr>
      </w:pPr>
      <w:r w:rsidRPr="0067218A">
        <w:rPr>
          <w:rFonts w:ascii="Cambria" w:eastAsia="Times New Roman" w:hAnsi="Cambria" w:cs="Times New Roman"/>
          <w:b/>
          <w:i/>
          <w:sz w:val="24"/>
          <w:szCs w:val="24"/>
          <w:lang w:val="en-GB" w:eastAsia="ro-RO"/>
        </w:rPr>
        <w:t xml:space="preserve">The operating expense before </w:t>
      </w:r>
      <w:r w:rsidR="00CE66D6">
        <w:rPr>
          <w:rFonts w:ascii="Cambria" w:eastAsia="Times New Roman" w:hAnsi="Cambria" w:cs="Times New Roman"/>
          <w:b/>
          <w:i/>
          <w:sz w:val="24"/>
          <w:szCs w:val="24"/>
          <w:lang w:val="en-GB" w:eastAsia="ro-RO"/>
        </w:rPr>
        <w:t xml:space="preserve">balancing and </w:t>
      </w:r>
      <w:r w:rsidRPr="0067218A">
        <w:rPr>
          <w:rFonts w:ascii="Cambria" w:eastAsia="Times New Roman" w:hAnsi="Cambria" w:cs="Times New Roman"/>
          <w:b/>
          <w:i/>
          <w:sz w:val="24"/>
          <w:szCs w:val="24"/>
          <w:lang w:val="en-GB" w:eastAsia="ro-RO"/>
        </w:rPr>
        <w:t>the construction activity acc. to IFRIC12</w:t>
      </w:r>
      <w:r w:rsidRPr="0067218A">
        <w:rPr>
          <w:rFonts w:ascii="Cambria" w:eastAsia="Times New Roman" w:hAnsi="Cambria" w:cs="Times New Roman"/>
          <w:sz w:val="24"/>
          <w:szCs w:val="24"/>
          <w:lang w:val="en-GB" w:eastAsia="ro-RO"/>
        </w:rPr>
        <w:t xml:space="preserve"> are </w:t>
      </w:r>
      <w:r w:rsidR="00CE66D6">
        <w:rPr>
          <w:rFonts w:ascii="Cambria" w:eastAsia="Times New Roman" w:hAnsi="Cambria" w:cs="Times New Roman"/>
          <w:b/>
          <w:sz w:val="24"/>
          <w:szCs w:val="24"/>
          <w:lang w:val="en-GB" w:eastAsia="ro-RO"/>
        </w:rPr>
        <w:t>15</w:t>
      </w:r>
      <w:r w:rsidRPr="0067218A">
        <w:rPr>
          <w:rFonts w:ascii="Cambria" w:eastAsia="Times New Roman" w:hAnsi="Cambria" w:cs="Times New Roman"/>
          <w:b/>
          <w:sz w:val="24"/>
          <w:szCs w:val="24"/>
          <w:lang w:val="en-GB" w:eastAsia="ro-RO"/>
        </w:rPr>
        <w:t>%</w:t>
      </w:r>
      <w:r w:rsidRPr="0067218A">
        <w:rPr>
          <w:rFonts w:ascii="Cambria" w:eastAsia="Times New Roman" w:hAnsi="Cambria" w:cs="Times New Roman"/>
          <w:sz w:val="24"/>
          <w:szCs w:val="24"/>
          <w:lang w:val="en-GB" w:eastAsia="ro-RO"/>
        </w:rPr>
        <w:t xml:space="preserve"> lower as compared t</w:t>
      </w:r>
      <w:r w:rsidR="00DB14AD">
        <w:rPr>
          <w:rFonts w:ascii="Cambria" w:eastAsia="Times New Roman" w:hAnsi="Cambria" w:cs="Times New Roman"/>
          <w:sz w:val="24"/>
          <w:szCs w:val="24"/>
          <w:lang w:val="en-GB" w:eastAsia="ro-RO"/>
        </w:rPr>
        <w:t xml:space="preserve">o the approved management plan, </w:t>
      </w:r>
      <w:r w:rsidR="00DB14AD">
        <w:rPr>
          <w:rFonts w:asciiTheme="majorHAnsi" w:eastAsia="Calibri" w:hAnsiTheme="majorHAnsi" w:cs="Times New Roman"/>
          <w:sz w:val="24"/>
          <w:szCs w:val="24"/>
          <w:lang w:val="en-GB" w:eastAsia="en-US"/>
        </w:rPr>
        <w:t>recording a reduction of RON 160.654 thousand</w:t>
      </w:r>
    </w:p>
    <w:p w:rsidR="0037604E" w:rsidRPr="0037604E" w:rsidRDefault="0037604E" w:rsidP="0037604E">
      <w:pPr>
        <w:spacing w:after="0" w:line="240" w:lineRule="auto"/>
        <w:ind w:firstLine="0"/>
        <w:jc w:val="both"/>
        <w:rPr>
          <w:rFonts w:ascii="Cambria" w:eastAsia="Times New Roman" w:hAnsi="Cambria" w:cs="Cambria"/>
          <w:b/>
          <w:i/>
          <w:iCs/>
          <w:color w:val="FF0000"/>
          <w:sz w:val="24"/>
          <w:szCs w:val="24"/>
          <w:lang w:val="en-GB"/>
        </w:rPr>
      </w:pPr>
    </w:p>
    <w:p w:rsidR="0037604E" w:rsidRPr="00711B64" w:rsidRDefault="0037604E" w:rsidP="0037604E">
      <w:pPr>
        <w:spacing w:after="0" w:line="240" w:lineRule="auto"/>
        <w:ind w:firstLine="0"/>
        <w:jc w:val="both"/>
        <w:rPr>
          <w:rFonts w:ascii="Cambria" w:eastAsia="Times New Roman" w:hAnsi="Cambria" w:cs="Times New Roman"/>
          <w:sz w:val="24"/>
          <w:szCs w:val="24"/>
          <w:lang w:val="en-GB" w:eastAsia="ro-RO"/>
        </w:rPr>
      </w:pPr>
      <w:r w:rsidRPr="00711B64">
        <w:rPr>
          <w:rFonts w:ascii="Cambria" w:eastAsia="Times New Roman" w:hAnsi="Cambria" w:cs="Cambria"/>
          <w:b/>
          <w:i/>
          <w:iCs/>
          <w:sz w:val="24"/>
          <w:szCs w:val="24"/>
          <w:lang w:val="en-GB"/>
        </w:rPr>
        <w:t>Savings amounting to</w:t>
      </w:r>
      <w:r w:rsidRPr="00711B64">
        <w:rPr>
          <w:rFonts w:ascii="Cambria" w:eastAsia="Times New Roman" w:hAnsi="Cambria" w:cs="Times New Roman"/>
          <w:i/>
          <w:sz w:val="24"/>
          <w:szCs w:val="24"/>
          <w:lang w:val="en-GB" w:eastAsia="ro-RO"/>
        </w:rPr>
        <w:t xml:space="preserve"> </w:t>
      </w:r>
      <w:r w:rsidRPr="00711B64">
        <w:rPr>
          <w:rFonts w:ascii="Cambria" w:eastAsia="Times New Roman" w:hAnsi="Cambria" w:cs="Times New Roman"/>
          <w:b/>
          <w:i/>
          <w:sz w:val="24"/>
          <w:szCs w:val="24"/>
          <w:lang w:val="en-GB" w:eastAsia="ro-RO"/>
        </w:rPr>
        <w:t>RON</w:t>
      </w:r>
      <w:r w:rsidRPr="00711B64">
        <w:rPr>
          <w:rFonts w:ascii="Cambria" w:eastAsia="Times New Roman" w:hAnsi="Cambria" w:cs="Times New Roman"/>
          <w:sz w:val="24"/>
          <w:szCs w:val="24"/>
          <w:lang w:val="en-GB" w:eastAsia="ro-RO"/>
        </w:rPr>
        <w:t xml:space="preserve"> </w:t>
      </w:r>
      <w:r w:rsidR="00711B64" w:rsidRPr="00711B64">
        <w:rPr>
          <w:rFonts w:ascii="Cambria" w:eastAsia="Calibri" w:hAnsi="Cambria" w:cs="Times New Roman"/>
          <w:b/>
          <w:i/>
          <w:sz w:val="24"/>
          <w:szCs w:val="24"/>
          <w:lang w:val="en-GB" w:eastAsia="en-US"/>
        </w:rPr>
        <w:t xml:space="preserve">350.294 </w:t>
      </w:r>
      <w:r w:rsidRPr="00711B64">
        <w:rPr>
          <w:rFonts w:ascii="Cambria" w:eastAsia="Times New Roman" w:hAnsi="Cambria" w:cs="Times New Roman"/>
          <w:b/>
          <w:i/>
          <w:sz w:val="24"/>
          <w:szCs w:val="24"/>
          <w:lang w:val="en-GB" w:eastAsia="ro-RO"/>
        </w:rPr>
        <w:t xml:space="preserve">thousand </w:t>
      </w:r>
      <w:r w:rsidRPr="00711B64">
        <w:rPr>
          <w:rFonts w:ascii="Cambria" w:eastAsia="Times New Roman" w:hAnsi="Cambria" w:cs="Cambria"/>
          <w:b/>
          <w:i/>
          <w:iCs/>
          <w:sz w:val="24"/>
          <w:szCs w:val="24"/>
          <w:lang w:val="en-GB"/>
        </w:rPr>
        <w:t>were recorded</w:t>
      </w:r>
      <w:r w:rsidRPr="00711B64">
        <w:rPr>
          <w:rFonts w:ascii="Cambria" w:eastAsia="Times New Roman" w:hAnsi="Cambria" w:cs="Times New Roman"/>
          <w:b/>
          <w:i/>
          <w:sz w:val="24"/>
          <w:szCs w:val="24"/>
          <w:lang w:val="en-GB" w:eastAsia="ro-RO"/>
        </w:rPr>
        <w:t xml:space="preserve">, </w:t>
      </w:r>
      <w:r w:rsidRPr="00711B64">
        <w:rPr>
          <w:rFonts w:ascii="Cambria" w:eastAsia="Times New Roman" w:hAnsi="Cambria" w:cs="Cambria"/>
          <w:sz w:val="24"/>
          <w:szCs w:val="24"/>
          <w:lang w:val="en-GB"/>
        </w:rPr>
        <w:t>mainly regarding the following cost items</w:t>
      </w:r>
      <w:r w:rsidRPr="00711B64">
        <w:rPr>
          <w:rFonts w:ascii="Cambria" w:eastAsia="Times New Roman" w:hAnsi="Cambria" w:cs="Times New Roman"/>
          <w:sz w:val="24"/>
          <w:szCs w:val="24"/>
          <w:lang w:val="en-GB" w:eastAsia="ro-RO"/>
        </w:rPr>
        <w:t>:</w:t>
      </w:r>
    </w:p>
    <w:p w:rsidR="0037604E" w:rsidRPr="00711B64" w:rsidRDefault="0037604E" w:rsidP="00FA6EB9">
      <w:pPr>
        <w:numPr>
          <w:ilvl w:val="0"/>
          <w:numId w:val="41"/>
        </w:numPr>
        <w:spacing w:after="0" w:line="240" w:lineRule="auto"/>
        <w:contextualSpacing/>
        <w:jc w:val="both"/>
        <w:rPr>
          <w:rFonts w:ascii="Cambria" w:eastAsia="Times New Roman" w:hAnsi="Cambria" w:cs="Times New Roman"/>
          <w:sz w:val="24"/>
          <w:szCs w:val="24"/>
          <w:lang w:val="en-GB" w:eastAsia="ro-RO"/>
        </w:rPr>
      </w:pPr>
      <w:r w:rsidRPr="00711B64">
        <w:rPr>
          <w:rFonts w:ascii="Cambria" w:eastAsia="Times New Roman" w:hAnsi="Cambria" w:cs="Cambria"/>
          <w:sz w:val="24"/>
          <w:szCs w:val="24"/>
          <w:lang w:val="en-GB"/>
        </w:rPr>
        <w:t>consumption and technological loss of natural gas in the transmission system</w:t>
      </w:r>
      <w:r w:rsidRPr="00711B64">
        <w:rPr>
          <w:rFonts w:ascii="Cambria" w:eastAsia="Times New Roman" w:hAnsi="Cambria" w:cs="Times New Roman"/>
          <w:sz w:val="24"/>
          <w:szCs w:val="24"/>
          <w:lang w:val="en-GB" w:eastAsia="ro-RO"/>
        </w:rPr>
        <w:t xml:space="preserve">  of </w:t>
      </w:r>
      <w:r w:rsidRPr="00711B64">
        <w:rPr>
          <w:rFonts w:ascii="Cambria" w:eastAsia="Times New Roman" w:hAnsi="Cambria" w:cs="Times New Roman"/>
          <w:b/>
          <w:sz w:val="24"/>
          <w:szCs w:val="24"/>
          <w:lang w:val="en-GB" w:eastAsia="ro-RO"/>
        </w:rPr>
        <w:t>RON</w:t>
      </w:r>
      <w:r w:rsidRPr="00711B64">
        <w:rPr>
          <w:rFonts w:ascii="Cambria" w:eastAsia="Times New Roman" w:hAnsi="Cambria" w:cs="Times New Roman"/>
          <w:sz w:val="24"/>
          <w:szCs w:val="24"/>
          <w:lang w:val="en-GB" w:eastAsia="ro-RO"/>
        </w:rPr>
        <w:t xml:space="preserve"> </w:t>
      </w:r>
      <w:r w:rsidR="002B67BF" w:rsidRPr="002B67BF">
        <w:rPr>
          <w:rFonts w:ascii="Cambria" w:eastAsia="Times New Roman" w:hAnsi="Cambria" w:cs="Times New Roman"/>
          <w:b/>
          <w:sz w:val="24"/>
          <w:szCs w:val="24"/>
          <w:lang w:val="en-GB" w:eastAsia="ro-RO"/>
        </w:rPr>
        <w:t xml:space="preserve">217.179 </w:t>
      </w:r>
      <w:r w:rsidRPr="00711B64">
        <w:rPr>
          <w:rFonts w:ascii="Cambria" w:eastAsia="Times New Roman" w:hAnsi="Cambria" w:cs="Times New Roman"/>
          <w:b/>
          <w:sz w:val="24"/>
          <w:szCs w:val="24"/>
          <w:lang w:val="en-GB" w:eastAsia="ro-RO"/>
        </w:rPr>
        <w:t>thousand</w:t>
      </w:r>
      <w:r w:rsidRPr="00711B64">
        <w:rPr>
          <w:rFonts w:ascii="Cambria" w:eastAsia="Times New Roman" w:hAnsi="Cambria" w:cs="Times New Roman"/>
          <w:sz w:val="24"/>
          <w:szCs w:val="24"/>
          <w:lang w:val="en-GB" w:eastAsia="ro-RO"/>
        </w:rPr>
        <w:t xml:space="preserve">, </w:t>
      </w:r>
      <w:r w:rsidRPr="00711B64">
        <w:rPr>
          <w:rFonts w:ascii="Cambria" w:eastAsia="Times New Roman" w:hAnsi="Cambria" w:cs="Cambria"/>
          <w:sz w:val="24"/>
          <w:szCs w:val="24"/>
          <w:lang w:val="en-GB"/>
        </w:rPr>
        <w:t>due to the following</w:t>
      </w:r>
      <w:r w:rsidRPr="00711B64">
        <w:rPr>
          <w:rFonts w:ascii="Cambria" w:eastAsia="Times New Roman" w:hAnsi="Cambria" w:cs="Times New Roman"/>
          <w:sz w:val="24"/>
          <w:szCs w:val="24"/>
          <w:lang w:val="en-GB" w:eastAsia="ro-RO"/>
        </w:rPr>
        <w:t>:</w:t>
      </w:r>
    </w:p>
    <w:p w:rsidR="0037604E" w:rsidRPr="00711B64" w:rsidRDefault="0037604E" w:rsidP="00FA6EB9">
      <w:pPr>
        <w:numPr>
          <w:ilvl w:val="0"/>
          <w:numId w:val="13"/>
        </w:numPr>
        <w:spacing w:after="0" w:line="240" w:lineRule="auto"/>
        <w:jc w:val="both"/>
        <w:rPr>
          <w:rFonts w:ascii="Cambria" w:eastAsia="Times New Roman" w:hAnsi="Cambria" w:cs="Times New Roman"/>
          <w:sz w:val="24"/>
          <w:szCs w:val="24"/>
          <w:lang w:val="en-GB" w:eastAsia="ro-RO"/>
        </w:rPr>
      </w:pPr>
      <w:r w:rsidRPr="00711B64">
        <w:rPr>
          <w:rFonts w:ascii="Cambria" w:eastAsia="Times New Roman" w:hAnsi="Cambria" w:cs="Cambria"/>
          <w:sz w:val="24"/>
          <w:szCs w:val="24"/>
          <w:lang w:val="en-GB"/>
        </w:rPr>
        <w:t>technological consumption gas lower than planned by</w:t>
      </w:r>
      <w:r w:rsidRPr="00711B64">
        <w:rPr>
          <w:rFonts w:ascii="Cambria" w:eastAsia="Times New Roman" w:hAnsi="Cambria" w:cs="Times New Roman"/>
          <w:sz w:val="24"/>
          <w:szCs w:val="24"/>
          <w:lang w:val="en-GB" w:eastAsia="ro-RO"/>
        </w:rPr>
        <w:t xml:space="preserve"> </w:t>
      </w:r>
      <w:r w:rsidRPr="00711B64">
        <w:rPr>
          <w:rFonts w:ascii="Cambria" w:eastAsia="Calibri" w:hAnsi="Cambria" w:cs="Times New Roman"/>
          <w:sz w:val="24"/>
          <w:szCs w:val="24"/>
          <w:lang w:val="en-GB" w:eastAsia="en-US"/>
        </w:rPr>
        <w:t>1,</w:t>
      </w:r>
      <w:r w:rsidR="002B67BF" w:rsidRPr="002B67BF">
        <w:t xml:space="preserve"> </w:t>
      </w:r>
      <w:r w:rsidR="002B67BF" w:rsidRPr="002B67BF">
        <w:rPr>
          <w:rFonts w:ascii="Cambria" w:eastAsia="Calibri" w:hAnsi="Cambria" w:cs="Times New Roman"/>
          <w:sz w:val="24"/>
          <w:szCs w:val="24"/>
          <w:lang w:val="en-GB" w:eastAsia="en-US"/>
        </w:rPr>
        <w:t xml:space="preserve">350.034 </w:t>
      </w:r>
      <w:r w:rsidRPr="00711B64">
        <w:rPr>
          <w:rFonts w:ascii="Cambria" w:eastAsia="Calibri" w:hAnsi="Cambria" w:cs="Times New Roman"/>
          <w:sz w:val="24"/>
          <w:szCs w:val="24"/>
          <w:lang w:val="en-GB" w:eastAsia="en-US"/>
        </w:rPr>
        <w:t xml:space="preserve">MWh </w:t>
      </w:r>
      <w:r w:rsidRPr="00711B64">
        <w:rPr>
          <w:rFonts w:ascii="Cambria" w:eastAsia="Times New Roman" w:hAnsi="Cambria" w:cs="Cambria"/>
          <w:sz w:val="24"/>
          <w:szCs w:val="24"/>
          <w:lang w:val="en-GB"/>
        </w:rPr>
        <w:t xml:space="preserve">with a </w:t>
      </w:r>
      <w:r w:rsidRPr="00711B64">
        <w:rPr>
          <w:rFonts w:ascii="Cambria" w:eastAsia="Times New Roman" w:hAnsi="Cambria" w:cs="Cambria"/>
          <w:lang w:val="en-GB"/>
        </w:rPr>
        <w:t>positive</w:t>
      </w:r>
      <w:r w:rsidRPr="00711B64">
        <w:rPr>
          <w:rFonts w:ascii="Cambria" w:eastAsia="Times New Roman" w:hAnsi="Cambria" w:cs="Cambria"/>
          <w:sz w:val="24"/>
          <w:szCs w:val="24"/>
          <w:lang w:val="en-GB"/>
        </w:rPr>
        <w:t xml:space="preserve"> influence of</w:t>
      </w:r>
      <w:r w:rsidRPr="00711B64">
        <w:rPr>
          <w:rFonts w:ascii="Cambria" w:eastAsia="Times New Roman" w:hAnsi="Cambria" w:cs="Times New Roman"/>
          <w:sz w:val="24"/>
          <w:szCs w:val="24"/>
          <w:lang w:val="en-GB" w:eastAsia="ro-RO"/>
        </w:rPr>
        <w:t xml:space="preserve"> RON </w:t>
      </w:r>
      <w:r w:rsidR="002B67BF" w:rsidRPr="002B67BF">
        <w:rPr>
          <w:rFonts w:ascii="Cambria" w:eastAsia="Calibri" w:hAnsi="Cambria" w:cs="Times New Roman"/>
          <w:sz w:val="24"/>
          <w:szCs w:val="24"/>
          <w:lang w:val="en-GB" w:eastAsia="en-US"/>
        </w:rPr>
        <w:t xml:space="preserve">160.654 </w:t>
      </w:r>
      <w:r w:rsidRPr="00711B64">
        <w:rPr>
          <w:rFonts w:ascii="Cambria" w:eastAsia="Times New Roman" w:hAnsi="Cambria" w:cs="Times New Roman"/>
          <w:sz w:val="24"/>
          <w:szCs w:val="24"/>
          <w:lang w:val="en-GB" w:eastAsia="ro-RO"/>
        </w:rPr>
        <w:t>thousand;</w:t>
      </w:r>
      <w:r w:rsidR="002B67BF">
        <w:rPr>
          <w:rFonts w:ascii="Cambria" w:eastAsia="Times New Roman" w:hAnsi="Cambria" w:cs="Times New Roman"/>
          <w:sz w:val="24"/>
          <w:szCs w:val="24"/>
          <w:lang w:val="en-GB" w:eastAsia="ro-RO"/>
        </w:rPr>
        <w:t xml:space="preserve"> </w:t>
      </w:r>
    </w:p>
    <w:p w:rsidR="0037604E" w:rsidRPr="00711B64" w:rsidRDefault="0037604E" w:rsidP="00FA6EB9">
      <w:pPr>
        <w:numPr>
          <w:ilvl w:val="0"/>
          <w:numId w:val="13"/>
        </w:numPr>
        <w:spacing w:after="0" w:line="240" w:lineRule="auto"/>
        <w:jc w:val="both"/>
        <w:rPr>
          <w:rFonts w:ascii="Cambria" w:eastAsia="Times New Roman" w:hAnsi="Cambria" w:cs="Times New Roman"/>
          <w:sz w:val="24"/>
          <w:szCs w:val="24"/>
          <w:lang w:val="en-GB" w:eastAsia="ro-RO"/>
        </w:rPr>
      </w:pPr>
      <w:r w:rsidRPr="00711B64">
        <w:rPr>
          <w:rFonts w:ascii="Cambria" w:eastAsia="Times New Roman" w:hAnsi="Cambria" w:cs="Cambria"/>
          <w:sz w:val="24"/>
          <w:szCs w:val="24"/>
          <w:lang w:val="en-GB"/>
        </w:rPr>
        <w:t>the average purchase price lower by</w:t>
      </w:r>
      <w:r w:rsidRPr="00711B64">
        <w:rPr>
          <w:rFonts w:ascii="Cambria" w:eastAsia="Times New Roman" w:hAnsi="Cambria" w:cs="Times New Roman"/>
          <w:sz w:val="24"/>
          <w:szCs w:val="24"/>
          <w:lang w:val="en-GB" w:eastAsia="ro-RO"/>
        </w:rPr>
        <w:t xml:space="preserve"> </w:t>
      </w:r>
      <w:r w:rsidR="002B67BF" w:rsidRPr="002B67BF">
        <w:rPr>
          <w:rFonts w:ascii="Cambria" w:eastAsia="Calibri" w:hAnsi="Cambria" w:cs="Times New Roman"/>
          <w:sz w:val="24"/>
          <w:szCs w:val="24"/>
          <w:lang w:val="en-GB" w:eastAsia="en-US"/>
        </w:rPr>
        <w:t xml:space="preserve">47,73 </w:t>
      </w:r>
      <w:r w:rsidRPr="00711B64">
        <w:rPr>
          <w:rFonts w:ascii="Cambria" w:eastAsia="Times New Roman" w:hAnsi="Cambria" w:cs="Times New Roman"/>
          <w:sz w:val="24"/>
          <w:szCs w:val="24"/>
          <w:lang w:val="en-GB" w:eastAsia="ro-RO"/>
        </w:rPr>
        <w:t xml:space="preserve">RON/MWh with a positive influence of RON </w:t>
      </w:r>
      <w:r w:rsidR="002B67BF" w:rsidRPr="002B67BF">
        <w:rPr>
          <w:rFonts w:ascii="Cambria" w:eastAsia="Calibri" w:hAnsi="Cambria" w:cs="Times New Roman"/>
          <w:sz w:val="24"/>
          <w:szCs w:val="24"/>
          <w:lang w:val="en-GB" w:eastAsia="en-US"/>
        </w:rPr>
        <w:t>56.525</w:t>
      </w:r>
      <w:r w:rsidR="002B67BF">
        <w:rPr>
          <w:rFonts w:ascii="Cambria" w:eastAsia="Calibri" w:hAnsi="Cambria" w:cs="Times New Roman"/>
          <w:sz w:val="24"/>
          <w:szCs w:val="24"/>
          <w:lang w:val="en-GB" w:eastAsia="en-US"/>
        </w:rPr>
        <w:t xml:space="preserve"> </w:t>
      </w:r>
      <w:r w:rsidRPr="00711B64">
        <w:rPr>
          <w:rFonts w:ascii="Cambria" w:eastAsia="Times New Roman" w:hAnsi="Cambria" w:cs="Times New Roman"/>
          <w:sz w:val="24"/>
          <w:szCs w:val="24"/>
          <w:lang w:val="en-GB" w:eastAsia="ro-RO"/>
        </w:rPr>
        <w:t>thousand;</w:t>
      </w:r>
    </w:p>
    <w:p w:rsidR="0037604E" w:rsidRPr="00711B64" w:rsidRDefault="0037604E"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sidRPr="00711B64">
        <w:rPr>
          <w:rFonts w:ascii="Cambria" w:eastAsia="Times New Roman" w:hAnsi="Cambria" w:cs="Cambria"/>
          <w:sz w:val="24"/>
          <w:szCs w:val="24"/>
          <w:lang w:val="en-GB"/>
        </w:rPr>
        <w:t>third party works and services</w:t>
      </w:r>
      <w:r w:rsidRPr="00711B64">
        <w:rPr>
          <w:rFonts w:ascii="Cambria" w:eastAsia="Times New Roman" w:hAnsi="Cambria" w:cs="Times New Roman"/>
          <w:sz w:val="24"/>
          <w:szCs w:val="24"/>
          <w:lang w:val="en-GB" w:eastAsia="ro-RO"/>
        </w:rPr>
        <w:t xml:space="preserve">: RON </w:t>
      </w:r>
      <w:r w:rsidR="003B6C07" w:rsidRPr="003B6C07">
        <w:rPr>
          <w:rFonts w:ascii="Cambria" w:eastAsia="Times New Roman" w:hAnsi="Cambria" w:cs="Times New Roman"/>
          <w:sz w:val="24"/>
          <w:szCs w:val="24"/>
          <w:lang w:val="en-GB" w:eastAsia="ro-RO"/>
        </w:rPr>
        <w:t xml:space="preserve">103.906 </w:t>
      </w:r>
      <w:r w:rsidRPr="00711B64">
        <w:rPr>
          <w:rFonts w:ascii="Cambria" w:eastAsia="Times New Roman" w:hAnsi="Cambria" w:cs="Times New Roman"/>
          <w:sz w:val="24"/>
          <w:szCs w:val="24"/>
          <w:lang w:val="en-GB" w:eastAsia="ro-RO"/>
        </w:rPr>
        <w:t>thousand;</w:t>
      </w:r>
    </w:p>
    <w:p w:rsidR="0037604E" w:rsidRPr="00711B64" w:rsidRDefault="0037604E"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sidRPr="00711B64">
        <w:rPr>
          <w:rFonts w:ascii="Cambria" w:eastAsia="Times New Roman" w:hAnsi="Cambria" w:cs="Times New Roman"/>
          <w:sz w:val="24"/>
          <w:szCs w:val="24"/>
          <w:lang w:val="en-GB" w:eastAsia="ro-RO"/>
        </w:rPr>
        <w:t xml:space="preserve">cost of personnel: RON </w:t>
      </w:r>
      <w:r w:rsidR="003B6C07" w:rsidRPr="003B6C07">
        <w:rPr>
          <w:rFonts w:ascii="Cambria" w:eastAsia="Times New Roman" w:hAnsi="Cambria" w:cs="Times New Roman"/>
          <w:sz w:val="24"/>
          <w:szCs w:val="24"/>
          <w:lang w:val="en-GB" w:eastAsia="ro-RO"/>
        </w:rPr>
        <w:t xml:space="preserve">12.807 </w:t>
      </w:r>
      <w:r w:rsidRPr="00711B64">
        <w:rPr>
          <w:rFonts w:ascii="Cambria" w:eastAsia="Times New Roman" w:hAnsi="Cambria" w:cs="Times New Roman"/>
          <w:sz w:val="24"/>
          <w:szCs w:val="24"/>
          <w:lang w:val="en-GB" w:eastAsia="ro-RO"/>
        </w:rPr>
        <w:t>thousand;</w:t>
      </w:r>
    </w:p>
    <w:p w:rsidR="0037604E" w:rsidRPr="00711B64" w:rsidRDefault="0037604E"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sidRPr="00711B64">
        <w:rPr>
          <w:rFonts w:ascii="Cambria" w:eastAsia="Times New Roman" w:hAnsi="Cambria" w:cs="Times New Roman"/>
          <w:sz w:val="24"/>
          <w:szCs w:val="24"/>
          <w:lang w:val="en-GB" w:eastAsia="ro-RO"/>
        </w:rPr>
        <w:t xml:space="preserve">other material costs: RON </w:t>
      </w:r>
      <w:r w:rsidR="003B6C07" w:rsidRPr="003B6C07">
        <w:rPr>
          <w:rFonts w:ascii="Cambria" w:eastAsia="Times New Roman" w:hAnsi="Cambria" w:cs="Times New Roman"/>
          <w:sz w:val="24"/>
          <w:szCs w:val="24"/>
          <w:lang w:val="en-GB" w:eastAsia="ro-RO"/>
        </w:rPr>
        <w:t>9.981</w:t>
      </w:r>
      <w:r w:rsidR="003B6C07">
        <w:rPr>
          <w:rFonts w:ascii="Cambria" w:eastAsia="Times New Roman" w:hAnsi="Cambria" w:cs="Times New Roman"/>
          <w:sz w:val="24"/>
          <w:szCs w:val="24"/>
          <w:lang w:val="en-GB" w:eastAsia="ro-RO"/>
        </w:rPr>
        <w:t xml:space="preserve"> thousand</w:t>
      </w:r>
      <w:r w:rsidRPr="00711B64">
        <w:rPr>
          <w:rFonts w:ascii="Cambria" w:eastAsia="Times New Roman" w:hAnsi="Cambria" w:cs="Times New Roman"/>
          <w:sz w:val="24"/>
          <w:szCs w:val="24"/>
          <w:lang w:val="en-GB" w:eastAsia="ro-RO"/>
        </w:rPr>
        <w:t>;</w:t>
      </w:r>
    </w:p>
    <w:p w:rsidR="0037604E" w:rsidRPr="00711B64" w:rsidRDefault="0037604E" w:rsidP="00FA6EB9">
      <w:pPr>
        <w:numPr>
          <w:ilvl w:val="0"/>
          <w:numId w:val="42"/>
        </w:numPr>
        <w:spacing w:after="0" w:line="240" w:lineRule="auto"/>
        <w:contextualSpacing/>
        <w:jc w:val="both"/>
        <w:rPr>
          <w:rFonts w:ascii="Cambria" w:eastAsia="Times New Roman" w:hAnsi="Cambria" w:cs="Times New Roman"/>
          <w:sz w:val="24"/>
          <w:szCs w:val="24"/>
          <w:lang w:val="en-GB" w:eastAsia="ro-RO"/>
        </w:rPr>
      </w:pPr>
      <w:r w:rsidRPr="00711B64">
        <w:rPr>
          <w:rFonts w:ascii="Cambria" w:eastAsia="Calibri" w:hAnsi="Cambria" w:cs="Times New Roman"/>
          <w:sz w:val="24"/>
          <w:szCs w:val="24"/>
          <w:lang w:val="en-GB" w:eastAsia="en-US"/>
        </w:rPr>
        <w:t xml:space="preserve">cost of royalty: RON </w:t>
      </w:r>
      <w:r w:rsidR="003B6C07" w:rsidRPr="003B6C07">
        <w:rPr>
          <w:rFonts w:ascii="Cambria" w:eastAsia="Times New Roman" w:hAnsi="Cambria" w:cs="Times New Roman"/>
          <w:sz w:val="24"/>
          <w:szCs w:val="24"/>
          <w:lang w:val="en-GB" w:eastAsia="ro-RO"/>
        </w:rPr>
        <w:t>6.422</w:t>
      </w:r>
      <w:r w:rsidR="003B6C07">
        <w:rPr>
          <w:rFonts w:ascii="Cambria" w:eastAsia="Times New Roman" w:hAnsi="Cambria" w:cs="Times New Roman"/>
          <w:sz w:val="24"/>
          <w:szCs w:val="24"/>
          <w:lang w:val="en-GB" w:eastAsia="ro-RO"/>
        </w:rPr>
        <w:t xml:space="preserve"> </w:t>
      </w:r>
      <w:r w:rsidRPr="00711B64">
        <w:rPr>
          <w:rFonts w:ascii="Cambria" w:eastAsia="Calibri" w:hAnsi="Cambria" w:cs="Times New Roman"/>
          <w:sz w:val="24"/>
          <w:szCs w:val="24"/>
          <w:lang w:val="en-GB" w:eastAsia="en-US"/>
        </w:rPr>
        <w:t>thousand</w:t>
      </w:r>
      <w:r w:rsidR="003B6C07">
        <w:rPr>
          <w:rFonts w:ascii="Cambria" w:eastAsia="Calibri" w:hAnsi="Cambria" w:cs="Times New Roman"/>
          <w:sz w:val="24"/>
          <w:szCs w:val="24"/>
          <w:lang w:val="en-GB" w:eastAsia="en-US"/>
        </w:rPr>
        <w:t>.</w:t>
      </w:r>
    </w:p>
    <w:p w:rsidR="0037604E" w:rsidRPr="00711B64" w:rsidRDefault="0037604E" w:rsidP="0037604E">
      <w:pPr>
        <w:spacing w:after="0" w:line="240" w:lineRule="auto"/>
        <w:ind w:firstLine="0"/>
        <w:jc w:val="both"/>
        <w:rPr>
          <w:rFonts w:ascii="Cambria" w:eastAsia="Times New Roman" w:hAnsi="Cambria" w:cs="Cambria"/>
          <w:b/>
          <w:bCs/>
          <w:i/>
          <w:iCs/>
          <w:sz w:val="24"/>
          <w:szCs w:val="24"/>
          <w:lang w:val="en-GB"/>
        </w:rPr>
      </w:pPr>
    </w:p>
    <w:p w:rsidR="0037604E" w:rsidRPr="00711B64" w:rsidRDefault="0037604E" w:rsidP="0037604E">
      <w:pPr>
        <w:spacing w:after="0" w:line="240" w:lineRule="auto"/>
        <w:ind w:firstLine="0"/>
        <w:jc w:val="both"/>
        <w:rPr>
          <w:rFonts w:ascii="Cambria" w:eastAsia="Times New Roman" w:hAnsi="Cambria" w:cs="Times New Roman"/>
          <w:sz w:val="24"/>
          <w:szCs w:val="24"/>
          <w:lang w:val="en-GB" w:eastAsia="ro-RO"/>
        </w:rPr>
      </w:pPr>
      <w:r w:rsidRPr="00711B64">
        <w:rPr>
          <w:rFonts w:ascii="Cambria" w:eastAsia="Times New Roman" w:hAnsi="Cambria" w:cs="Cambria"/>
          <w:i/>
          <w:iCs/>
          <w:sz w:val="24"/>
          <w:szCs w:val="24"/>
          <w:lang w:val="en-GB"/>
        </w:rPr>
        <w:t>Exceedings amounting to</w:t>
      </w:r>
      <w:r w:rsidRPr="00711B64">
        <w:rPr>
          <w:rFonts w:ascii="Cambria" w:eastAsia="Times New Roman" w:hAnsi="Cambria" w:cs="Times New Roman"/>
          <w:i/>
          <w:sz w:val="24"/>
          <w:szCs w:val="24"/>
          <w:lang w:val="en-GB" w:eastAsia="ro-RO"/>
        </w:rPr>
        <w:t xml:space="preserve"> </w:t>
      </w:r>
      <w:r w:rsidRPr="00711B64">
        <w:rPr>
          <w:rFonts w:ascii="Cambria" w:eastAsia="Times New Roman" w:hAnsi="Cambria" w:cs="Times New Roman"/>
          <w:b/>
          <w:i/>
          <w:sz w:val="24"/>
          <w:szCs w:val="24"/>
          <w:lang w:val="en-GB" w:eastAsia="ro-RO"/>
        </w:rPr>
        <w:t xml:space="preserve">RON </w:t>
      </w:r>
      <w:r w:rsidR="00CE66D6">
        <w:rPr>
          <w:rFonts w:ascii="Cambria" w:eastAsia="Calibri" w:hAnsi="Cambria" w:cs="DokChampa"/>
          <w:b/>
          <w:i/>
          <w:sz w:val="24"/>
          <w:szCs w:val="24"/>
          <w:lang w:val="ro-RO" w:eastAsia="en-US"/>
        </w:rPr>
        <w:t>150</w:t>
      </w:r>
      <w:r w:rsidR="00CE66D6" w:rsidRPr="00C33102">
        <w:rPr>
          <w:rFonts w:ascii="Cambria" w:eastAsia="Calibri" w:hAnsi="Cambria" w:cs="DokChampa"/>
          <w:b/>
          <w:i/>
          <w:sz w:val="24"/>
          <w:szCs w:val="24"/>
          <w:lang w:val="ro-RO" w:eastAsia="en-US"/>
        </w:rPr>
        <w:t>.</w:t>
      </w:r>
      <w:r w:rsidR="00CE66D6">
        <w:rPr>
          <w:rFonts w:ascii="Cambria" w:eastAsia="Calibri" w:hAnsi="Cambria" w:cs="DokChampa"/>
          <w:b/>
          <w:i/>
          <w:sz w:val="24"/>
          <w:szCs w:val="24"/>
          <w:lang w:val="ro-RO" w:eastAsia="en-US"/>
        </w:rPr>
        <w:t xml:space="preserve">727 </w:t>
      </w:r>
      <w:r w:rsidRPr="00711B64">
        <w:rPr>
          <w:rFonts w:ascii="Cambria" w:eastAsia="Times New Roman" w:hAnsi="Cambria" w:cs="Times New Roman"/>
          <w:b/>
          <w:i/>
          <w:sz w:val="24"/>
          <w:szCs w:val="24"/>
          <w:lang w:val="en-GB" w:eastAsia="ro-RO"/>
        </w:rPr>
        <w:t xml:space="preserve">thousand </w:t>
      </w:r>
      <w:r w:rsidRPr="00711B64">
        <w:rPr>
          <w:rFonts w:ascii="Cambria" w:eastAsia="Times New Roman" w:hAnsi="Cambria" w:cs="Cambria"/>
          <w:i/>
          <w:iCs/>
          <w:sz w:val="24"/>
          <w:szCs w:val="24"/>
          <w:lang w:val="en-GB"/>
        </w:rPr>
        <w:t>were recorded</w:t>
      </w:r>
      <w:r w:rsidRPr="00711B64">
        <w:rPr>
          <w:rFonts w:ascii="Cambria" w:eastAsia="Times New Roman" w:hAnsi="Cambria" w:cs="Times New Roman"/>
          <w:b/>
          <w:i/>
          <w:sz w:val="24"/>
          <w:szCs w:val="24"/>
          <w:lang w:val="en-GB" w:eastAsia="ro-RO"/>
        </w:rPr>
        <w:t xml:space="preserve">, </w:t>
      </w:r>
      <w:r w:rsidRPr="00711B64">
        <w:rPr>
          <w:rFonts w:ascii="Cambria" w:eastAsia="Times New Roman" w:hAnsi="Cambria" w:cs="Cambria"/>
          <w:sz w:val="24"/>
          <w:szCs w:val="24"/>
          <w:lang w:val="en-GB"/>
        </w:rPr>
        <w:t>mainly under the following cost items</w:t>
      </w:r>
      <w:r w:rsidRPr="00711B64">
        <w:rPr>
          <w:rFonts w:ascii="Cambria" w:eastAsia="Times New Roman" w:hAnsi="Cambria" w:cs="Times New Roman"/>
          <w:sz w:val="24"/>
          <w:szCs w:val="24"/>
          <w:lang w:val="en-GB" w:eastAsia="ro-RO"/>
        </w:rPr>
        <w:t>:</w:t>
      </w:r>
    </w:p>
    <w:p w:rsidR="0037604E" w:rsidRDefault="0037604E" w:rsidP="00FA6EB9">
      <w:pPr>
        <w:numPr>
          <w:ilvl w:val="0"/>
          <w:numId w:val="8"/>
        </w:numPr>
        <w:tabs>
          <w:tab w:val="num" w:pos="1080"/>
        </w:tabs>
        <w:spacing w:after="0" w:line="240" w:lineRule="auto"/>
        <w:ind w:left="630"/>
        <w:contextualSpacing/>
        <w:jc w:val="both"/>
        <w:rPr>
          <w:rFonts w:ascii="Cambria" w:eastAsia="Times New Roman" w:hAnsi="Cambria" w:cs="Times New Roman"/>
          <w:sz w:val="24"/>
          <w:szCs w:val="24"/>
          <w:lang w:val="en-GB" w:eastAsia="ro-RO"/>
        </w:rPr>
      </w:pPr>
      <w:r w:rsidRPr="00711B64">
        <w:rPr>
          <w:rFonts w:ascii="Cambria" w:eastAsia="Times New Roman" w:hAnsi="Cambria" w:cs="Times New Roman"/>
          <w:sz w:val="24"/>
          <w:szCs w:val="24"/>
          <w:lang w:val="en-GB" w:eastAsia="ro-RO"/>
        </w:rPr>
        <w:t xml:space="preserve">taxes and duties: RON </w:t>
      </w:r>
      <w:r w:rsidR="003B6C07" w:rsidRPr="00C33102">
        <w:rPr>
          <w:rFonts w:ascii="Cambria" w:eastAsia="Times New Roman" w:hAnsi="Cambria" w:cs="DokChampa"/>
          <w:sz w:val="24"/>
          <w:szCs w:val="24"/>
          <w:lang w:eastAsia="ro-RO"/>
        </w:rPr>
        <w:t xml:space="preserve">53.246 </w:t>
      </w:r>
      <w:r w:rsidRPr="00711B64">
        <w:rPr>
          <w:rFonts w:ascii="Cambria" w:eastAsia="Times New Roman" w:hAnsi="Cambria" w:cs="Times New Roman"/>
          <w:sz w:val="24"/>
          <w:szCs w:val="24"/>
          <w:lang w:val="en-GB" w:eastAsia="ro-RO"/>
        </w:rPr>
        <w:t>thousand, mainly based on the cost of tax on monopoly;</w:t>
      </w:r>
      <w:r w:rsidR="003B6C07">
        <w:rPr>
          <w:rFonts w:ascii="Cambria" w:eastAsia="Times New Roman" w:hAnsi="Cambria" w:cs="Times New Roman"/>
          <w:sz w:val="24"/>
          <w:szCs w:val="24"/>
          <w:lang w:val="en-GB" w:eastAsia="ro-RO"/>
        </w:rPr>
        <w:t xml:space="preserve"> </w:t>
      </w:r>
    </w:p>
    <w:p w:rsidR="0037604E" w:rsidRPr="00711B64" w:rsidRDefault="0037604E" w:rsidP="00FA6EB9">
      <w:pPr>
        <w:numPr>
          <w:ilvl w:val="0"/>
          <w:numId w:val="8"/>
        </w:numPr>
        <w:tabs>
          <w:tab w:val="left" w:pos="630"/>
        </w:tabs>
        <w:spacing w:after="0" w:line="240" w:lineRule="auto"/>
        <w:ind w:hanging="900"/>
        <w:contextualSpacing/>
        <w:jc w:val="both"/>
        <w:rPr>
          <w:rFonts w:ascii="Cambria" w:eastAsia="Times New Roman" w:hAnsi="Cambria" w:cs="Times New Roman"/>
          <w:sz w:val="24"/>
          <w:szCs w:val="24"/>
          <w:lang w:val="en-GB" w:eastAsia="ro-RO"/>
        </w:rPr>
      </w:pPr>
      <w:r w:rsidRPr="00711B64">
        <w:rPr>
          <w:rFonts w:ascii="Cambria" w:eastAsia="Times New Roman" w:hAnsi="Cambria" w:cs="Cambria"/>
          <w:sz w:val="24"/>
          <w:szCs w:val="24"/>
          <w:lang w:val="en-GB"/>
        </w:rPr>
        <w:t xml:space="preserve">cost of provision for risks and expenses: RON </w:t>
      </w:r>
      <w:r w:rsidR="003B6C07" w:rsidRPr="003B6C07">
        <w:rPr>
          <w:rFonts w:ascii="Cambria" w:eastAsia="Times New Roman" w:hAnsi="Cambria" w:cs="Times New Roman"/>
          <w:sz w:val="24"/>
          <w:szCs w:val="24"/>
          <w:lang w:val="en-GB" w:eastAsia="ro-RO"/>
        </w:rPr>
        <w:t xml:space="preserve">1.140 </w:t>
      </w:r>
      <w:r w:rsidRPr="00711B64">
        <w:rPr>
          <w:rFonts w:ascii="Cambria" w:eastAsia="Times New Roman" w:hAnsi="Cambria" w:cs="Times New Roman"/>
          <w:sz w:val="24"/>
          <w:szCs w:val="24"/>
          <w:lang w:val="en-GB" w:eastAsia="ro-RO"/>
        </w:rPr>
        <w:t>thousand;</w:t>
      </w:r>
    </w:p>
    <w:p w:rsidR="0037604E" w:rsidRPr="00711B64" w:rsidRDefault="0037604E" w:rsidP="00FA6EB9">
      <w:pPr>
        <w:numPr>
          <w:ilvl w:val="0"/>
          <w:numId w:val="8"/>
        </w:numPr>
        <w:spacing w:after="0" w:line="240" w:lineRule="auto"/>
        <w:ind w:left="630"/>
        <w:contextualSpacing/>
        <w:jc w:val="both"/>
        <w:rPr>
          <w:rFonts w:ascii="Cambria" w:eastAsia="Times New Roman" w:hAnsi="Cambria" w:cs="Times New Roman"/>
          <w:sz w:val="24"/>
          <w:szCs w:val="24"/>
          <w:lang w:val="en-GB" w:eastAsia="ro-RO"/>
        </w:rPr>
      </w:pPr>
      <w:r w:rsidRPr="00711B64">
        <w:rPr>
          <w:rFonts w:ascii="Cambria" w:eastAsia="Times New Roman" w:hAnsi="Cambria" w:cs="Times New Roman"/>
          <w:sz w:val="24"/>
          <w:szCs w:val="24"/>
          <w:lang w:val="en-GB" w:eastAsia="ro-RO"/>
        </w:rPr>
        <w:t xml:space="preserve">other operating costs: </w:t>
      </w:r>
      <w:r w:rsidRPr="00711B64">
        <w:rPr>
          <w:rFonts w:asciiTheme="majorHAnsi" w:eastAsia="Times New Roman" w:hAnsiTheme="majorHAnsi" w:cs="Times New Roman"/>
          <w:sz w:val="24"/>
          <w:szCs w:val="24"/>
          <w:lang w:val="en-GB" w:eastAsia="ro-RO"/>
        </w:rPr>
        <w:t xml:space="preserve">RON </w:t>
      </w:r>
      <w:r w:rsidR="003B6C07" w:rsidRPr="003B6C07">
        <w:rPr>
          <w:rFonts w:asciiTheme="majorHAnsi" w:eastAsia="Times New Roman" w:hAnsiTheme="majorHAnsi" w:cs="Times New Roman"/>
          <w:sz w:val="24"/>
          <w:szCs w:val="24"/>
          <w:lang w:val="en-GB" w:eastAsia="ro-RO"/>
        </w:rPr>
        <w:t xml:space="preserve">85.780 </w:t>
      </w:r>
      <w:r w:rsidRPr="00711B64">
        <w:rPr>
          <w:rFonts w:asciiTheme="majorHAnsi" w:eastAsia="Times New Roman" w:hAnsiTheme="majorHAnsi" w:cs="Times New Roman"/>
          <w:sz w:val="24"/>
          <w:szCs w:val="24"/>
          <w:lang w:val="en-GB" w:eastAsia="ro-RO"/>
        </w:rPr>
        <w:t xml:space="preserve">thousand, mainly due to cost of </w:t>
      </w:r>
      <w:r w:rsidRPr="00711B64">
        <w:rPr>
          <w:rFonts w:asciiTheme="majorHAnsi" w:hAnsiTheme="majorHAnsi"/>
          <w:sz w:val="24"/>
          <w:szCs w:val="24"/>
          <w:lang w:val="en-GB"/>
        </w:rPr>
        <w:t>provisions for impairment on receivables</w:t>
      </w:r>
      <w:r w:rsidRPr="00711B64">
        <w:rPr>
          <w:rFonts w:asciiTheme="majorHAnsi" w:eastAsia="Times New Roman" w:hAnsiTheme="majorHAnsi" w:cs="Times New Roman"/>
          <w:sz w:val="24"/>
          <w:szCs w:val="24"/>
          <w:lang w:val="en-GB" w:eastAsia="ro-RO"/>
        </w:rPr>
        <w:t>.</w:t>
      </w:r>
    </w:p>
    <w:p w:rsidR="0037604E" w:rsidRPr="0037604E" w:rsidRDefault="0037604E" w:rsidP="003B6C07">
      <w:pPr>
        <w:shd w:val="clear" w:color="auto" w:fill="FFFFFF"/>
        <w:spacing w:after="0" w:line="240" w:lineRule="auto"/>
        <w:ind w:firstLine="0"/>
        <w:contextualSpacing/>
        <w:jc w:val="both"/>
        <w:rPr>
          <w:rFonts w:ascii="Cambria" w:eastAsia="Times New Roman" w:hAnsi="Cambria" w:cs="Times New Roman"/>
          <w:b/>
          <w:i/>
          <w:color w:val="FF0000"/>
          <w:sz w:val="24"/>
          <w:szCs w:val="24"/>
          <w:lang w:val="en-GB" w:eastAsia="ro-RO"/>
        </w:rPr>
      </w:pPr>
    </w:p>
    <w:p w:rsidR="0037604E" w:rsidRPr="003B6C07" w:rsidRDefault="0037604E" w:rsidP="0037604E">
      <w:pPr>
        <w:spacing w:line="300" w:lineRule="auto"/>
        <w:ind w:firstLine="0"/>
        <w:jc w:val="both"/>
        <w:rPr>
          <w:rFonts w:ascii="Cambria" w:eastAsia="Times New Roman" w:hAnsi="Cambria" w:cs="Times New Roman"/>
          <w:b/>
          <w:i/>
          <w:sz w:val="24"/>
          <w:szCs w:val="24"/>
          <w:lang w:val="en-GB" w:eastAsia="ro-RO"/>
        </w:rPr>
      </w:pPr>
      <w:r w:rsidRPr="003B6C07">
        <w:rPr>
          <w:rFonts w:asciiTheme="majorHAnsi" w:eastAsia="Calibri" w:hAnsiTheme="majorHAnsi"/>
          <w:b/>
          <w:sz w:val="24"/>
          <w:szCs w:val="24"/>
          <w:lang w:val="en-GB"/>
        </w:rPr>
        <w:t xml:space="preserve">The financial costs </w:t>
      </w:r>
      <w:r w:rsidRPr="003B6C07">
        <w:rPr>
          <w:rFonts w:asciiTheme="majorHAnsi" w:eastAsia="Calibri" w:hAnsiTheme="majorHAnsi"/>
          <w:sz w:val="24"/>
          <w:szCs w:val="24"/>
          <w:lang w:val="en-GB"/>
        </w:rPr>
        <w:t xml:space="preserve">increased by RON </w:t>
      </w:r>
      <w:r w:rsidR="003B6C07" w:rsidRPr="003B6C07">
        <w:rPr>
          <w:rFonts w:ascii="Cambria" w:eastAsia="Calibri" w:hAnsi="Cambria" w:cs="Times New Roman"/>
          <w:sz w:val="24"/>
          <w:szCs w:val="24"/>
          <w:lang w:val="en-GB" w:eastAsia="en-US"/>
        </w:rPr>
        <w:t xml:space="preserve">1.912 </w:t>
      </w:r>
      <w:r w:rsidRPr="003B6C07">
        <w:rPr>
          <w:rFonts w:asciiTheme="majorHAnsi" w:eastAsia="Calibri" w:hAnsiTheme="majorHAnsi"/>
          <w:sz w:val="24"/>
          <w:szCs w:val="24"/>
          <w:lang w:val="en-GB"/>
        </w:rPr>
        <w:t>thousand</w:t>
      </w:r>
      <w:r w:rsidRPr="003B6C07">
        <w:rPr>
          <w:rFonts w:asciiTheme="majorHAnsi" w:hAnsiTheme="majorHAnsi"/>
          <w:sz w:val="24"/>
          <w:szCs w:val="24"/>
          <w:lang w:val="en-GB"/>
        </w:rPr>
        <w:t xml:space="preserve"> </w:t>
      </w:r>
      <w:r w:rsidRPr="003B6C07">
        <w:rPr>
          <w:rFonts w:asciiTheme="majorHAnsi" w:eastAsia="Calibri" w:hAnsiTheme="majorHAnsi"/>
          <w:sz w:val="24"/>
          <w:szCs w:val="24"/>
          <w:lang w:val="en-GB"/>
        </w:rPr>
        <w:t>based on the foreign exchange loss.</w:t>
      </w:r>
    </w:p>
    <w:p w:rsidR="0037604E" w:rsidRPr="003B6C07" w:rsidRDefault="0037604E" w:rsidP="0037604E">
      <w:pPr>
        <w:spacing w:after="0" w:line="240" w:lineRule="auto"/>
        <w:ind w:firstLine="0"/>
        <w:jc w:val="both"/>
        <w:rPr>
          <w:rFonts w:ascii="Cambria" w:eastAsia="Times New Roman" w:hAnsi="Cambria" w:cs="Times New Roman"/>
          <w:sz w:val="24"/>
          <w:szCs w:val="24"/>
          <w:lang w:val="en-GB" w:eastAsia="ro-RO"/>
        </w:rPr>
      </w:pPr>
      <w:r w:rsidRPr="003B6C07">
        <w:rPr>
          <w:rFonts w:ascii="Cambria" w:eastAsia="Times New Roman" w:hAnsi="Cambria" w:cs="Cambria"/>
          <w:b/>
          <w:bCs/>
          <w:i/>
          <w:iCs/>
          <w:sz w:val="24"/>
          <w:szCs w:val="24"/>
          <w:lang w:val="en-GB"/>
        </w:rPr>
        <w:t>The gross profit</w:t>
      </w:r>
      <w:r w:rsidRPr="003B6C07">
        <w:rPr>
          <w:rFonts w:ascii="Cambria" w:eastAsia="Times New Roman" w:hAnsi="Cambria" w:cs="Cambria"/>
          <w:sz w:val="24"/>
          <w:szCs w:val="24"/>
          <w:lang w:val="en-GB"/>
        </w:rPr>
        <w:t xml:space="preserve"> is</w:t>
      </w:r>
      <w:r w:rsidRPr="003B6C07">
        <w:rPr>
          <w:rFonts w:ascii="Cambria" w:eastAsia="Times New Roman" w:hAnsi="Cambria" w:cs="Times New Roman"/>
          <w:sz w:val="24"/>
          <w:szCs w:val="24"/>
          <w:lang w:val="en-GB" w:eastAsia="ro-RO"/>
        </w:rPr>
        <w:t xml:space="preserve"> </w:t>
      </w:r>
      <w:r w:rsidR="003B6C07" w:rsidRPr="003B6C07">
        <w:rPr>
          <w:rFonts w:ascii="Cambria" w:eastAsia="Calibri" w:hAnsi="Cambria" w:cs="Times New Roman"/>
          <w:b/>
          <w:sz w:val="24"/>
          <w:szCs w:val="24"/>
          <w:lang w:val="en-GB" w:eastAsia="en-US"/>
        </w:rPr>
        <w:t>46</w:t>
      </w:r>
      <w:r w:rsidRPr="003B6C07">
        <w:rPr>
          <w:rFonts w:ascii="Cambria" w:eastAsia="Times New Roman" w:hAnsi="Cambria" w:cs="Times New Roman"/>
          <w:b/>
          <w:sz w:val="24"/>
          <w:szCs w:val="24"/>
          <w:lang w:val="en-GB" w:eastAsia="ro-RO"/>
        </w:rPr>
        <w:t>%</w:t>
      </w:r>
      <w:r w:rsidRPr="003B6C07">
        <w:rPr>
          <w:rFonts w:ascii="Cambria" w:eastAsia="Times New Roman" w:hAnsi="Cambria" w:cs="Times New Roman"/>
          <w:sz w:val="24"/>
          <w:szCs w:val="24"/>
          <w:lang w:val="en-GB" w:eastAsia="ro-RO"/>
        </w:rPr>
        <w:t xml:space="preserve"> </w:t>
      </w:r>
      <w:r w:rsidRPr="003B6C07">
        <w:rPr>
          <w:rFonts w:ascii="Cambria" w:eastAsia="Times New Roman" w:hAnsi="Cambria" w:cs="Cambria"/>
          <w:sz w:val="24"/>
          <w:szCs w:val="24"/>
          <w:lang w:val="en-GB"/>
        </w:rPr>
        <w:t>higher than the one provided in the management plan, its level being higher by</w:t>
      </w:r>
      <w:r w:rsidRPr="003B6C07">
        <w:rPr>
          <w:rFonts w:ascii="Cambria" w:eastAsia="Times New Roman" w:hAnsi="Cambria" w:cs="Times New Roman"/>
          <w:sz w:val="24"/>
          <w:szCs w:val="24"/>
          <w:lang w:val="en-GB" w:eastAsia="ro-RO"/>
        </w:rPr>
        <w:t xml:space="preserve"> </w:t>
      </w:r>
      <w:r w:rsidRPr="003B6C07">
        <w:rPr>
          <w:rFonts w:ascii="Cambria" w:eastAsia="Times New Roman" w:hAnsi="Cambria" w:cs="Times New Roman"/>
          <w:b/>
          <w:sz w:val="24"/>
          <w:szCs w:val="24"/>
          <w:lang w:val="en-GB" w:eastAsia="ro-RO"/>
        </w:rPr>
        <w:t>RON</w:t>
      </w:r>
      <w:r w:rsidRPr="003B6C07">
        <w:rPr>
          <w:rFonts w:ascii="Cambria" w:eastAsia="Times New Roman" w:hAnsi="Cambria" w:cs="Times New Roman"/>
          <w:sz w:val="24"/>
          <w:szCs w:val="24"/>
          <w:lang w:val="en-GB" w:eastAsia="ro-RO"/>
        </w:rPr>
        <w:t xml:space="preserve"> </w:t>
      </w:r>
      <w:r w:rsidR="00950EC1" w:rsidRPr="00950EC1">
        <w:rPr>
          <w:rFonts w:ascii="Cambria" w:eastAsia="Calibri" w:hAnsi="Cambria" w:cs="Times New Roman"/>
          <w:b/>
          <w:sz w:val="24"/>
          <w:szCs w:val="24"/>
          <w:lang w:val="en-GB" w:eastAsia="en-US"/>
        </w:rPr>
        <w:t xml:space="preserve">223.698 </w:t>
      </w:r>
      <w:r w:rsidRPr="003B6C07">
        <w:rPr>
          <w:rFonts w:ascii="Cambria" w:eastAsia="Times New Roman" w:hAnsi="Cambria" w:cs="Times New Roman"/>
          <w:b/>
          <w:sz w:val="24"/>
          <w:szCs w:val="24"/>
          <w:lang w:val="en-GB" w:eastAsia="ro-RO"/>
        </w:rPr>
        <w:t>thousand</w:t>
      </w:r>
      <w:r w:rsidRPr="003B6C07">
        <w:rPr>
          <w:rFonts w:ascii="Cambria" w:eastAsia="Times New Roman" w:hAnsi="Cambria" w:cs="Times New Roman"/>
          <w:sz w:val="24"/>
          <w:szCs w:val="24"/>
          <w:lang w:val="en-GB" w:eastAsia="ro-RO"/>
        </w:rPr>
        <w:t xml:space="preserve">, </w:t>
      </w:r>
      <w:r w:rsidRPr="003B6C07">
        <w:rPr>
          <w:rFonts w:ascii="Cambria" w:eastAsia="Times New Roman" w:hAnsi="Cambria" w:cs="Cambria"/>
          <w:sz w:val="24"/>
          <w:szCs w:val="24"/>
          <w:lang w:val="en-GB"/>
        </w:rPr>
        <w:t xml:space="preserve">and the </w:t>
      </w:r>
      <w:r w:rsidRPr="003B6C07">
        <w:rPr>
          <w:rFonts w:ascii="Cambria" w:eastAsia="Times New Roman" w:hAnsi="Cambria" w:cs="Cambria"/>
          <w:b/>
          <w:bCs/>
          <w:sz w:val="24"/>
          <w:szCs w:val="24"/>
          <w:lang w:val="en-GB"/>
        </w:rPr>
        <w:t>net profit</w:t>
      </w:r>
      <w:r w:rsidRPr="003B6C07">
        <w:rPr>
          <w:rFonts w:ascii="Cambria" w:eastAsia="Times New Roman" w:hAnsi="Cambria" w:cs="Cambria"/>
          <w:sz w:val="24"/>
          <w:szCs w:val="24"/>
          <w:lang w:val="en-GB"/>
        </w:rPr>
        <w:t xml:space="preserve"> </w:t>
      </w:r>
      <w:r w:rsidRPr="003B6C07">
        <w:rPr>
          <w:rFonts w:ascii="Cambria" w:eastAsia="Times New Roman" w:hAnsi="Cambria" w:cs="Cambria"/>
          <w:b/>
          <w:bCs/>
          <w:sz w:val="24"/>
          <w:szCs w:val="24"/>
          <w:lang w:val="en-GB"/>
        </w:rPr>
        <w:t>by</w:t>
      </w:r>
      <w:r w:rsidRPr="003B6C07">
        <w:rPr>
          <w:rFonts w:ascii="Cambria" w:eastAsia="Times New Roman" w:hAnsi="Cambria" w:cs="Times New Roman"/>
          <w:b/>
          <w:sz w:val="24"/>
          <w:szCs w:val="24"/>
          <w:lang w:val="en-GB" w:eastAsia="ro-RO"/>
        </w:rPr>
        <w:t xml:space="preserve"> </w:t>
      </w:r>
      <w:r w:rsidR="00950EC1" w:rsidRPr="00950EC1">
        <w:rPr>
          <w:rFonts w:ascii="Cambria" w:eastAsia="Times New Roman" w:hAnsi="Cambria" w:cs="Times New Roman"/>
          <w:b/>
          <w:sz w:val="24"/>
          <w:szCs w:val="24"/>
          <w:lang w:val="en-GB" w:eastAsia="ro-RO"/>
        </w:rPr>
        <w:t>44</w:t>
      </w:r>
      <w:r w:rsidRPr="003B6C07">
        <w:rPr>
          <w:rFonts w:ascii="Cambria" w:eastAsia="Times New Roman" w:hAnsi="Cambria" w:cs="Times New Roman"/>
          <w:b/>
          <w:sz w:val="24"/>
          <w:szCs w:val="24"/>
          <w:lang w:val="en-GB" w:eastAsia="ro-RO"/>
        </w:rPr>
        <w:t>%</w:t>
      </w:r>
      <w:r w:rsidRPr="003B6C07">
        <w:rPr>
          <w:rFonts w:ascii="Cambria" w:eastAsia="Times New Roman" w:hAnsi="Cambria" w:cs="Times New Roman"/>
          <w:sz w:val="24"/>
          <w:szCs w:val="24"/>
          <w:lang w:val="en-GB" w:eastAsia="ro-RO"/>
        </w:rPr>
        <w:t xml:space="preserve">, </w:t>
      </w:r>
      <w:r w:rsidRPr="003B6C07">
        <w:rPr>
          <w:rFonts w:ascii="Cambria" w:eastAsia="Times New Roman" w:hAnsi="Cambria" w:cs="Cambria"/>
          <w:sz w:val="24"/>
          <w:szCs w:val="24"/>
          <w:lang w:val="en-GB"/>
        </w:rPr>
        <w:t>namely by</w:t>
      </w:r>
      <w:r w:rsidRPr="003B6C07">
        <w:rPr>
          <w:rFonts w:ascii="Cambria" w:eastAsia="Times New Roman" w:hAnsi="Cambria" w:cs="Times New Roman"/>
          <w:sz w:val="24"/>
          <w:szCs w:val="24"/>
          <w:lang w:val="en-GB" w:eastAsia="ro-RO"/>
        </w:rPr>
        <w:t xml:space="preserve"> </w:t>
      </w:r>
      <w:r w:rsidRPr="003B6C07">
        <w:rPr>
          <w:rFonts w:ascii="Cambria" w:eastAsia="Times New Roman" w:hAnsi="Cambria" w:cs="Times New Roman"/>
          <w:b/>
          <w:sz w:val="24"/>
          <w:szCs w:val="24"/>
          <w:lang w:val="en-GB" w:eastAsia="ro-RO"/>
        </w:rPr>
        <w:t>RON</w:t>
      </w:r>
      <w:r w:rsidRPr="003B6C07">
        <w:rPr>
          <w:rFonts w:ascii="Cambria" w:eastAsia="Times New Roman" w:hAnsi="Cambria" w:cs="Times New Roman"/>
          <w:sz w:val="24"/>
          <w:szCs w:val="24"/>
          <w:lang w:val="en-GB" w:eastAsia="ro-RO"/>
        </w:rPr>
        <w:t xml:space="preserve"> </w:t>
      </w:r>
      <w:r w:rsidR="00950EC1" w:rsidRPr="00950EC1">
        <w:rPr>
          <w:rFonts w:ascii="Cambria" w:eastAsia="Calibri" w:hAnsi="Cambria" w:cs="Times New Roman"/>
          <w:b/>
          <w:sz w:val="24"/>
          <w:szCs w:val="24"/>
          <w:lang w:val="en-GB" w:eastAsia="en-US"/>
        </w:rPr>
        <w:t xml:space="preserve">182.159 </w:t>
      </w:r>
      <w:r w:rsidRPr="003B6C07">
        <w:rPr>
          <w:rFonts w:ascii="Cambria" w:eastAsia="Times New Roman" w:hAnsi="Cambria" w:cs="Times New Roman"/>
          <w:b/>
          <w:sz w:val="24"/>
          <w:szCs w:val="24"/>
          <w:lang w:val="en-GB" w:eastAsia="ro-RO"/>
        </w:rPr>
        <w:t>thousand</w:t>
      </w:r>
      <w:r w:rsidRPr="003B6C07">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tbl>
      <w:tblPr>
        <w:tblW w:w="904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813"/>
        <w:gridCol w:w="1890"/>
        <w:gridCol w:w="1929"/>
        <w:gridCol w:w="2530"/>
      </w:tblGrid>
      <w:tr w:rsidR="0037604E" w:rsidRPr="0037604E" w:rsidTr="000569C9">
        <w:trPr>
          <w:trHeight w:val="127"/>
          <w:tblCellSpacing w:w="20" w:type="dxa"/>
          <w:jc w:val="center"/>
        </w:trPr>
        <w:tc>
          <w:tcPr>
            <w:tcW w:w="2723" w:type="dxa"/>
            <w:tcBorders>
              <w:top w:val="nil"/>
              <w:left w:val="outset" w:sz="6" w:space="0" w:color="auto"/>
              <w:bottom w:val="outset" w:sz="6" w:space="0" w:color="auto"/>
              <w:right w:val="outset" w:sz="6" w:space="0" w:color="auto"/>
            </w:tcBorders>
            <w:shd w:val="clear" w:color="auto" w:fill="D6E0F4"/>
            <w:noWrap/>
            <w:vAlign w:val="bottom"/>
            <w:hideMark/>
          </w:tcPr>
          <w:p w:rsidR="0037604E" w:rsidRPr="0037604E" w:rsidRDefault="0037604E" w:rsidP="0037604E">
            <w:pPr>
              <w:spacing w:after="0" w:line="240" w:lineRule="auto"/>
              <w:ind w:firstLine="0"/>
              <w:rPr>
                <w:rFonts w:ascii="Cambria" w:eastAsia="Times New Roman" w:hAnsi="Cambria" w:cs="Times New Roman"/>
                <w:b/>
                <w:bCs/>
                <w:sz w:val="20"/>
                <w:szCs w:val="20"/>
                <w:lang w:val="en-GB" w:eastAsia="en-US"/>
              </w:rPr>
            </w:pPr>
          </w:p>
        </w:tc>
        <w:tc>
          <w:tcPr>
            <w:tcW w:w="1820" w:type="dxa"/>
            <w:tcBorders>
              <w:top w:val="nil"/>
              <w:left w:val="outset" w:sz="6" w:space="0" w:color="auto"/>
              <w:bottom w:val="outset" w:sz="6" w:space="0" w:color="auto"/>
              <w:right w:val="outset" w:sz="6" w:space="0" w:color="auto"/>
            </w:tcBorders>
            <w:shd w:val="clear" w:color="auto" w:fill="D6E0F4"/>
            <w:noWrap/>
            <w:vAlign w:val="center"/>
          </w:tcPr>
          <w:p w:rsidR="0037604E" w:rsidRPr="0037604E" w:rsidRDefault="0037604E" w:rsidP="0037604E">
            <w:pPr>
              <w:spacing w:after="0" w:line="240" w:lineRule="auto"/>
              <w:ind w:firstLine="0"/>
              <w:rPr>
                <w:rFonts w:ascii="Cambria" w:eastAsia="Calibri" w:hAnsi="Cambria" w:cs="Arial"/>
                <w:b/>
                <w:bCs/>
                <w:sz w:val="20"/>
                <w:szCs w:val="20"/>
                <w:lang w:val="en-GB" w:eastAsia="en-US"/>
              </w:rPr>
            </w:pPr>
            <w:r w:rsidRPr="0037604E">
              <w:rPr>
                <w:rFonts w:asciiTheme="majorHAnsi" w:hAnsiTheme="majorHAnsi"/>
                <w:b/>
                <w:bCs/>
                <w:color w:val="000000"/>
                <w:sz w:val="20"/>
                <w:szCs w:val="20"/>
                <w:lang w:val="en-GB"/>
              </w:rPr>
              <w:t>Achieved</w:t>
            </w:r>
            <w:r w:rsidRPr="0037604E">
              <w:rPr>
                <w:rFonts w:ascii="Cambria" w:eastAsia="Calibri" w:hAnsi="Cambria" w:cs="Arial"/>
                <w:b/>
                <w:bCs/>
                <w:sz w:val="20"/>
                <w:szCs w:val="20"/>
                <w:lang w:val="en-GB" w:eastAsia="en-US"/>
              </w:rPr>
              <w:t xml:space="preserve"> 2016/ </w:t>
            </w:r>
            <w:r w:rsidRPr="0037604E">
              <w:rPr>
                <w:rFonts w:asciiTheme="majorHAnsi" w:hAnsiTheme="majorHAnsi"/>
                <w:b/>
                <w:bCs/>
                <w:color w:val="000000"/>
                <w:sz w:val="20"/>
                <w:szCs w:val="20"/>
                <w:lang w:val="en-GB"/>
              </w:rPr>
              <w:t>Achieved</w:t>
            </w:r>
            <w:r w:rsidRPr="0037604E">
              <w:rPr>
                <w:rFonts w:ascii="Cambria" w:eastAsia="Calibri" w:hAnsi="Cambria" w:cs="Arial"/>
                <w:b/>
                <w:bCs/>
                <w:sz w:val="20"/>
                <w:szCs w:val="20"/>
                <w:lang w:val="en-GB" w:eastAsia="en-US"/>
              </w:rPr>
              <w:t xml:space="preserve"> 2015</w:t>
            </w:r>
          </w:p>
        </w:tc>
        <w:tc>
          <w:tcPr>
            <w:tcW w:w="1859" w:type="dxa"/>
            <w:tcBorders>
              <w:top w:val="nil"/>
              <w:left w:val="outset" w:sz="6" w:space="0" w:color="auto"/>
              <w:bottom w:val="outset" w:sz="6" w:space="0" w:color="auto"/>
              <w:right w:val="outset" w:sz="6" w:space="0" w:color="auto"/>
            </w:tcBorders>
            <w:shd w:val="clear" w:color="auto" w:fill="D6E0F4"/>
            <w:noWrap/>
            <w:vAlign w:val="center"/>
          </w:tcPr>
          <w:p w:rsidR="0037604E" w:rsidRPr="0037604E" w:rsidRDefault="0037604E" w:rsidP="0037604E">
            <w:pPr>
              <w:spacing w:after="0" w:line="240" w:lineRule="auto"/>
              <w:ind w:firstLine="0"/>
              <w:rPr>
                <w:rFonts w:ascii="Cambria" w:eastAsia="Calibri" w:hAnsi="Cambria" w:cs="Arial"/>
                <w:b/>
                <w:bCs/>
                <w:sz w:val="20"/>
                <w:szCs w:val="20"/>
                <w:lang w:val="en-GB" w:eastAsia="en-US"/>
              </w:rPr>
            </w:pPr>
            <w:r w:rsidRPr="0037604E">
              <w:rPr>
                <w:rFonts w:asciiTheme="majorHAnsi" w:hAnsiTheme="majorHAnsi"/>
                <w:b/>
                <w:bCs/>
                <w:color w:val="000000"/>
                <w:sz w:val="20"/>
                <w:szCs w:val="20"/>
                <w:lang w:val="en-GB"/>
              </w:rPr>
              <w:t>Achieved</w:t>
            </w:r>
            <w:r w:rsidRPr="0037604E">
              <w:rPr>
                <w:rFonts w:ascii="Cambria" w:eastAsia="Calibri" w:hAnsi="Cambria" w:cs="Arial"/>
                <w:b/>
                <w:bCs/>
                <w:sz w:val="20"/>
                <w:szCs w:val="20"/>
                <w:lang w:val="en-GB" w:eastAsia="en-US"/>
              </w:rPr>
              <w:t xml:space="preserve"> 2016/ REB 2016</w:t>
            </w:r>
          </w:p>
        </w:tc>
        <w:tc>
          <w:tcPr>
            <w:tcW w:w="2440" w:type="dxa"/>
            <w:tcBorders>
              <w:top w:val="nil"/>
              <w:left w:val="outset" w:sz="6" w:space="0" w:color="auto"/>
              <w:bottom w:val="outset" w:sz="6" w:space="0" w:color="auto"/>
              <w:right w:val="outset" w:sz="6" w:space="0" w:color="auto"/>
            </w:tcBorders>
            <w:shd w:val="clear" w:color="auto" w:fill="D6E0F4"/>
            <w:noWrap/>
            <w:vAlign w:val="center"/>
          </w:tcPr>
          <w:p w:rsidR="0037604E" w:rsidRPr="0037604E" w:rsidRDefault="0037604E" w:rsidP="0037604E">
            <w:pPr>
              <w:spacing w:after="0" w:line="240" w:lineRule="auto"/>
              <w:ind w:firstLine="0"/>
              <w:rPr>
                <w:rFonts w:ascii="Cambria" w:eastAsia="Calibri" w:hAnsi="Cambria" w:cs="Arial"/>
                <w:b/>
                <w:sz w:val="20"/>
                <w:szCs w:val="20"/>
                <w:lang w:val="en-GB" w:eastAsia="en-US"/>
              </w:rPr>
            </w:pPr>
            <w:r w:rsidRPr="0037604E">
              <w:rPr>
                <w:rFonts w:ascii="Cambria" w:eastAsia="Calibri" w:hAnsi="Cambria" w:cs="Arial"/>
                <w:b/>
                <w:sz w:val="20"/>
                <w:szCs w:val="20"/>
                <w:lang w:val="en-GB" w:eastAsia="en-US"/>
              </w:rPr>
              <w:t>Achieved 2016/ Management Pan 2016</w:t>
            </w:r>
          </w:p>
        </w:tc>
      </w:tr>
      <w:tr w:rsidR="000569C9" w:rsidRPr="0037604E" w:rsidTr="000569C9">
        <w:trPr>
          <w:trHeight w:val="127"/>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hideMark/>
          </w:tcPr>
          <w:p w:rsidR="000569C9" w:rsidRPr="0037604E" w:rsidRDefault="000569C9"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 xml:space="preserve">Operating revenue before </w:t>
            </w:r>
            <w:r>
              <w:rPr>
                <w:rFonts w:ascii="Cambria" w:eastAsia="Times New Roman" w:hAnsi="Cambria" w:cs="Times New Roman"/>
                <w:b/>
                <w:bCs/>
                <w:sz w:val="20"/>
                <w:szCs w:val="20"/>
                <w:lang w:val="en-GB" w:eastAsia="en-US"/>
              </w:rPr>
              <w:t xml:space="preserve">balancing and </w:t>
            </w:r>
            <w:r w:rsidRPr="0037604E">
              <w:rPr>
                <w:rFonts w:ascii="Cambria" w:eastAsia="Times New Roman" w:hAnsi="Cambria" w:cs="Times New Roman"/>
                <w:b/>
                <w:bCs/>
                <w:sz w:val="20"/>
                <w:szCs w:val="20"/>
                <w:lang w:val="en-GB" w:eastAsia="en-US"/>
              </w:rPr>
              <w:t>the construction activity acc. to IFRIC12</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Pr>
                <w:rFonts w:ascii="Cambria" w:eastAsia="Times New Roman" w:hAnsi="Cambria" w:cs="Arial"/>
                <w:sz w:val="20"/>
                <w:szCs w:val="20"/>
              </w:rPr>
              <w:t>9</w:t>
            </w:r>
            <w:r w:rsidRPr="00C33102">
              <w:rPr>
                <w:rFonts w:ascii="Cambria" w:eastAsia="Times New Roman" w:hAnsi="Cambria" w:cs="Arial"/>
                <w:sz w:val="20"/>
                <w:szCs w:val="20"/>
              </w:rPr>
              <w:t>%</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Pr>
                <w:rFonts w:ascii="Cambria" w:eastAsia="Times New Roman" w:hAnsi="Cambria" w:cs="Arial"/>
                <w:sz w:val="20"/>
                <w:szCs w:val="20"/>
              </w:rPr>
              <w:t>11</w:t>
            </w:r>
            <w:r w:rsidRPr="00C33102">
              <w:rPr>
                <w:rFonts w:ascii="Cambria" w:eastAsia="Times New Roman" w:hAnsi="Cambria" w:cs="Arial"/>
                <w:sz w:val="20"/>
                <w:szCs w:val="20"/>
              </w:rPr>
              <w:t>%</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Pr>
                <w:rFonts w:ascii="Cambria" w:eastAsia="Times New Roman" w:hAnsi="Cambria" w:cs="Arial"/>
                <w:sz w:val="20"/>
                <w:szCs w:val="20"/>
              </w:rPr>
              <w:t>1</w:t>
            </w:r>
            <w:r w:rsidRPr="00C33102">
              <w:rPr>
                <w:rFonts w:ascii="Cambria" w:eastAsia="Times New Roman" w:hAnsi="Cambria" w:cs="Arial"/>
                <w:sz w:val="20"/>
                <w:szCs w:val="20"/>
              </w:rPr>
              <w:t>%</w:t>
            </w:r>
          </w:p>
        </w:tc>
      </w:tr>
      <w:tr w:rsidR="000569C9" w:rsidRPr="0037604E" w:rsidTr="000569C9">
        <w:trPr>
          <w:trHeight w:val="127"/>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hideMark/>
          </w:tcPr>
          <w:p w:rsidR="000569C9" w:rsidRPr="0037604E" w:rsidRDefault="000569C9" w:rsidP="000569C9">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Operating cost before</w:t>
            </w:r>
            <w:r>
              <w:rPr>
                <w:rFonts w:ascii="Cambria" w:eastAsia="Times New Roman" w:hAnsi="Cambria" w:cs="Times New Roman"/>
                <w:b/>
                <w:bCs/>
                <w:sz w:val="20"/>
                <w:szCs w:val="20"/>
                <w:lang w:val="en-GB" w:eastAsia="en-US"/>
              </w:rPr>
              <w:t xml:space="preserve"> balancing and </w:t>
            </w:r>
            <w:r w:rsidRPr="0037604E">
              <w:rPr>
                <w:rFonts w:ascii="Cambria" w:eastAsia="Times New Roman" w:hAnsi="Cambria" w:cs="Times New Roman"/>
                <w:b/>
                <w:bCs/>
                <w:sz w:val="20"/>
                <w:szCs w:val="20"/>
                <w:lang w:val="en-GB" w:eastAsia="en-US"/>
              </w:rPr>
              <w:t xml:space="preserve">the </w:t>
            </w:r>
            <w:r w:rsidRPr="0037604E">
              <w:rPr>
                <w:rFonts w:ascii="Cambria" w:eastAsia="Times New Roman" w:hAnsi="Cambria" w:cs="Times New Roman"/>
                <w:b/>
                <w:bCs/>
                <w:sz w:val="20"/>
                <w:szCs w:val="20"/>
                <w:lang w:val="en-GB" w:eastAsia="en-US"/>
              </w:rPr>
              <w:lastRenderedPageBreak/>
              <w:t>construction activity acc. to IFRIC12</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Pr>
                <w:rFonts w:ascii="Cambria" w:eastAsia="Times New Roman" w:hAnsi="Cambria" w:cs="Arial"/>
                <w:sz w:val="20"/>
                <w:szCs w:val="20"/>
              </w:rPr>
              <w:lastRenderedPageBreak/>
              <w:t>4</w:t>
            </w:r>
            <w:r w:rsidRPr="00C33102">
              <w:rPr>
                <w:rFonts w:ascii="Cambria" w:eastAsia="Times New Roman" w:hAnsi="Cambria" w:cs="Arial"/>
                <w:sz w:val="20"/>
                <w:szCs w:val="20"/>
              </w:rPr>
              <w:t>%</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w:t>
            </w:r>
            <w:r>
              <w:rPr>
                <w:rFonts w:ascii="Cambria" w:eastAsia="Times New Roman" w:hAnsi="Cambria" w:cs="Arial"/>
                <w:sz w:val="20"/>
                <w:szCs w:val="20"/>
              </w:rPr>
              <w:t>5</w:t>
            </w:r>
            <w:r w:rsidRPr="00C33102">
              <w:rPr>
                <w:rFonts w:ascii="Cambria" w:eastAsia="Times New Roman" w:hAnsi="Cambria" w:cs="Arial"/>
                <w:sz w:val="20"/>
                <w:szCs w:val="20"/>
              </w:rPr>
              <w:t>%</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0569C9" w:rsidRPr="00C33102" w:rsidRDefault="000569C9" w:rsidP="00A64BC6">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-1</w:t>
            </w:r>
            <w:r>
              <w:rPr>
                <w:rFonts w:ascii="Cambria" w:eastAsia="Times New Roman" w:hAnsi="Cambria" w:cs="Arial"/>
                <w:sz w:val="20"/>
                <w:szCs w:val="20"/>
              </w:rPr>
              <w:t>5</w:t>
            </w:r>
            <w:r w:rsidRPr="00C33102">
              <w:rPr>
                <w:rFonts w:ascii="Cambria" w:eastAsia="Times New Roman" w:hAnsi="Cambria" w:cs="Arial"/>
                <w:sz w:val="20"/>
                <w:szCs w:val="20"/>
              </w:rPr>
              <w:t>%</w:t>
            </w:r>
          </w:p>
        </w:tc>
      </w:tr>
      <w:tr w:rsidR="00E040D5" w:rsidRPr="0037604E" w:rsidTr="000569C9">
        <w:trPr>
          <w:trHeight w:val="346"/>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tcPr>
          <w:p w:rsidR="00E040D5" w:rsidRPr="0037604E" w:rsidRDefault="00E040D5"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Financial revenue</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-25%</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12%</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56%</w:t>
            </w:r>
          </w:p>
        </w:tc>
      </w:tr>
      <w:tr w:rsidR="00E040D5" w:rsidRPr="0037604E" w:rsidTr="000569C9">
        <w:trPr>
          <w:trHeight w:val="368"/>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tcPr>
          <w:p w:rsidR="00E040D5" w:rsidRPr="0037604E" w:rsidRDefault="00E040D5"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Financial cost</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-57%</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154%</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25%</w:t>
            </w:r>
          </w:p>
        </w:tc>
      </w:tr>
      <w:tr w:rsidR="00E040D5" w:rsidRPr="0037604E" w:rsidTr="000569C9">
        <w:trPr>
          <w:trHeight w:val="127"/>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hideMark/>
          </w:tcPr>
          <w:p w:rsidR="00E040D5" w:rsidRPr="0037604E" w:rsidRDefault="00E040D5"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GROSS RESULT</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18%</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52%</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46%</w:t>
            </w:r>
          </w:p>
        </w:tc>
      </w:tr>
      <w:tr w:rsidR="00E040D5" w:rsidRPr="0037604E" w:rsidTr="000569C9">
        <w:trPr>
          <w:trHeight w:val="127"/>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hideMark/>
          </w:tcPr>
          <w:p w:rsidR="00E040D5" w:rsidRPr="0037604E" w:rsidRDefault="00E040D5"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Tax on profit</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1%</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66%</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53%</w:t>
            </w:r>
          </w:p>
        </w:tc>
      </w:tr>
      <w:tr w:rsidR="00E040D5" w:rsidRPr="0037604E" w:rsidTr="000569C9">
        <w:trPr>
          <w:trHeight w:val="127"/>
          <w:tblCellSpacing w:w="20" w:type="dxa"/>
          <w:jc w:val="center"/>
        </w:trPr>
        <w:tc>
          <w:tcPr>
            <w:tcW w:w="2723" w:type="dxa"/>
            <w:tcBorders>
              <w:top w:val="outset" w:sz="6" w:space="0" w:color="auto"/>
              <w:left w:val="outset" w:sz="6" w:space="0" w:color="auto"/>
              <w:bottom w:val="outset" w:sz="6" w:space="0" w:color="auto"/>
              <w:right w:val="outset" w:sz="6" w:space="0" w:color="auto"/>
            </w:tcBorders>
            <w:shd w:val="clear" w:color="auto" w:fill="D6E0F4"/>
            <w:noWrap/>
            <w:vAlign w:val="bottom"/>
            <w:hideMark/>
          </w:tcPr>
          <w:p w:rsidR="00E040D5" w:rsidRPr="0037604E" w:rsidRDefault="00E040D5" w:rsidP="0037604E">
            <w:pPr>
              <w:spacing w:after="0" w:line="240" w:lineRule="auto"/>
              <w:ind w:firstLine="0"/>
              <w:rPr>
                <w:rFonts w:ascii="Cambria" w:eastAsia="Times New Roman" w:hAnsi="Cambria" w:cs="Times New Roman"/>
                <w:b/>
                <w:bCs/>
                <w:sz w:val="20"/>
                <w:szCs w:val="20"/>
                <w:lang w:val="en-GB" w:eastAsia="en-US"/>
              </w:rPr>
            </w:pPr>
            <w:r w:rsidRPr="0037604E">
              <w:rPr>
                <w:rFonts w:ascii="Cambria" w:eastAsia="Times New Roman" w:hAnsi="Cambria" w:cs="Times New Roman"/>
                <w:b/>
                <w:bCs/>
                <w:sz w:val="20"/>
                <w:szCs w:val="20"/>
                <w:lang w:val="en-GB" w:eastAsia="en-US"/>
              </w:rPr>
              <w:t>NET PROFIT</w:t>
            </w:r>
          </w:p>
        </w:tc>
        <w:tc>
          <w:tcPr>
            <w:tcW w:w="182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22%</w:t>
            </w:r>
          </w:p>
        </w:tc>
        <w:tc>
          <w:tcPr>
            <w:tcW w:w="1859"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50%</w:t>
            </w:r>
          </w:p>
        </w:tc>
        <w:tc>
          <w:tcPr>
            <w:tcW w:w="2440" w:type="dxa"/>
            <w:tcBorders>
              <w:top w:val="outset" w:sz="6" w:space="0" w:color="auto"/>
              <w:left w:val="outset" w:sz="6" w:space="0" w:color="auto"/>
              <w:bottom w:val="outset" w:sz="6" w:space="0" w:color="auto"/>
              <w:right w:val="outset" w:sz="6" w:space="0" w:color="auto"/>
            </w:tcBorders>
            <w:shd w:val="clear" w:color="auto" w:fill="D6E0F4"/>
            <w:noWrap/>
            <w:vAlign w:val="center"/>
          </w:tcPr>
          <w:p w:rsidR="00E040D5" w:rsidRPr="00C33102" w:rsidRDefault="00E040D5" w:rsidP="001C15B8">
            <w:pPr>
              <w:spacing w:after="0" w:line="240" w:lineRule="auto"/>
              <w:ind w:firstLine="357"/>
              <w:jc w:val="right"/>
              <w:rPr>
                <w:rFonts w:ascii="Cambria" w:eastAsia="Times New Roman" w:hAnsi="Cambria" w:cs="Arial"/>
                <w:sz w:val="20"/>
                <w:szCs w:val="20"/>
              </w:rPr>
            </w:pPr>
            <w:r w:rsidRPr="00C33102">
              <w:rPr>
                <w:rFonts w:ascii="Cambria" w:eastAsia="Times New Roman" w:hAnsi="Cambria" w:cs="Arial"/>
                <w:sz w:val="20"/>
                <w:szCs w:val="20"/>
              </w:rPr>
              <w:t>44%</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                         </w:t>
      </w:r>
    </w:p>
    <w:p w:rsidR="0037604E" w:rsidRPr="0037604E" w:rsidRDefault="0037604E" w:rsidP="0037604E">
      <w:pPr>
        <w:spacing w:after="0" w:line="240" w:lineRule="auto"/>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Table 28– Achieved 2016 vs achieved level in 2015, REB 2015 and, Management Plan 2016 (%)</w:t>
      </w:r>
    </w:p>
    <w:p w:rsidR="0037604E" w:rsidRPr="0037604E" w:rsidRDefault="0037604E" w:rsidP="0037604E">
      <w:pPr>
        <w:spacing w:after="0" w:line="240" w:lineRule="auto"/>
        <w:jc w:val="center"/>
        <w:rPr>
          <w:rFonts w:ascii="Cambria" w:eastAsia="Times New Roman" w:hAnsi="Cambria" w:cs="Times New Roman"/>
          <w:b/>
          <w:i/>
          <w:sz w:val="16"/>
          <w:szCs w:val="16"/>
          <w:lang w:val="en-GB" w:eastAsia="ro-RO"/>
        </w:rPr>
      </w:pPr>
    </w:p>
    <w:p w:rsidR="0037604E" w:rsidRPr="0037604E" w:rsidRDefault="000569C9" w:rsidP="0037604E">
      <w:pPr>
        <w:spacing w:after="0" w:line="240" w:lineRule="auto"/>
        <w:jc w:val="center"/>
        <w:rPr>
          <w:rFonts w:ascii="Cambria" w:eastAsia="Times New Roman" w:hAnsi="Cambria" w:cs="Times New Roman"/>
          <w:b/>
          <w:i/>
          <w:sz w:val="16"/>
          <w:szCs w:val="16"/>
          <w:lang w:val="en-GB" w:eastAsia="ro-RO"/>
        </w:rPr>
      </w:pPr>
      <w:r w:rsidRPr="00715E6E">
        <w:rPr>
          <w:rFonts w:ascii="Cambria" w:eastAsia="Times New Roman" w:hAnsi="Cambria" w:cs="Times New Roman"/>
          <w:b/>
          <w:i/>
          <w:noProof/>
          <w:sz w:val="16"/>
          <w:szCs w:val="16"/>
          <w:lang w:val="ro-RO" w:eastAsia="ro-RO"/>
        </w:rPr>
        <w:drawing>
          <wp:inline distT="0" distB="0" distL="0" distR="0" wp14:anchorId="6482BE1D" wp14:editId="06C44E8F">
            <wp:extent cx="5732145" cy="2699385"/>
            <wp:effectExtent l="0" t="0" r="1905" b="571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7604E" w:rsidRPr="0037604E" w:rsidRDefault="0037604E" w:rsidP="0037604E">
      <w:pPr>
        <w:spacing w:after="0" w:line="240" w:lineRule="auto"/>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Chart 35– Achieved 2016 vs achieved level in 2015, REB 2016 and, Management Plan 2016 (%)</w:t>
      </w:r>
    </w:p>
    <w:p w:rsidR="0037604E" w:rsidRPr="0037604E" w:rsidRDefault="0037604E" w:rsidP="0037604E">
      <w:pPr>
        <w:spacing w:after="0" w:line="240" w:lineRule="auto"/>
        <w:ind w:firstLine="0"/>
        <w:rPr>
          <w:rFonts w:ascii="Cambria" w:hAnsi="Cambria"/>
          <w:b/>
          <w:i/>
          <w:sz w:val="16"/>
          <w:szCs w:val="16"/>
          <w:lang w:val="en-GB" w:eastAsia="ro-RO"/>
        </w:rPr>
      </w:pPr>
    </w:p>
    <w:p w:rsidR="0037604E" w:rsidRPr="0037604E" w:rsidRDefault="0037604E" w:rsidP="0037604E">
      <w:pPr>
        <w:shd w:val="clear" w:color="auto" w:fill="DBE5F1" w:themeFill="accent1" w:themeFillTint="33"/>
        <w:spacing w:after="0" w:line="240" w:lineRule="auto"/>
        <w:ind w:firstLine="0"/>
        <w:jc w:val="both"/>
        <w:outlineLvl w:val="2"/>
        <w:rPr>
          <w:rFonts w:ascii="Cambria" w:eastAsia="Times New Roman" w:hAnsi="Cambria" w:cstheme="majorBidi"/>
          <w:b/>
          <w:bCs/>
          <w:i/>
          <w:iCs/>
          <w:sz w:val="24"/>
          <w:szCs w:val="24"/>
          <w:lang w:val="en-GB" w:eastAsia="ro-RO"/>
        </w:rPr>
      </w:pPr>
      <w:bookmarkStart w:id="32" w:name="_Toc414263625"/>
      <w:bookmarkStart w:id="33" w:name="_Toc446310823"/>
      <w:r w:rsidRPr="0037604E">
        <w:rPr>
          <w:rFonts w:ascii="Cambria" w:eastAsia="Times New Roman" w:hAnsi="Cambria" w:cstheme="majorBidi"/>
          <w:b/>
          <w:bCs/>
          <w:i/>
          <w:iCs/>
          <w:sz w:val="24"/>
          <w:szCs w:val="24"/>
          <w:lang w:val="en-GB" w:eastAsia="ro-RO"/>
        </w:rPr>
        <w:t xml:space="preserve">3.1.6 </w:t>
      </w:r>
      <w:bookmarkEnd w:id="32"/>
      <w:r w:rsidRPr="0037604E">
        <w:rPr>
          <w:rFonts w:ascii="Cambria" w:eastAsia="Times New Roman" w:hAnsi="Cambria" w:cs="Cambria"/>
          <w:b/>
          <w:bCs/>
          <w:i/>
          <w:iCs/>
          <w:sz w:val="24"/>
          <w:szCs w:val="24"/>
          <w:lang w:val="en-GB"/>
        </w:rPr>
        <w:t>Evaluation of the research and design activity</w:t>
      </w:r>
      <w:bookmarkEnd w:id="33"/>
    </w:p>
    <w:p w:rsidR="0037604E" w:rsidRPr="0037604E" w:rsidRDefault="0037604E" w:rsidP="0037604E">
      <w:pPr>
        <w:spacing w:after="0" w:line="240" w:lineRule="auto"/>
        <w:ind w:firstLine="0"/>
        <w:jc w:val="both"/>
        <w:rPr>
          <w:rFonts w:asciiTheme="majorHAnsi" w:hAnsiTheme="majorHAnsi"/>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The activity of the research and design division was carried out in 2016 on two directions: design and scientific research</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contextualSpacing/>
        <w:jc w:val="both"/>
        <w:rPr>
          <w:rFonts w:ascii="Cambria" w:eastAsia="Times New Roman" w:hAnsi="Cambria" w:cs="Times New Roman"/>
          <w:b/>
          <w:bCs/>
          <w:sz w:val="24"/>
          <w:szCs w:val="24"/>
          <w:u w:val="single"/>
          <w:lang w:val="en-GB" w:eastAsia="ro-RO"/>
        </w:rPr>
      </w:pPr>
    </w:p>
    <w:p w:rsidR="0037604E" w:rsidRPr="0037604E" w:rsidRDefault="0037604E" w:rsidP="00FA6EB9">
      <w:pPr>
        <w:numPr>
          <w:ilvl w:val="0"/>
          <w:numId w:val="26"/>
        </w:numPr>
        <w:spacing w:after="0" w:line="240" w:lineRule="auto"/>
        <w:contextualSpacing/>
        <w:jc w:val="both"/>
        <w:rPr>
          <w:rFonts w:ascii="Cambria" w:eastAsia="Times New Roman" w:hAnsi="Cambria" w:cs="Times New Roman"/>
          <w:b/>
          <w:bCs/>
          <w:sz w:val="24"/>
          <w:szCs w:val="24"/>
          <w:u w:val="single"/>
          <w:lang w:val="en-GB" w:eastAsia="ro-RO"/>
        </w:rPr>
      </w:pPr>
      <w:r w:rsidRPr="0037604E">
        <w:rPr>
          <w:rFonts w:ascii="Cambria" w:eastAsia="Times New Roman" w:hAnsi="Cambria" w:cs="Cambria"/>
          <w:b/>
          <w:bCs/>
          <w:iCs/>
          <w:sz w:val="24"/>
          <w:szCs w:val="24"/>
          <w:u w:val="single"/>
          <w:lang w:val="en-GB"/>
        </w:rPr>
        <w:t>The design activity</w:t>
      </w:r>
    </w:p>
    <w:p w:rsidR="0037604E" w:rsidRPr="0037604E" w:rsidRDefault="0037604E" w:rsidP="0037604E">
      <w:pPr>
        <w:spacing w:after="0" w:line="240" w:lineRule="auto"/>
        <w:jc w:val="both"/>
        <w:rPr>
          <w:rFonts w:ascii="Cambria" w:eastAsia="Times New Roman" w:hAnsi="Cambria" w:cs="Times New Roman"/>
          <w:b/>
          <w:bCs/>
          <w:sz w:val="24"/>
          <w:szCs w:val="24"/>
          <w:u w:val="single"/>
          <w:lang w:val="en-GB" w:eastAsia="ro-RO"/>
        </w:rPr>
      </w:pPr>
      <w:r w:rsidRPr="0037604E">
        <w:rPr>
          <w:rFonts w:ascii="Cambria" w:eastAsia="Times New Roman" w:hAnsi="Cambria" w:cs="Times New Roman"/>
          <w:b/>
          <w:bCs/>
          <w:sz w:val="24"/>
          <w:szCs w:val="24"/>
          <w:u w:val="single"/>
          <w:lang w:val="en-GB" w:eastAsia="ro-RO"/>
        </w:rPr>
        <w:t xml:space="preserve">Preparation of design works within the Design and Research Department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bookmarkStart w:id="34" w:name="_Toc414263629"/>
      <w:r w:rsidRPr="0037604E">
        <w:rPr>
          <w:rFonts w:ascii="Cambria" w:eastAsia="Times New Roman" w:hAnsi="Cambria" w:cs="Times New Roman"/>
          <w:sz w:val="24"/>
          <w:szCs w:val="24"/>
          <w:lang w:val="en-GB" w:eastAsia="ro-RO"/>
        </w:rPr>
        <w:t xml:space="preserve">In 2016, 179 design works were performed within the division, out of which: 53 works approved within the TEC Transgaz, </w:t>
      </w:r>
      <w:r w:rsidRPr="0037604E">
        <w:rPr>
          <w:rFonts w:ascii="Cambria" w:eastAsia="Times New Roman" w:hAnsi="Cambria" w:cs="Cambria"/>
          <w:bCs/>
          <w:sz w:val="24"/>
          <w:szCs w:val="24"/>
          <w:lang w:val="en-GB"/>
        </w:rPr>
        <w:t>with a total value of the investment amounting</w:t>
      </w:r>
      <w:r w:rsidR="00950EC1">
        <w:rPr>
          <w:rFonts w:ascii="Cambria" w:eastAsia="Times New Roman" w:hAnsi="Cambria" w:cs="Cambria"/>
          <w:bCs/>
          <w:sz w:val="24"/>
          <w:szCs w:val="24"/>
          <w:lang w:val="en-GB"/>
        </w:rPr>
        <w:t xml:space="preserve"> to RON</w:t>
      </w:r>
      <w:r w:rsidRPr="0037604E">
        <w:rPr>
          <w:rFonts w:ascii="Cambria" w:eastAsia="Times New Roman" w:hAnsi="Cambria" w:cs="Times New Roman"/>
          <w:b/>
          <w:sz w:val="24"/>
          <w:szCs w:val="24"/>
          <w:lang w:val="en-GB" w:eastAsia="ro-RO"/>
        </w:rPr>
        <w:t xml:space="preserve"> </w:t>
      </w:r>
      <w:r w:rsidRPr="0037604E">
        <w:rPr>
          <w:rFonts w:asciiTheme="majorHAnsi" w:hAnsiTheme="majorHAnsi"/>
          <w:sz w:val="24"/>
          <w:lang w:val="ro-RO"/>
        </w:rPr>
        <w:t>2.</w:t>
      </w:r>
      <w:r w:rsidRPr="0037604E">
        <w:rPr>
          <w:rFonts w:asciiTheme="majorHAnsi" w:eastAsia="Times New Roman" w:hAnsiTheme="majorHAnsi" w:cs="Times New Roman"/>
          <w:sz w:val="24"/>
          <w:szCs w:val="24"/>
          <w:lang w:val="ro-RO" w:eastAsia="ro-RO"/>
        </w:rPr>
        <w:t>248.999.086</w:t>
      </w:r>
      <w:r w:rsidRPr="0037604E">
        <w:rPr>
          <w:rFonts w:ascii="Cambria" w:eastAsia="Times New Roman" w:hAnsi="Cambria" w:cs="Times New Roman"/>
          <w:b/>
          <w:sz w:val="24"/>
          <w:szCs w:val="24"/>
          <w:lang w:val="en-GB" w:eastAsia="ro-RO"/>
        </w:rPr>
        <w:t xml:space="preserve">, </w:t>
      </w:r>
      <w:r w:rsidRPr="0037604E">
        <w:rPr>
          <w:rFonts w:ascii="Cambria" w:eastAsia="Times New Roman" w:hAnsi="Cambria" w:cs="Times New Roman"/>
          <w:sz w:val="24"/>
          <w:szCs w:val="24"/>
          <w:lang w:val="en-GB" w:eastAsia="ro-RO"/>
        </w:rPr>
        <w:t xml:space="preserve">as follows: </w:t>
      </w:r>
    </w:p>
    <w:p w:rsidR="0037604E" w:rsidRPr="0037604E" w:rsidRDefault="0037604E" w:rsidP="00FA6EB9">
      <w:pPr>
        <w:numPr>
          <w:ilvl w:val="0"/>
          <w:numId w:val="9"/>
        </w:numPr>
        <w:tabs>
          <w:tab w:val="left" w:pos="1418"/>
        </w:tabs>
        <w:spacing w:after="0" w:line="240" w:lineRule="auto"/>
        <w:ind w:left="993" w:firstLine="273"/>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9 pre-feasibility studies, feasibility studies,  </w:t>
      </w:r>
      <w:r w:rsidRPr="0037604E">
        <w:rPr>
          <w:rFonts w:ascii="Cambria" w:eastAsia="Times New Roman" w:hAnsi="Cambria" w:cs="Cambria"/>
          <w:sz w:val="24"/>
          <w:szCs w:val="24"/>
          <w:lang w:val="en-GB"/>
        </w:rPr>
        <w:t>solution studies</w:t>
      </w:r>
      <w:r w:rsidRPr="0037604E">
        <w:rPr>
          <w:rFonts w:ascii="Cambria" w:eastAsia="Times New Roman" w:hAnsi="Cambria" w:cs="Times New Roman"/>
          <w:sz w:val="24"/>
          <w:szCs w:val="24"/>
          <w:lang w:val="en-GB" w:eastAsia="ro-RO"/>
        </w:rPr>
        <w:t xml:space="preserve"> with a value of RON </w:t>
      </w:r>
      <w:r w:rsidRPr="0037604E">
        <w:rPr>
          <w:rFonts w:asciiTheme="majorHAnsi" w:hAnsiTheme="majorHAnsi"/>
          <w:sz w:val="24"/>
          <w:lang w:val="ro-RO"/>
        </w:rPr>
        <w:t>2.</w:t>
      </w:r>
      <w:r w:rsidRPr="0037604E">
        <w:rPr>
          <w:rFonts w:asciiTheme="majorHAnsi" w:eastAsia="Times New Roman" w:hAnsiTheme="majorHAnsi" w:cs="Times New Roman"/>
          <w:sz w:val="24"/>
          <w:szCs w:val="24"/>
          <w:lang w:val="ro-RO" w:eastAsia="ro-RO"/>
        </w:rPr>
        <w:t>201.526.336</w:t>
      </w:r>
      <w:r w:rsidRPr="0037604E">
        <w:rPr>
          <w:rFonts w:ascii="Cambria" w:eastAsia="Times New Roman" w:hAnsi="Cambria" w:cs="Times New Roman"/>
          <w:sz w:val="24"/>
          <w:szCs w:val="24"/>
          <w:lang w:val="en-GB" w:eastAsia="ro-RO"/>
        </w:rPr>
        <w:t>;</w:t>
      </w:r>
    </w:p>
    <w:p w:rsidR="0037604E" w:rsidRPr="0037604E" w:rsidRDefault="0037604E" w:rsidP="00FA6EB9">
      <w:pPr>
        <w:numPr>
          <w:ilvl w:val="0"/>
          <w:numId w:val="9"/>
        </w:numPr>
        <w:tabs>
          <w:tab w:val="left" w:pos="1418"/>
        </w:tabs>
        <w:spacing w:after="0" w:line="240" w:lineRule="auto"/>
        <w:ind w:left="993" w:firstLine="273"/>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29 </w:t>
      </w:r>
      <w:r w:rsidRPr="0037604E">
        <w:rPr>
          <w:rFonts w:ascii="Cambria" w:eastAsia="Times New Roman" w:hAnsi="Cambria" w:cs="Cambria"/>
          <w:sz w:val="24"/>
          <w:szCs w:val="24"/>
          <w:lang w:val="en-GB"/>
        </w:rPr>
        <w:t>investment works</w:t>
      </w:r>
      <w:r w:rsidRPr="0037604E">
        <w:rPr>
          <w:rFonts w:ascii="Cambria" w:eastAsia="Times New Roman" w:hAnsi="Cambria" w:cs="Times New Roman"/>
          <w:sz w:val="24"/>
          <w:szCs w:val="24"/>
          <w:lang w:val="en-GB" w:eastAsia="ro-RO"/>
        </w:rPr>
        <w:t xml:space="preserve"> with a value of RON </w:t>
      </w:r>
      <w:r w:rsidRPr="0037604E">
        <w:rPr>
          <w:rFonts w:asciiTheme="majorHAnsi" w:eastAsia="Times New Roman" w:hAnsiTheme="majorHAnsi" w:cs="Times New Roman"/>
          <w:sz w:val="24"/>
          <w:szCs w:val="24"/>
          <w:lang w:val="ro-RO" w:eastAsia="ro-RO"/>
        </w:rPr>
        <w:t>26.380.300</w:t>
      </w:r>
      <w:r w:rsidRPr="0037604E">
        <w:rPr>
          <w:rFonts w:ascii="Cambria" w:eastAsia="Times New Roman" w:hAnsi="Cambria" w:cs="Times New Roman"/>
          <w:sz w:val="24"/>
          <w:szCs w:val="24"/>
          <w:lang w:val="en-GB" w:eastAsia="ro-RO"/>
        </w:rPr>
        <w:t xml:space="preserve">; </w:t>
      </w:r>
    </w:p>
    <w:p w:rsidR="0037604E" w:rsidRPr="0037604E" w:rsidRDefault="0037604E" w:rsidP="00FA6EB9">
      <w:pPr>
        <w:numPr>
          <w:ilvl w:val="0"/>
          <w:numId w:val="9"/>
        </w:numPr>
        <w:tabs>
          <w:tab w:val="left" w:pos="1418"/>
        </w:tabs>
        <w:spacing w:after="0" w:line="240" w:lineRule="auto"/>
        <w:ind w:left="993" w:firstLine="273"/>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6 </w:t>
      </w:r>
      <w:r w:rsidRPr="0037604E">
        <w:rPr>
          <w:rFonts w:ascii="Cambria" w:eastAsia="Times New Roman" w:hAnsi="Cambria" w:cs="Cambria"/>
          <w:sz w:val="24"/>
          <w:szCs w:val="24"/>
          <w:lang w:val="en-GB"/>
        </w:rPr>
        <w:t>maintenance works</w:t>
      </w:r>
      <w:r w:rsidRPr="0037604E">
        <w:rPr>
          <w:rFonts w:ascii="Cambria" w:eastAsia="Times New Roman" w:hAnsi="Cambria" w:cs="Times New Roman"/>
          <w:sz w:val="24"/>
          <w:szCs w:val="24"/>
          <w:lang w:val="en-GB" w:eastAsia="ro-RO"/>
        </w:rPr>
        <w:t xml:space="preserve"> with a value of  RON </w:t>
      </w:r>
      <w:r w:rsidRPr="0037604E">
        <w:rPr>
          <w:rFonts w:asciiTheme="majorHAnsi" w:eastAsia="Times New Roman" w:hAnsiTheme="majorHAnsi" w:cs="Times New Roman"/>
          <w:sz w:val="24"/>
          <w:szCs w:val="24"/>
          <w:lang w:val="ro-RO" w:eastAsia="ro-RO"/>
        </w:rPr>
        <w:t>11.736.919</w:t>
      </w:r>
      <w:r w:rsidRPr="0037604E">
        <w:rPr>
          <w:rFonts w:asciiTheme="majorHAnsi" w:hAnsiTheme="majorHAnsi"/>
          <w:sz w:val="24"/>
          <w:lang w:val="ro-RO"/>
        </w:rPr>
        <w:t xml:space="preserve"> </w:t>
      </w:r>
      <w:r w:rsidRPr="0037604E">
        <w:rPr>
          <w:rFonts w:ascii="Cambria" w:eastAsia="Times New Roman" w:hAnsi="Cambria" w:cs="Times New Roman"/>
          <w:sz w:val="24"/>
          <w:szCs w:val="24"/>
          <w:lang w:val="en-GB" w:eastAsia="ro-RO"/>
        </w:rPr>
        <w:t>;</w:t>
      </w:r>
    </w:p>
    <w:p w:rsidR="0037604E" w:rsidRPr="0037604E" w:rsidRDefault="0037604E" w:rsidP="00FA6EB9">
      <w:pPr>
        <w:numPr>
          <w:ilvl w:val="0"/>
          <w:numId w:val="9"/>
        </w:numPr>
        <w:tabs>
          <w:tab w:val="left" w:pos="1418"/>
        </w:tabs>
        <w:spacing w:after="0" w:line="240" w:lineRule="auto"/>
        <w:ind w:left="993" w:firstLine="273"/>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9 </w:t>
      </w:r>
      <w:r w:rsidRPr="0037604E">
        <w:rPr>
          <w:rFonts w:ascii="Cambria" w:eastAsia="Times New Roman" w:hAnsi="Cambria" w:cs="Cambria"/>
          <w:sz w:val="24"/>
          <w:szCs w:val="24"/>
          <w:lang w:val="en-GB"/>
        </w:rPr>
        <w:t>works for access granting to the NTS</w:t>
      </w:r>
      <w:r w:rsidRPr="0037604E">
        <w:rPr>
          <w:rFonts w:ascii="Cambria" w:eastAsia="Times New Roman" w:hAnsi="Cambria" w:cs="Times New Roman"/>
          <w:sz w:val="24"/>
          <w:szCs w:val="24"/>
          <w:lang w:val="en-GB" w:eastAsia="ro-RO"/>
        </w:rPr>
        <w:t xml:space="preserve"> with a value of RON </w:t>
      </w:r>
      <w:r w:rsidRPr="0037604E">
        <w:rPr>
          <w:rFonts w:asciiTheme="majorHAnsi" w:eastAsia="Times New Roman" w:hAnsiTheme="majorHAnsi" w:cs="Times New Roman"/>
          <w:sz w:val="24"/>
          <w:szCs w:val="24"/>
          <w:lang w:val="ro-RO" w:eastAsia="ro-RO"/>
        </w:rPr>
        <w:t>9.355.531</w:t>
      </w:r>
      <w:r w:rsidRPr="0037604E">
        <w:rPr>
          <w:rFonts w:ascii="Cambria" w:eastAsia="Times New Roman" w:hAnsi="Cambria" w:cs="Times New Roman"/>
          <w:sz w:val="24"/>
          <w:szCs w:val="24"/>
          <w:lang w:val="en-GB" w:eastAsia="ro-RO"/>
        </w:rPr>
        <w:t>,</w:t>
      </w:r>
    </w:p>
    <w:p w:rsidR="0037604E" w:rsidRPr="0037604E" w:rsidRDefault="0037604E" w:rsidP="0037604E">
      <w:pPr>
        <w:tabs>
          <w:tab w:val="left" w:pos="720"/>
          <w:tab w:val="left" w:pos="900"/>
          <w:tab w:val="left" w:pos="1134"/>
          <w:tab w:val="left" w:pos="1418"/>
        </w:tabs>
        <w:spacing w:after="0" w:line="240" w:lineRule="auto"/>
        <w:ind w:firstLine="0"/>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eastAsia="ro-RO"/>
        </w:rPr>
        <w:t>and the remaining 126 works are in different preparation stages</w:t>
      </w:r>
      <w:r w:rsidRPr="0037604E">
        <w:rPr>
          <w:rFonts w:asciiTheme="majorHAnsi" w:eastAsia="Times New Roman" w:hAnsiTheme="majorHAnsi" w:cs="Times New Roman"/>
          <w:sz w:val="24"/>
          <w:szCs w:val="24"/>
          <w:lang w:val="ro-RO" w:eastAsia="ro-RO"/>
        </w:rPr>
        <w:t>.</w:t>
      </w:r>
    </w:p>
    <w:p w:rsidR="0037604E" w:rsidRPr="0037604E" w:rsidRDefault="0037604E" w:rsidP="0037604E">
      <w:pPr>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Cambria"/>
          <w:color w:val="000000"/>
          <w:sz w:val="24"/>
          <w:szCs w:val="24"/>
          <w:lang w:val="en-GB"/>
        </w:rPr>
      </w:pPr>
      <w:r w:rsidRPr="0037604E">
        <w:rPr>
          <w:rFonts w:ascii="Cambria" w:eastAsia="Times New Roman" w:hAnsi="Cambria" w:cs="Cambria"/>
          <w:color w:val="000000"/>
          <w:sz w:val="24"/>
          <w:szCs w:val="24"/>
          <w:lang w:val="en-GB"/>
        </w:rPr>
        <w:t>In 2016 the following were prepared and approved within the TEC Transgaz:</w:t>
      </w:r>
    </w:p>
    <w:p w:rsidR="0037604E" w:rsidRPr="0037604E" w:rsidRDefault="0037604E" w:rsidP="0037604E">
      <w:pPr>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FA6EB9">
      <w:pPr>
        <w:numPr>
          <w:ilvl w:val="0"/>
          <w:numId w:val="135"/>
        </w:numPr>
        <w:spacing w:after="0" w:line="240" w:lineRule="auto"/>
        <w:contextualSpacing/>
        <w:jc w:val="both"/>
        <w:rPr>
          <w:rFonts w:ascii="Cambria" w:eastAsia="Times New Roman" w:hAnsi="Cambria" w:cs="Cambria"/>
          <w:color w:val="000000"/>
          <w:sz w:val="24"/>
          <w:szCs w:val="24"/>
          <w:lang w:val="en-GB"/>
        </w:rPr>
      </w:pPr>
      <w:r w:rsidRPr="0037604E">
        <w:rPr>
          <w:rFonts w:ascii="Cambria" w:eastAsia="Times New Roman" w:hAnsi="Cambria" w:cs="Cambria"/>
          <w:color w:val="000000"/>
          <w:sz w:val="24"/>
          <w:szCs w:val="24"/>
          <w:lang w:val="en-GB"/>
        </w:rPr>
        <w:t>19 building site order for works in execution, generated from the necessity to change from objective reasons the designed solutions.</w:t>
      </w:r>
    </w:p>
    <w:p w:rsidR="0037604E" w:rsidRPr="0037604E" w:rsidRDefault="0037604E" w:rsidP="00FA6EB9">
      <w:pPr>
        <w:numPr>
          <w:ilvl w:val="0"/>
          <w:numId w:val="135"/>
        </w:numPr>
        <w:spacing w:after="0" w:line="240" w:lineRule="auto"/>
        <w:contextualSpacing/>
        <w:jc w:val="both"/>
        <w:rPr>
          <w:rFonts w:ascii="Cambria" w:eastAsia="Times New Roman" w:hAnsi="Cambria" w:cs="Cambria"/>
          <w:color w:val="000000"/>
          <w:sz w:val="24"/>
          <w:szCs w:val="24"/>
          <w:lang w:val="en-GB"/>
        </w:rPr>
      </w:pPr>
      <w:r w:rsidRPr="0037604E">
        <w:rPr>
          <w:rFonts w:asciiTheme="majorHAnsi" w:eastAsia="Times New Roman" w:hAnsiTheme="majorHAnsi" w:cs="Times New Roman"/>
          <w:sz w:val="24"/>
          <w:szCs w:val="24"/>
          <w:lang w:eastAsia="ro-RO"/>
        </w:rPr>
        <w:lastRenderedPageBreak/>
        <w:t>25 projects for locating odorization installations of a total of 128 projects for locating odorization installations in progress, within the division</w:t>
      </w:r>
    </w:p>
    <w:p w:rsidR="0037604E" w:rsidRPr="0037604E" w:rsidRDefault="0037604E" w:rsidP="0037604E">
      <w:pPr>
        <w:tabs>
          <w:tab w:val="left" w:pos="720"/>
          <w:tab w:val="left" w:pos="900"/>
          <w:tab w:val="left" w:pos="1134"/>
          <w:tab w:val="left" w:pos="1418"/>
        </w:tabs>
        <w:spacing w:after="0" w:line="240" w:lineRule="auto"/>
        <w:ind w:firstLine="0"/>
        <w:jc w:val="both"/>
        <w:rPr>
          <w:rFonts w:asciiTheme="majorHAnsi" w:eastAsia="Times New Roman" w:hAnsiTheme="majorHAnsi" w:cs="Times New Roman"/>
          <w:sz w:val="24"/>
          <w:szCs w:val="24"/>
          <w:lang w:eastAsia="ro-RO"/>
        </w:rPr>
      </w:pPr>
      <w:r w:rsidRPr="0037604E">
        <w:rPr>
          <w:rFonts w:asciiTheme="majorHAnsi" w:eastAsia="Times New Roman" w:hAnsiTheme="majorHAnsi" w:cs="Times New Roman"/>
          <w:sz w:val="24"/>
          <w:szCs w:val="24"/>
          <w:lang w:eastAsia="ro-RO"/>
        </w:rPr>
        <w:t>without investment value.</w:t>
      </w:r>
    </w:p>
    <w:p w:rsidR="0037604E" w:rsidRPr="0037604E" w:rsidRDefault="0037604E" w:rsidP="0037604E">
      <w:pPr>
        <w:spacing w:after="0" w:line="240" w:lineRule="auto"/>
        <w:ind w:left="817" w:firstLine="0"/>
        <w:contextualSpacing/>
        <w:jc w:val="both"/>
        <w:rPr>
          <w:rFonts w:ascii="Cambria" w:eastAsia="Times New Roman" w:hAnsi="Cambria" w:cs="Cambria"/>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color w:val="000000"/>
          <w:sz w:val="24"/>
          <w:szCs w:val="24"/>
          <w:lang w:val="en-GB"/>
        </w:rPr>
        <w:t>Important works undertaken in this period</w:t>
      </w:r>
      <w:r w:rsidRPr="0037604E">
        <w:rPr>
          <w:rFonts w:ascii="Cambria" w:eastAsia="Times New Roman" w:hAnsi="Cambria" w:cs="Times New Roman"/>
          <w:sz w:val="24"/>
          <w:szCs w:val="24"/>
          <w:lang w:val="en-GB" w:eastAsia="ro-RO"/>
        </w:rPr>
        <w:t xml:space="preserve">: </w:t>
      </w:r>
    </w:p>
    <w:p w:rsidR="0037604E" w:rsidRPr="0037604E" w:rsidRDefault="0037604E" w:rsidP="00FA6EB9">
      <w:pPr>
        <w:numPr>
          <w:ilvl w:val="0"/>
          <w:numId w:val="27"/>
        </w:numPr>
        <w:spacing w:after="0" w:line="240" w:lineRule="auto"/>
        <w:ind w:left="72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Pre-Feasibility study for:</w:t>
      </w:r>
      <w:r w:rsidRPr="0037604E">
        <w:rPr>
          <w:rFonts w:ascii="Cambria" w:eastAsia="Calibri" w:hAnsi="Cambria" w:cs="Times New Roman"/>
          <w:sz w:val="24"/>
          <w:szCs w:val="24"/>
          <w:lang w:eastAsia="en-US"/>
        </w:rPr>
        <w:t xml:space="preserve">  Compressor group at the </w:t>
      </w:r>
      <w:r w:rsidRPr="0037604E">
        <w:rPr>
          <w:rFonts w:asciiTheme="majorHAnsi" w:eastAsia="Calibri" w:hAnsiTheme="majorHAnsi" w:cs="Times New Roman"/>
          <w:sz w:val="24"/>
          <w:szCs w:val="24"/>
          <w:lang w:eastAsia="en-US"/>
        </w:rPr>
        <w:t>Podișor technological Node to ensure reverse flow through the Giurgiu – Ruse interconnector</w:t>
      </w:r>
      <w:r w:rsidRPr="0037604E">
        <w:rPr>
          <w:rFonts w:ascii="Cambria" w:eastAsia="Times New Roman" w:hAnsi="Cambria" w:cs="Times New Roman"/>
          <w:sz w:val="24"/>
          <w:szCs w:val="24"/>
          <w:lang w:val="en-GB" w:eastAsia="ro-RO"/>
        </w:rPr>
        <w:t xml:space="preserve">. </w:t>
      </w:r>
    </w:p>
    <w:p w:rsidR="0037604E" w:rsidRPr="0037604E" w:rsidRDefault="0037604E" w:rsidP="00FA6EB9">
      <w:pPr>
        <w:numPr>
          <w:ilvl w:val="0"/>
          <w:numId w:val="136"/>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Cambria" w:eastAsia="Times New Roman" w:hAnsi="Cambria" w:cs="Times New Roman"/>
          <w:sz w:val="24"/>
          <w:szCs w:val="24"/>
          <w:lang w:val="en-GB" w:eastAsia="ro-RO"/>
        </w:rPr>
        <w:t>Pre-Feasibility study regarding</w:t>
      </w:r>
      <w:r w:rsidRPr="0037604E">
        <w:rPr>
          <w:rFonts w:asciiTheme="majorHAnsi" w:eastAsia="Calibri" w:hAnsiTheme="majorHAnsi" w:cs="Times New Roman"/>
          <w:sz w:val="24"/>
          <w:szCs w:val="24"/>
          <w:lang w:eastAsia="en-US"/>
        </w:rPr>
        <w:t xml:space="preserve"> NTS- the transit system interconnection;</w:t>
      </w:r>
    </w:p>
    <w:p w:rsidR="0037604E" w:rsidRPr="0037604E" w:rsidRDefault="0037604E" w:rsidP="00FA6EB9">
      <w:pPr>
        <w:numPr>
          <w:ilvl w:val="0"/>
          <w:numId w:val="136"/>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Cambria" w:eastAsia="Times New Roman" w:hAnsi="Cambria" w:cs="Times New Roman"/>
          <w:sz w:val="24"/>
          <w:szCs w:val="24"/>
          <w:lang w:val="en-GB" w:eastAsia="ro-RO"/>
        </w:rPr>
        <w:t>Pre-Feasibility study regarding the replacement of the Transit II pipeline gas measuring systems/metering stations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36"/>
        </w:numPr>
        <w:tabs>
          <w:tab w:val="left" w:pos="1134"/>
          <w:tab w:val="left" w:pos="1418"/>
        </w:tabs>
        <w:spacing w:after="0" w:line="240" w:lineRule="auto"/>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Pre-Feasibility study regarding</w:t>
      </w:r>
      <w:r w:rsidRPr="0037604E">
        <w:rPr>
          <w:rFonts w:asciiTheme="majorHAnsi" w:eastAsia="Calibri" w:hAnsiTheme="majorHAnsi" w:cs="Times New Roman"/>
          <w:sz w:val="24"/>
          <w:szCs w:val="24"/>
          <w:lang w:eastAsia="en-US"/>
        </w:rPr>
        <w:t>: NTS extension by the building of a gas transmission pipeline in the Vadu – Transit 1 zone.</w:t>
      </w:r>
    </w:p>
    <w:p w:rsidR="0037604E" w:rsidRPr="0037604E" w:rsidRDefault="0037604E" w:rsidP="00FA6EB9">
      <w:pPr>
        <w:numPr>
          <w:ilvl w:val="0"/>
          <w:numId w:val="45"/>
        </w:numPr>
        <w:snapToGrid w:val="0"/>
        <w:spacing w:after="0" w:line="240" w:lineRule="auto"/>
        <w:jc w:val="both"/>
        <w:rPr>
          <w:rFonts w:ascii="Cambria" w:eastAsia="Calibri" w:hAnsi="Cambria" w:cs="Times New Roman"/>
          <w:sz w:val="24"/>
          <w:szCs w:val="24"/>
          <w:lang w:val="en-GB" w:eastAsia="en-US"/>
        </w:rPr>
      </w:pPr>
      <w:r w:rsidRPr="0037604E">
        <w:rPr>
          <w:rFonts w:ascii="Cambria" w:eastAsia="Times New Roman" w:hAnsi="Cambria" w:cs="Times New Roman"/>
          <w:sz w:val="24"/>
          <w:szCs w:val="24"/>
          <w:lang w:val="en-GB" w:eastAsia="ro-RO"/>
        </w:rPr>
        <w:t>Feasibility study</w:t>
      </w:r>
      <w:r w:rsidRPr="0037604E">
        <w:rPr>
          <w:rFonts w:ascii="Cambria" w:eastAsia="Calibri" w:hAnsi="Cambria" w:cs="Times New Roman"/>
          <w:sz w:val="24"/>
          <w:szCs w:val="24"/>
          <w:lang w:val="en-GB" w:eastAsia="en-US"/>
        </w:rPr>
        <w:t>: Black Sea shore – Podișor gas transmission pipeline;</w:t>
      </w:r>
    </w:p>
    <w:p w:rsidR="0037604E" w:rsidRPr="0037604E" w:rsidRDefault="0037604E" w:rsidP="00FA6EB9">
      <w:pPr>
        <w:numPr>
          <w:ilvl w:val="0"/>
          <w:numId w:val="45"/>
        </w:numPr>
        <w:snapToGrid w:val="0"/>
        <w:spacing w:after="0" w:line="240" w:lineRule="auto"/>
        <w:jc w:val="both"/>
        <w:rPr>
          <w:rFonts w:ascii="Cambria" w:eastAsia="Calibri" w:hAnsi="Cambria" w:cs="Times New Roman"/>
          <w:sz w:val="24"/>
          <w:szCs w:val="24"/>
          <w:lang w:val="en-GB" w:eastAsia="en-US"/>
        </w:rPr>
      </w:pPr>
      <w:r w:rsidRPr="0037604E">
        <w:rPr>
          <w:rFonts w:ascii="Cambria" w:eastAsia="Times New Roman" w:hAnsi="Cambria" w:cs="Times New Roman"/>
          <w:sz w:val="24"/>
          <w:szCs w:val="24"/>
          <w:lang w:val="en-GB" w:eastAsia="ro-RO"/>
        </w:rPr>
        <w:t>Feasibility study</w:t>
      </w:r>
      <w:r w:rsidRPr="0037604E">
        <w:rPr>
          <w:rFonts w:ascii="Cambria" w:eastAsia="Calibri" w:hAnsi="Cambria" w:cs="Times New Roman"/>
          <w:sz w:val="24"/>
          <w:szCs w:val="24"/>
          <w:lang w:val="en-GB" w:eastAsia="en-US"/>
        </w:rPr>
        <w:t>: Development of the NTS in the North East of Romania for increasing gas supply to the area and ensuring transmission capacity to Moldova;</w:t>
      </w:r>
    </w:p>
    <w:p w:rsidR="0037604E" w:rsidRPr="0037604E" w:rsidRDefault="0037604E" w:rsidP="00FA6EB9">
      <w:pPr>
        <w:numPr>
          <w:ilvl w:val="0"/>
          <w:numId w:val="45"/>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Cambria" w:eastAsia="Times New Roman" w:hAnsi="Cambria" w:cs="Times New Roman"/>
          <w:sz w:val="24"/>
          <w:szCs w:val="24"/>
          <w:lang w:val="en-GB" w:eastAsia="ro-RO"/>
        </w:rPr>
        <w:t>Feasibility study</w:t>
      </w:r>
      <w:r w:rsidRPr="0037604E">
        <w:rPr>
          <w:rFonts w:asciiTheme="majorHAnsi" w:eastAsia="Calibri" w:hAnsiTheme="majorHAnsi" w:cs="Times New Roman"/>
          <w:sz w:val="24"/>
          <w:szCs w:val="24"/>
          <w:lang w:eastAsia="en-US"/>
        </w:rPr>
        <w:t>: Modernization of MRG Cerghid, Cerghid locality, the town of Ungheni, Mureș county;</w:t>
      </w:r>
    </w:p>
    <w:p w:rsidR="0037604E" w:rsidRPr="0037604E" w:rsidRDefault="0037604E" w:rsidP="00FA6EB9">
      <w:pPr>
        <w:numPr>
          <w:ilvl w:val="0"/>
          <w:numId w:val="45"/>
        </w:numPr>
        <w:snapToGrid w:val="0"/>
        <w:spacing w:after="0" w:line="240" w:lineRule="auto"/>
        <w:jc w:val="both"/>
        <w:rPr>
          <w:rFonts w:ascii="Cambria" w:eastAsia="Calibri" w:hAnsi="Cambria" w:cs="Times New Roman"/>
          <w:sz w:val="24"/>
          <w:szCs w:val="24"/>
          <w:lang w:val="en-GB" w:eastAsia="en-US"/>
        </w:rPr>
      </w:pPr>
      <w:r w:rsidRPr="0037604E">
        <w:rPr>
          <w:rFonts w:ascii="Cambria" w:eastAsia="Times New Roman" w:hAnsi="Cambria" w:cs="Times New Roman"/>
          <w:sz w:val="24"/>
          <w:szCs w:val="24"/>
          <w:lang w:val="en-GB" w:eastAsia="ro-RO"/>
        </w:rPr>
        <w:t>Feasibility study:</w:t>
      </w:r>
      <w:r w:rsidRPr="0037604E">
        <w:rPr>
          <w:rFonts w:ascii="Cambria" w:eastAsia="Calibri" w:hAnsi="Cambria" w:cs="Times New Roman"/>
          <w:sz w:val="24"/>
          <w:szCs w:val="24"/>
          <w:lang w:val="en-GB" w:eastAsia="en-US"/>
        </w:rPr>
        <w:t xml:space="preserve"> of SNTGN Transgaz S.A. Mediaș cathodic protection system data acquisition and control system; </w:t>
      </w:r>
    </w:p>
    <w:p w:rsidR="0037604E" w:rsidRPr="0037604E" w:rsidRDefault="0037604E" w:rsidP="00FA6EB9">
      <w:pPr>
        <w:numPr>
          <w:ilvl w:val="0"/>
          <w:numId w:val="45"/>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Modernization of TN Drăgășani – Power supply of actuators, automation and surveillance of he facility;</w:t>
      </w:r>
    </w:p>
    <w:p w:rsidR="0037604E" w:rsidRPr="0037604E" w:rsidRDefault="0037604E" w:rsidP="00FA6EB9">
      <w:pPr>
        <w:numPr>
          <w:ilvl w:val="0"/>
          <w:numId w:val="45"/>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Mounting receivinf trap (temporarily) Dn 800 on the 32” </w:t>
      </w:r>
      <w:r w:rsidRPr="0037604E">
        <w:rPr>
          <w:rFonts w:asciiTheme="majorHAnsi" w:eastAsia="Calibri" w:hAnsiTheme="majorHAnsi" w:cs="Times New Roman"/>
          <w:sz w:val="24"/>
          <w:szCs w:val="24"/>
          <w:lang w:val="ro-RO" w:eastAsia="en-US"/>
        </w:rPr>
        <w:t>Batani – Onești pipeline in the Bogdănești – Oituz area</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45"/>
        </w:numPr>
        <w:tabs>
          <w:tab w:val="left" w:pos="1134"/>
          <w:tab w:val="left" w:pos="1418"/>
        </w:tabs>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Undercrossing of the Mureș river with the Fântânele – MRS Arad gas transmission pipeline, the Fântânele area;</w:t>
      </w:r>
    </w:p>
    <w:p w:rsidR="0037604E" w:rsidRPr="0037604E" w:rsidRDefault="0037604E" w:rsidP="00FA6EB9">
      <w:pPr>
        <w:numPr>
          <w:ilvl w:val="0"/>
          <w:numId w:val="136"/>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Cambria" w:eastAsia="Calibri" w:hAnsi="Cambria" w:cs="Times New Roman"/>
          <w:sz w:val="24"/>
          <w:szCs w:val="24"/>
          <w:lang w:val="en-GB" w:eastAsia="en-US"/>
        </w:rPr>
        <w:t xml:space="preserve">FEED: </w:t>
      </w:r>
      <w:r w:rsidRPr="0037604E">
        <w:rPr>
          <w:rFonts w:asciiTheme="majorHAnsi" w:eastAsia="Calibri" w:hAnsiTheme="majorHAnsi" w:cs="Times New Roman"/>
          <w:sz w:val="24"/>
          <w:szCs w:val="24"/>
          <w:lang w:eastAsia="en-US"/>
        </w:rPr>
        <w:t>the Ø 12" Negru Vodă - Techirghiol - Constanța (the Pecineaga – Techirghiol section) gas transmission pipeline;</w:t>
      </w:r>
    </w:p>
    <w:p w:rsidR="0037604E" w:rsidRPr="00950EC1" w:rsidRDefault="00BD6E82" w:rsidP="00950EC1">
      <w:pPr>
        <w:ind w:left="720" w:firstLine="0"/>
        <w:contextualSpacing/>
      </w:pPr>
      <w:hyperlink r:id="rId63" w:history="1"/>
    </w:p>
    <w:p w:rsidR="0037604E" w:rsidRPr="0037604E" w:rsidRDefault="0037604E" w:rsidP="0037604E">
      <w:pPr>
        <w:spacing w:after="0" w:line="240" w:lineRule="auto"/>
        <w:ind w:left="360" w:firstLine="0"/>
        <w:jc w:val="both"/>
        <w:rPr>
          <w:rFonts w:ascii="Cambria" w:eastAsia="Calibri" w:hAnsi="Cambria" w:cs="Times New Roman"/>
          <w:sz w:val="24"/>
          <w:szCs w:val="24"/>
          <w:lang w:val="en-GB" w:eastAsia="en-US"/>
        </w:rPr>
      </w:pPr>
      <w:r w:rsidRPr="0037604E">
        <w:rPr>
          <w:rFonts w:ascii="Cambria" w:hAnsi="Cambria"/>
          <w:sz w:val="24"/>
          <w:lang w:val="en-GB"/>
        </w:rPr>
        <w:t>Important works in preparation</w:t>
      </w:r>
      <w:r w:rsidRPr="0037604E">
        <w:rPr>
          <w:rFonts w:ascii="Cambria" w:eastAsia="Calibri" w:hAnsi="Cambria" w:cs="Times New Roman"/>
          <w:sz w:val="24"/>
          <w:szCs w:val="24"/>
          <w:lang w:val="en-GB" w:eastAsia="en-US"/>
        </w:rPr>
        <w:t xml:space="preserve">: </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The Development of the Romanian gas transmission System along the Bulgaria-Romania-Hungary-Austria Route;</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FEED for: </w:t>
      </w:r>
      <w:r w:rsidRPr="0037604E">
        <w:rPr>
          <w:rFonts w:ascii="Cambria" w:eastAsia="Calibri" w:hAnsi="Cambria" w:cs="Times New Roman"/>
          <w:sz w:val="24"/>
          <w:szCs w:val="24"/>
          <w:lang w:val="en-GB" w:eastAsia="en-US"/>
        </w:rPr>
        <w:t>Development of the NTS in the North East of Romania for increasing gas supply to the area and ensuring transmission capacity to Moldova</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FEED for: </w:t>
      </w:r>
      <w:r w:rsidRPr="0037604E">
        <w:rPr>
          <w:rFonts w:ascii="Cambria" w:eastAsia="Calibri" w:hAnsi="Cambria" w:cs="Times New Roman"/>
          <w:sz w:val="24"/>
          <w:szCs w:val="24"/>
          <w:lang w:val="en-GB" w:eastAsia="en-US"/>
        </w:rPr>
        <w:t>Black Sea shore – Podișor gas transmission pipeline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Reverse flow Ukraine – Changes necessary to be implemented at the GMS Isaccea II to deliver gas to Ukraine;</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NTS extension by building gas transmission pipeline from Black Sea taking over point (the Vadu area) to the Transit 1 pipeline (the Gradina zone);</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Interconnection between the national gas transmission system and the gas transit system;</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gas transmission pipeline to supply gas to the northern region of Prahoca county;</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repair of the Ø20" Albești-Urziceni pipeline following pig inspection;</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Modernization of MRS Cerghid , Mureș county;</w:t>
      </w:r>
    </w:p>
    <w:p w:rsidR="0037604E" w:rsidRPr="0037604E" w:rsidRDefault="0037604E" w:rsidP="00FA6EB9">
      <w:pPr>
        <w:numPr>
          <w:ilvl w:val="0"/>
          <w:numId w:val="45"/>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FEED for: Repair of Dn 1200 mm Isaccea - Negru Vodă pipeline, Transit 3, following pig inspection;</w:t>
      </w:r>
    </w:p>
    <w:p w:rsidR="0037604E" w:rsidRPr="0037604E" w:rsidRDefault="0037604E" w:rsidP="00FA6EB9">
      <w:pPr>
        <w:numPr>
          <w:ilvl w:val="0"/>
          <w:numId w:val="45"/>
        </w:numPr>
        <w:snapToGrid w:val="0"/>
        <w:spacing w:after="0" w:line="240" w:lineRule="auto"/>
        <w:contextualSpacing/>
        <w:jc w:val="both"/>
        <w:rPr>
          <w:rFonts w:asciiTheme="majorHAnsi" w:hAnsiTheme="majorHAnsi"/>
          <w:sz w:val="24"/>
        </w:rPr>
      </w:pPr>
      <w:r w:rsidRPr="0037604E">
        <w:rPr>
          <w:rFonts w:asciiTheme="majorHAnsi" w:eastAsia="Calibri" w:hAnsiTheme="majorHAnsi" w:cs="Times New Roman"/>
          <w:sz w:val="24"/>
          <w:szCs w:val="24"/>
          <w:lang w:eastAsia="en-US"/>
        </w:rPr>
        <w:t>FEED for: Mounting receiving trap and preparation of the Ø 20" Sărmășel Ceanu Mare Cluj I pipeline for pig inspection</w:t>
      </w:r>
      <w:r w:rsidRPr="0037604E">
        <w:rPr>
          <w:rFonts w:asciiTheme="majorHAnsi" w:hAnsiTheme="majorHAnsi"/>
          <w:sz w:val="24"/>
        </w:rPr>
        <w:t>.</w:t>
      </w:r>
    </w:p>
    <w:p w:rsidR="0037604E" w:rsidRPr="0037604E" w:rsidRDefault="0037604E" w:rsidP="0037604E">
      <w:pPr>
        <w:snapToGrid w:val="0"/>
        <w:spacing w:after="0" w:line="240" w:lineRule="auto"/>
        <w:ind w:left="360"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contextualSpacing/>
        <w:jc w:val="both"/>
        <w:rPr>
          <w:rFonts w:asciiTheme="majorHAnsi" w:eastAsia="Calibri" w:hAnsiTheme="majorHAnsi" w:cs="Times New Roman"/>
          <w:sz w:val="24"/>
          <w:szCs w:val="24"/>
          <w:lang w:eastAsia="en-US"/>
        </w:rPr>
      </w:pPr>
      <w:r w:rsidRPr="0037604E">
        <w:rPr>
          <w:rFonts w:ascii="Cambria" w:eastAsia="Calibri" w:hAnsi="Cambria" w:cs="Times New Roman"/>
          <w:sz w:val="24"/>
          <w:szCs w:val="24"/>
          <w:lang w:val="en-GB" w:eastAsia="en-US"/>
        </w:rPr>
        <w:lastRenderedPageBreak/>
        <w:t xml:space="preserve">Of the 8 design units, </w:t>
      </w:r>
      <w:r w:rsidRPr="0037604E">
        <w:rPr>
          <w:rFonts w:asciiTheme="majorHAnsi" w:eastAsia="Calibri" w:hAnsiTheme="majorHAnsi" w:cs="Times New Roman"/>
          <w:sz w:val="24"/>
          <w:szCs w:val="24"/>
          <w:lang w:eastAsia="en-US"/>
        </w:rPr>
        <w:t xml:space="preserve">3 </w:t>
      </w:r>
      <w:r w:rsidRPr="0037604E">
        <w:rPr>
          <w:rFonts w:ascii="Cambria" w:eastAsia="Calibri" w:hAnsi="Cambria" w:cs="Times New Roman"/>
          <w:sz w:val="24"/>
          <w:szCs w:val="24"/>
          <w:lang w:val="en-GB" w:eastAsia="en-US"/>
        </w:rPr>
        <w:t>design – research units</w:t>
      </w:r>
      <w:r w:rsidRPr="0037604E">
        <w:rPr>
          <w:rFonts w:asciiTheme="majorHAnsi" w:eastAsia="Calibri" w:hAnsiTheme="majorHAnsi" w:cs="Times New Roman"/>
          <w:sz w:val="24"/>
          <w:szCs w:val="24"/>
          <w:lang w:eastAsia="en-US"/>
        </w:rPr>
        <w:t xml:space="preserve"> (APC): APC1, APC3, APC4 in cooperation with the electric and construction design units prepares and are preparing the stages of the strategic projects: </w:t>
      </w:r>
    </w:p>
    <w:p w:rsidR="0037604E" w:rsidRPr="0037604E" w:rsidRDefault="0037604E" w:rsidP="0037604E">
      <w:pPr>
        <w:snapToGrid w:val="0"/>
        <w:spacing w:after="0" w:line="240" w:lineRule="auto"/>
        <w:ind w:left="360" w:firstLine="0"/>
        <w:jc w:val="both"/>
        <w:rPr>
          <w:rFonts w:ascii="Cambria" w:eastAsia="Calibri" w:hAnsi="Cambria" w:cs="Times New Roman"/>
          <w:sz w:val="24"/>
          <w:szCs w:val="24"/>
          <w:lang w:val="en-GB" w:eastAsia="en-US"/>
        </w:rPr>
      </w:pPr>
    </w:p>
    <w:p w:rsidR="0037604E" w:rsidRPr="0037604E" w:rsidRDefault="0037604E" w:rsidP="00FA6EB9">
      <w:pPr>
        <w:numPr>
          <w:ilvl w:val="0"/>
          <w:numId w:val="45"/>
        </w:numPr>
        <w:snapToGrid w:val="0"/>
        <w:spacing w:after="0" w:line="240" w:lineRule="auto"/>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Development on the territory of Romania of the National Gas Transmission System on the Bulgaria-Romania-Hungary-Austria corridor (BRUA); </w:t>
      </w:r>
    </w:p>
    <w:p w:rsidR="0037604E" w:rsidRPr="0037604E" w:rsidRDefault="0037604E" w:rsidP="00FA6EB9">
      <w:pPr>
        <w:numPr>
          <w:ilvl w:val="0"/>
          <w:numId w:val="46"/>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Black Sea shore – Podișor gas transmission pipeline;</w:t>
      </w:r>
    </w:p>
    <w:p w:rsidR="0037604E" w:rsidRPr="0037604E" w:rsidRDefault="0037604E" w:rsidP="00FA6EB9">
      <w:pPr>
        <w:numPr>
          <w:ilvl w:val="0"/>
          <w:numId w:val="46"/>
        </w:numPr>
        <w:spacing w:after="0" w:line="240" w:lineRule="auto"/>
        <w:contextualSpacing/>
        <w:jc w:val="both"/>
        <w:rPr>
          <w:rFonts w:ascii="Cambria" w:hAnsi="Cambria"/>
          <w:sz w:val="24"/>
          <w:lang w:val="en-GB"/>
        </w:rPr>
      </w:pPr>
      <w:r w:rsidRPr="0037604E">
        <w:rPr>
          <w:rFonts w:ascii="Cambria" w:eastAsia="Calibri" w:hAnsi="Cambria" w:cs="Times New Roman"/>
          <w:sz w:val="24"/>
          <w:szCs w:val="24"/>
          <w:lang w:val="en-GB" w:eastAsia="en-US"/>
        </w:rPr>
        <w:t xml:space="preserve">Development of the NTS in the North East of Romania for increasing gas supply to the area and ensuring transmission capacity to Moldova.  </w:t>
      </w:r>
    </w:p>
    <w:p w:rsidR="0037604E" w:rsidRPr="0037604E" w:rsidRDefault="0037604E" w:rsidP="00FA6EB9">
      <w:pPr>
        <w:numPr>
          <w:ilvl w:val="0"/>
          <w:numId w:val="46"/>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NTS extension by building gas transmission pipeline from Black Sea taking over point (the Vadu area) to the Transit 1 pipeline (the Gradina zone);</w:t>
      </w:r>
    </w:p>
    <w:p w:rsidR="0037604E" w:rsidRPr="0037604E" w:rsidRDefault="0037604E" w:rsidP="00FA6EB9">
      <w:pPr>
        <w:numPr>
          <w:ilvl w:val="0"/>
          <w:numId w:val="46"/>
        </w:numPr>
        <w:snapToGri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NTS interconnection with the gas transit system.</w:t>
      </w:r>
    </w:p>
    <w:p w:rsidR="0037604E" w:rsidRPr="0037604E" w:rsidRDefault="0037604E" w:rsidP="0037604E">
      <w:pPr>
        <w:spacing w:after="0" w:line="240" w:lineRule="auto"/>
        <w:ind w:firstLine="0"/>
        <w:contextualSpacing/>
        <w:jc w:val="both"/>
        <w:rPr>
          <w:rFonts w:ascii="Cambria" w:hAnsi="Cambria"/>
          <w:sz w:val="24"/>
          <w:lang w:val="en-GB"/>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37604E">
        <w:rPr>
          <w:rFonts w:ascii="Cambria" w:eastAsia="Times New Roman" w:hAnsi="Cambria" w:cs="Times New Roman"/>
          <w:b/>
          <w:i/>
          <w:sz w:val="24"/>
          <w:szCs w:val="24"/>
          <w:u w:val="single"/>
          <w:lang w:val="en-GB" w:eastAsia="ro-RO"/>
        </w:rPr>
        <w:t>Surveillance of the design works developed by third parties after the service contracts concluded</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rPr>
        <w:t xml:space="preserve">Out of 116 design works in progress in 2016, 24 design works were approved within the </w:t>
      </w:r>
      <w:r w:rsidR="00B206DA">
        <w:rPr>
          <w:rFonts w:ascii="Cambria" w:eastAsia="Times New Roman" w:hAnsi="Cambria" w:cs="Times New Roman"/>
          <w:sz w:val="24"/>
          <w:szCs w:val="24"/>
          <w:lang w:val="en-GB"/>
        </w:rPr>
        <w:t>TEC with an investment value of</w:t>
      </w:r>
      <w:r w:rsidRPr="0037604E">
        <w:rPr>
          <w:rFonts w:ascii="Cambria" w:eastAsia="Times New Roman" w:hAnsi="Cambria" w:cs="Times New Roman"/>
          <w:sz w:val="24"/>
          <w:szCs w:val="24"/>
          <w:lang w:val="en-GB"/>
        </w:rPr>
        <w:t xml:space="preserve"> </w:t>
      </w:r>
      <w:r w:rsidRPr="0037604E">
        <w:rPr>
          <w:rFonts w:ascii="Cambria" w:eastAsia="Times New Roman" w:hAnsi="Cambria" w:cs="Times New Roman"/>
          <w:sz w:val="24"/>
          <w:szCs w:val="24"/>
          <w:lang w:val="en-GB" w:eastAsia="ro-RO"/>
        </w:rPr>
        <w:t>RON</w:t>
      </w:r>
      <w:r w:rsidRPr="0037604E">
        <w:rPr>
          <w:rFonts w:asciiTheme="majorHAnsi" w:eastAsia="Times New Roman" w:hAnsiTheme="majorHAnsi" w:cs="Times New Roman"/>
          <w:sz w:val="24"/>
          <w:szCs w:val="24"/>
          <w:lang w:val="ro-RO" w:eastAsia="ro-RO"/>
        </w:rPr>
        <w:t xml:space="preserve"> 125.982.045 as follows</w:t>
      </w:r>
      <w:r w:rsidRPr="0037604E">
        <w:rPr>
          <w:rFonts w:ascii="Cambria" w:eastAsia="Times New Roman" w:hAnsi="Cambria" w:cs="Times New Roman"/>
          <w:sz w:val="24"/>
          <w:szCs w:val="24"/>
          <w:lang w:val="en-GB" w:eastAsia="ro-RO"/>
        </w:rPr>
        <w:t>:</w:t>
      </w:r>
    </w:p>
    <w:p w:rsidR="0037604E" w:rsidRPr="0037604E" w:rsidRDefault="0037604E" w:rsidP="00FA6EB9">
      <w:pPr>
        <w:numPr>
          <w:ilvl w:val="0"/>
          <w:numId w:val="38"/>
        </w:numPr>
        <w:tabs>
          <w:tab w:val="left" w:pos="1134"/>
        </w:tabs>
        <w:spacing w:after="0" w:line="240" w:lineRule="auto"/>
        <w:contextualSpacing/>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22 investment works amounting to RON </w:t>
      </w:r>
      <w:r w:rsidRPr="0037604E">
        <w:rPr>
          <w:rFonts w:asciiTheme="majorHAnsi" w:eastAsia="Times New Roman" w:hAnsiTheme="majorHAnsi" w:cs="Times New Roman"/>
          <w:sz w:val="24"/>
          <w:szCs w:val="24"/>
          <w:lang w:val="ro-RO" w:eastAsia="ro-RO"/>
        </w:rPr>
        <w:t>98.906.626</w:t>
      </w:r>
      <w:r w:rsidRPr="0037604E">
        <w:rPr>
          <w:rFonts w:ascii="Cambria" w:eastAsia="Times New Roman" w:hAnsi="Cambria" w:cs="Times New Roman"/>
          <w:sz w:val="24"/>
          <w:szCs w:val="24"/>
          <w:lang w:val="en-GB" w:eastAsia="ro-RO"/>
        </w:rPr>
        <w:t>;</w:t>
      </w:r>
    </w:p>
    <w:p w:rsidR="0037604E" w:rsidRPr="0037604E" w:rsidRDefault="0037604E" w:rsidP="00FA6EB9">
      <w:pPr>
        <w:numPr>
          <w:ilvl w:val="0"/>
          <w:numId w:val="38"/>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2 repair works amounting to  RON </w:t>
      </w:r>
      <w:r w:rsidRPr="0037604E">
        <w:rPr>
          <w:rFonts w:asciiTheme="majorHAnsi" w:eastAsia="Times New Roman" w:hAnsiTheme="majorHAnsi" w:cs="Times New Roman"/>
          <w:sz w:val="24"/>
          <w:szCs w:val="24"/>
          <w:lang w:val="ro-RO" w:eastAsia="ro-RO"/>
        </w:rPr>
        <w:t>27.075.419</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val="ro-RO" w:eastAsia="ro-RO"/>
        </w:rPr>
        <w:t xml:space="preserve">Due to changes of the intitial project in this period a design work prepared in 2015 was </w:t>
      </w:r>
      <w:r w:rsidRPr="0037604E">
        <w:rPr>
          <w:rFonts w:ascii="Cambria" w:eastAsia="Times New Roman" w:hAnsi="Cambria" w:cs="Times New Roman"/>
          <w:sz w:val="24"/>
          <w:szCs w:val="24"/>
          <w:lang w:val="en-GB"/>
        </w:rPr>
        <w:t>approved within the TEC</w:t>
      </w:r>
      <w:r w:rsidRPr="0037604E">
        <w:rPr>
          <w:rFonts w:asciiTheme="majorHAnsi" w:eastAsia="Times New Roman" w:hAnsiTheme="majorHAnsi" w:cs="Times New Roman"/>
          <w:sz w:val="24"/>
          <w:szCs w:val="24"/>
          <w:lang w:val="ro-RO"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r w:rsidRPr="0037604E">
        <w:rPr>
          <w:rFonts w:ascii="Cambria" w:eastAsia="Times New Roman" w:hAnsi="Cambria" w:cs="Times New Roman"/>
          <w:b/>
          <w:color w:val="000000"/>
          <w:sz w:val="24"/>
          <w:szCs w:val="24"/>
          <w:lang w:val="en-GB"/>
        </w:rPr>
        <w:t>In total</w:t>
      </w:r>
      <w:r w:rsidR="00B206DA">
        <w:rPr>
          <w:rFonts w:ascii="Cambria" w:eastAsia="Times New Roman" w:hAnsi="Cambria" w:cs="Times New Roman"/>
          <w:b/>
          <w:color w:val="000000"/>
          <w:sz w:val="24"/>
          <w:szCs w:val="24"/>
          <w:lang w:val="en-GB"/>
        </w:rPr>
        <w:t>,</w:t>
      </w:r>
      <w:r w:rsidRPr="0037604E">
        <w:rPr>
          <w:rFonts w:ascii="Cambria" w:eastAsia="Times New Roman" w:hAnsi="Cambria" w:cs="Times New Roman"/>
          <w:b/>
          <w:color w:val="000000"/>
          <w:sz w:val="24"/>
          <w:szCs w:val="24"/>
          <w:lang w:val="en-GB"/>
        </w:rPr>
        <w:t xml:space="preserve"> in 2016 </w:t>
      </w:r>
      <w:r w:rsidRPr="0037604E">
        <w:rPr>
          <w:rFonts w:asciiTheme="majorHAnsi" w:eastAsia="Times New Roman" w:hAnsiTheme="majorHAnsi" w:cs="Times New Roman"/>
          <w:sz w:val="24"/>
          <w:szCs w:val="24"/>
          <w:lang w:val="ro-RO"/>
        </w:rPr>
        <w:t>(without the projects for locating odorization</w:t>
      </w:r>
      <w:r w:rsidR="00B206DA">
        <w:rPr>
          <w:rFonts w:asciiTheme="majorHAnsi" w:eastAsia="Times New Roman" w:hAnsiTheme="majorHAnsi" w:cs="Times New Roman"/>
          <w:sz w:val="24"/>
          <w:szCs w:val="24"/>
          <w:lang w:val="ro-RO"/>
        </w:rPr>
        <w:t xml:space="preserve"> </w:t>
      </w:r>
      <w:r w:rsidRPr="0037604E">
        <w:rPr>
          <w:rFonts w:asciiTheme="majorHAnsi" w:eastAsia="Times New Roman" w:hAnsiTheme="majorHAnsi" w:cs="Times New Roman"/>
          <w:sz w:val="24"/>
          <w:szCs w:val="24"/>
          <w:lang w:val="ro-RO"/>
        </w:rPr>
        <w:t>installations)</w:t>
      </w:r>
      <w:r w:rsidRPr="0037604E">
        <w:rPr>
          <w:rFonts w:ascii="Cambria" w:eastAsia="Times New Roman" w:hAnsi="Cambria" w:cs="Times New Roman"/>
          <w:color w:val="000000"/>
          <w:sz w:val="24"/>
          <w:szCs w:val="24"/>
          <w:lang w:val="en-GB"/>
        </w:rPr>
        <w:t xml:space="preserve"> 295 design works (179</w:t>
      </w:r>
      <w:r w:rsidRPr="0037604E">
        <w:rPr>
          <w:rFonts w:asciiTheme="majorHAnsi" w:eastAsia="Times New Roman" w:hAnsiTheme="majorHAnsi" w:cs="Times New Roman"/>
          <w:sz w:val="24"/>
          <w:szCs w:val="24"/>
          <w:lang w:val="ro-RO"/>
        </w:rPr>
        <w:t xml:space="preserve"> within the division and 116 with third parties)</w:t>
      </w:r>
      <w:r w:rsidRPr="0037604E">
        <w:rPr>
          <w:rFonts w:ascii="Cambria" w:eastAsia="Times New Roman" w:hAnsi="Cambria" w:cs="Times New Roman"/>
          <w:color w:val="000000"/>
          <w:sz w:val="24"/>
          <w:szCs w:val="24"/>
          <w:lang w:val="en-GB"/>
        </w:rPr>
        <w:t xml:space="preserve">, 77 works approved within the TEC with a total investment value of RON </w:t>
      </w:r>
      <w:r w:rsidRPr="0037604E">
        <w:rPr>
          <w:rFonts w:asciiTheme="majorHAnsi" w:hAnsiTheme="majorHAnsi"/>
          <w:sz w:val="24"/>
          <w:lang w:val="ro-RO"/>
        </w:rPr>
        <w:t>2.</w:t>
      </w:r>
      <w:r w:rsidRPr="0037604E">
        <w:rPr>
          <w:rFonts w:asciiTheme="majorHAnsi" w:eastAsia="Times New Roman" w:hAnsiTheme="majorHAnsi" w:cs="Times New Roman"/>
          <w:sz w:val="24"/>
          <w:szCs w:val="24"/>
          <w:lang w:val="ro-RO"/>
        </w:rPr>
        <w:t>374.981.131</w:t>
      </w:r>
      <w:r w:rsidRPr="0037604E">
        <w:rPr>
          <w:rFonts w:ascii="Cambria" w:eastAsia="Times New Roman" w:hAnsi="Cambria" w:cs="Times New Roman"/>
          <w:color w:val="000000"/>
          <w:sz w:val="24"/>
          <w:szCs w:val="24"/>
          <w:lang w:val="en-GB"/>
        </w:rPr>
        <w:t>were developed.</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r w:rsidRPr="0037604E">
        <w:rPr>
          <w:rFonts w:asciiTheme="majorHAnsi" w:eastAsia="Calibri" w:hAnsiTheme="majorHAnsi" w:cs="DokChampa"/>
          <w:noProof/>
          <w:lang w:val="ro-RO" w:eastAsia="ro-RO"/>
        </w:rPr>
        <w:drawing>
          <wp:inline distT="0" distB="0" distL="0" distR="0" wp14:anchorId="34066644" wp14:editId="748E1FE2">
            <wp:extent cx="4572000" cy="1274324"/>
            <wp:effectExtent l="0" t="0" r="0" b="254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center"/>
        <w:rPr>
          <w:rFonts w:ascii="Cambria" w:eastAsia="Times New Roman" w:hAnsi="Cambria" w:cs="Times New Roman"/>
          <w:b/>
          <w:i/>
          <w:color w:val="000000"/>
          <w:sz w:val="16"/>
          <w:szCs w:val="16"/>
          <w:lang w:val="en-GB" w:eastAsia="ro-RO"/>
        </w:rPr>
      </w:pPr>
      <w:r w:rsidRPr="0037604E">
        <w:rPr>
          <w:rFonts w:ascii="Cambria" w:eastAsia="Times New Roman" w:hAnsi="Cambria" w:cs="Times New Roman"/>
          <w:b/>
          <w:i/>
          <w:color w:val="000000"/>
          <w:sz w:val="16"/>
          <w:szCs w:val="16"/>
          <w:lang w:val="en-GB" w:eastAsia="ro-RO"/>
        </w:rPr>
        <w:t>Chart 36– Number of design works approached and endorsed within the TEC in 2016</w:t>
      </w:r>
    </w:p>
    <w:p w:rsidR="0037604E" w:rsidRPr="0037604E" w:rsidRDefault="0037604E" w:rsidP="0037604E">
      <w:pPr>
        <w:spacing w:after="0" w:line="240" w:lineRule="auto"/>
        <w:ind w:firstLine="0"/>
        <w:jc w:val="center"/>
        <w:rPr>
          <w:rFonts w:ascii="Cambria" w:eastAsia="Times New Roman" w:hAnsi="Cambria" w:cs="Times New Roman"/>
          <w:b/>
          <w:i/>
          <w:color w:val="000000"/>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color w:val="000000"/>
          <w:sz w:val="16"/>
          <w:szCs w:val="16"/>
          <w:lang w:val="en-GB" w:eastAsia="ro-RO"/>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eastAsia="ro-RO"/>
        </w:rPr>
      </w:pPr>
      <w:r w:rsidRPr="0037604E">
        <w:rPr>
          <w:rFonts w:asciiTheme="majorHAnsi" w:eastAsia="Times New Roman" w:hAnsiTheme="majorHAnsi" w:cs="Times New Roman"/>
          <w:sz w:val="24"/>
          <w:szCs w:val="24"/>
          <w:lang w:eastAsia="ro-RO"/>
        </w:rPr>
        <w:t>Design works approached and approved within the TEC between 2013-2016:</w:t>
      </w:r>
    </w:p>
    <w:tbl>
      <w:tblPr>
        <w:tblStyle w:val="TableGrid10"/>
        <w:tblW w:w="0" w:type="auto"/>
        <w:jc w:val="center"/>
        <w:tblCellSpacing w:w="20" w:type="dxa"/>
        <w:tblBorders>
          <w:top w:val="outset" w:sz="6" w:space="0" w:color="D9D9D9"/>
          <w:left w:val="outset" w:sz="6" w:space="0" w:color="D9D9D9"/>
          <w:bottom w:val="outset" w:sz="6" w:space="0" w:color="D9D9D9"/>
          <w:right w:val="outset" w:sz="6" w:space="0" w:color="D9D9D9"/>
          <w:insideH w:val="outset" w:sz="6" w:space="0" w:color="D9D9D9"/>
          <w:insideV w:val="outset" w:sz="6" w:space="0" w:color="D9D9D9"/>
        </w:tblBorders>
        <w:tblLook w:val="04A0" w:firstRow="1" w:lastRow="0" w:firstColumn="1" w:lastColumn="0" w:noHBand="0" w:noVBand="1"/>
      </w:tblPr>
      <w:tblGrid>
        <w:gridCol w:w="3394"/>
        <w:gridCol w:w="1359"/>
        <w:gridCol w:w="1359"/>
        <w:gridCol w:w="1388"/>
        <w:gridCol w:w="1393"/>
      </w:tblGrid>
      <w:tr w:rsidR="0037604E" w:rsidRPr="0037604E" w:rsidTr="0037604E">
        <w:trPr>
          <w:tblCellSpacing w:w="20" w:type="dxa"/>
          <w:jc w:val="center"/>
        </w:trPr>
        <w:tc>
          <w:tcPr>
            <w:tcW w:w="3334" w:type="dxa"/>
            <w:shd w:val="clear" w:color="auto" w:fill="D6E0F4"/>
          </w:tcPr>
          <w:p w:rsidR="0037604E" w:rsidRPr="0037604E" w:rsidRDefault="0037604E" w:rsidP="0037604E">
            <w:pPr>
              <w:contextualSpacing/>
              <w:jc w:val="center"/>
              <w:rPr>
                <w:rFonts w:asciiTheme="majorHAnsi" w:hAnsiTheme="majorHAnsi"/>
                <w:sz w:val="24"/>
                <w:szCs w:val="24"/>
                <w:lang w:val="ro-RO"/>
              </w:rPr>
            </w:pPr>
          </w:p>
        </w:tc>
        <w:tc>
          <w:tcPr>
            <w:tcW w:w="1319" w:type="dxa"/>
            <w:shd w:val="clear" w:color="auto" w:fill="D6E0F4"/>
          </w:tcPr>
          <w:p w:rsidR="0037604E" w:rsidRPr="0037604E" w:rsidRDefault="0037604E" w:rsidP="0037604E">
            <w:pPr>
              <w:jc w:val="center"/>
              <w:rPr>
                <w:rFonts w:asciiTheme="majorHAnsi" w:hAnsiTheme="majorHAnsi"/>
                <w:b/>
                <w:sz w:val="24"/>
                <w:szCs w:val="24"/>
              </w:rPr>
            </w:pPr>
            <w:r w:rsidRPr="0037604E">
              <w:rPr>
                <w:rFonts w:asciiTheme="majorHAnsi" w:hAnsiTheme="majorHAnsi"/>
                <w:b/>
                <w:sz w:val="24"/>
                <w:szCs w:val="24"/>
              </w:rPr>
              <w:t>2016</w:t>
            </w:r>
          </w:p>
        </w:tc>
        <w:tc>
          <w:tcPr>
            <w:tcW w:w="1319" w:type="dxa"/>
            <w:shd w:val="clear" w:color="auto" w:fill="D6E0F4"/>
          </w:tcPr>
          <w:p w:rsidR="0037604E" w:rsidRPr="0037604E" w:rsidRDefault="0037604E" w:rsidP="0037604E">
            <w:pPr>
              <w:jc w:val="center"/>
              <w:rPr>
                <w:rFonts w:asciiTheme="majorHAnsi" w:hAnsiTheme="majorHAnsi"/>
                <w:b/>
                <w:sz w:val="24"/>
                <w:szCs w:val="24"/>
              </w:rPr>
            </w:pPr>
            <w:r w:rsidRPr="0037604E">
              <w:rPr>
                <w:rFonts w:asciiTheme="majorHAnsi" w:hAnsiTheme="majorHAnsi"/>
                <w:b/>
                <w:sz w:val="24"/>
                <w:szCs w:val="24"/>
              </w:rPr>
              <w:t>2015</w:t>
            </w:r>
          </w:p>
        </w:tc>
        <w:tc>
          <w:tcPr>
            <w:tcW w:w="1348" w:type="dxa"/>
            <w:shd w:val="clear" w:color="auto" w:fill="D6E0F4"/>
          </w:tcPr>
          <w:p w:rsidR="0037604E" w:rsidRPr="0037604E" w:rsidRDefault="0037604E" w:rsidP="0037604E">
            <w:pPr>
              <w:contextualSpacing/>
              <w:jc w:val="center"/>
              <w:rPr>
                <w:rFonts w:asciiTheme="majorHAnsi" w:hAnsiTheme="majorHAnsi"/>
                <w:b/>
                <w:sz w:val="24"/>
                <w:szCs w:val="24"/>
                <w:lang w:val="ro-RO"/>
              </w:rPr>
            </w:pPr>
            <w:r w:rsidRPr="0037604E">
              <w:rPr>
                <w:rFonts w:asciiTheme="majorHAnsi" w:hAnsiTheme="majorHAnsi"/>
                <w:b/>
                <w:sz w:val="24"/>
                <w:szCs w:val="24"/>
                <w:lang w:val="ro-RO"/>
              </w:rPr>
              <w:t>2014</w:t>
            </w:r>
          </w:p>
        </w:tc>
        <w:tc>
          <w:tcPr>
            <w:tcW w:w="1333" w:type="dxa"/>
            <w:shd w:val="clear" w:color="auto" w:fill="D6E0F4"/>
          </w:tcPr>
          <w:p w:rsidR="0037604E" w:rsidRPr="0037604E" w:rsidRDefault="0037604E" w:rsidP="0037604E">
            <w:pPr>
              <w:jc w:val="center"/>
              <w:rPr>
                <w:rFonts w:asciiTheme="majorHAnsi" w:hAnsiTheme="majorHAnsi"/>
                <w:b/>
                <w:sz w:val="24"/>
                <w:szCs w:val="24"/>
              </w:rPr>
            </w:pPr>
            <w:r w:rsidRPr="0037604E">
              <w:rPr>
                <w:rFonts w:asciiTheme="majorHAnsi" w:hAnsiTheme="majorHAnsi"/>
                <w:b/>
                <w:sz w:val="24"/>
                <w:szCs w:val="24"/>
              </w:rPr>
              <w:t>2013</w:t>
            </w:r>
          </w:p>
        </w:tc>
      </w:tr>
      <w:tr w:rsidR="0037604E" w:rsidRPr="0037604E" w:rsidTr="0037604E">
        <w:trPr>
          <w:tblCellSpacing w:w="20" w:type="dxa"/>
          <w:jc w:val="center"/>
        </w:trPr>
        <w:tc>
          <w:tcPr>
            <w:tcW w:w="3334" w:type="dxa"/>
          </w:tcPr>
          <w:p w:rsidR="0037604E" w:rsidRPr="0037604E" w:rsidRDefault="0037604E" w:rsidP="0037604E">
            <w:pPr>
              <w:contextualSpacing/>
              <w:jc w:val="both"/>
              <w:rPr>
                <w:rFonts w:asciiTheme="majorHAnsi" w:hAnsiTheme="majorHAnsi"/>
                <w:sz w:val="24"/>
                <w:szCs w:val="24"/>
                <w:lang w:val="ro-RO"/>
              </w:rPr>
            </w:pPr>
            <w:r w:rsidRPr="0037604E">
              <w:rPr>
                <w:rFonts w:asciiTheme="majorHAnsi" w:hAnsiTheme="majorHAnsi"/>
                <w:sz w:val="24"/>
                <w:szCs w:val="24"/>
                <w:lang w:val="ro-RO"/>
              </w:rPr>
              <w:t>No. of works approved within the TEC</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77</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161</w:t>
            </w:r>
          </w:p>
        </w:tc>
        <w:tc>
          <w:tcPr>
            <w:tcW w:w="1348" w:type="dxa"/>
          </w:tcPr>
          <w:p w:rsidR="0037604E" w:rsidRPr="0037604E" w:rsidRDefault="0037604E" w:rsidP="0037604E">
            <w:pPr>
              <w:contextualSpacing/>
              <w:jc w:val="center"/>
              <w:rPr>
                <w:rFonts w:asciiTheme="majorHAnsi" w:hAnsiTheme="majorHAnsi"/>
                <w:sz w:val="24"/>
                <w:szCs w:val="24"/>
                <w:lang w:val="ro-RO"/>
              </w:rPr>
            </w:pPr>
            <w:r w:rsidRPr="0037604E">
              <w:rPr>
                <w:rFonts w:asciiTheme="majorHAnsi" w:hAnsiTheme="majorHAnsi"/>
                <w:sz w:val="24"/>
                <w:szCs w:val="24"/>
                <w:lang w:val="ro-RO"/>
              </w:rPr>
              <w:t>165</w:t>
            </w:r>
          </w:p>
        </w:tc>
        <w:tc>
          <w:tcPr>
            <w:tcW w:w="1333"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80</w:t>
            </w:r>
          </w:p>
        </w:tc>
      </w:tr>
      <w:tr w:rsidR="0037604E" w:rsidRPr="0037604E" w:rsidTr="0037604E">
        <w:trPr>
          <w:tblCellSpacing w:w="20" w:type="dxa"/>
          <w:jc w:val="center"/>
        </w:trPr>
        <w:tc>
          <w:tcPr>
            <w:tcW w:w="3334" w:type="dxa"/>
          </w:tcPr>
          <w:p w:rsidR="0037604E" w:rsidRPr="0037604E" w:rsidRDefault="0037604E" w:rsidP="0037604E">
            <w:pPr>
              <w:contextualSpacing/>
              <w:jc w:val="both"/>
              <w:rPr>
                <w:rFonts w:asciiTheme="majorHAnsi" w:hAnsiTheme="majorHAnsi"/>
                <w:sz w:val="24"/>
                <w:szCs w:val="24"/>
                <w:lang w:val="ro-RO"/>
              </w:rPr>
            </w:pPr>
            <w:r w:rsidRPr="0037604E">
              <w:rPr>
                <w:rFonts w:asciiTheme="majorHAnsi" w:hAnsiTheme="majorHAnsi"/>
                <w:sz w:val="24"/>
                <w:szCs w:val="24"/>
                <w:lang w:val="ro-RO"/>
              </w:rPr>
              <w:t xml:space="preserve">No. of works in progress </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218</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218</w:t>
            </w:r>
          </w:p>
        </w:tc>
        <w:tc>
          <w:tcPr>
            <w:tcW w:w="1348" w:type="dxa"/>
          </w:tcPr>
          <w:p w:rsidR="0037604E" w:rsidRPr="0037604E" w:rsidRDefault="0037604E" w:rsidP="0037604E">
            <w:pPr>
              <w:contextualSpacing/>
              <w:jc w:val="center"/>
              <w:rPr>
                <w:rFonts w:asciiTheme="majorHAnsi" w:hAnsiTheme="majorHAnsi"/>
                <w:sz w:val="24"/>
                <w:szCs w:val="24"/>
                <w:lang w:val="ro-RO"/>
              </w:rPr>
            </w:pPr>
            <w:r w:rsidRPr="0037604E">
              <w:rPr>
                <w:rFonts w:asciiTheme="majorHAnsi" w:hAnsiTheme="majorHAnsi"/>
                <w:sz w:val="24"/>
                <w:szCs w:val="24"/>
                <w:lang w:val="ro-RO"/>
              </w:rPr>
              <w:t>132</w:t>
            </w:r>
          </w:p>
        </w:tc>
        <w:tc>
          <w:tcPr>
            <w:tcW w:w="1333"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113</w:t>
            </w:r>
          </w:p>
        </w:tc>
      </w:tr>
      <w:tr w:rsidR="0037604E" w:rsidRPr="0037604E" w:rsidTr="0037604E">
        <w:trPr>
          <w:tblCellSpacing w:w="20" w:type="dxa"/>
          <w:jc w:val="center"/>
        </w:trPr>
        <w:tc>
          <w:tcPr>
            <w:tcW w:w="3334" w:type="dxa"/>
          </w:tcPr>
          <w:p w:rsidR="0037604E" w:rsidRPr="0037604E" w:rsidRDefault="0037604E" w:rsidP="0037604E">
            <w:pPr>
              <w:contextualSpacing/>
              <w:jc w:val="both"/>
              <w:rPr>
                <w:rFonts w:asciiTheme="majorHAnsi" w:hAnsiTheme="majorHAnsi"/>
                <w:sz w:val="24"/>
                <w:szCs w:val="24"/>
                <w:lang w:val="ro-RO"/>
              </w:rPr>
            </w:pPr>
            <w:r w:rsidRPr="0037604E">
              <w:rPr>
                <w:rFonts w:asciiTheme="majorHAnsi" w:hAnsiTheme="majorHAnsi"/>
                <w:sz w:val="24"/>
                <w:szCs w:val="24"/>
                <w:lang w:val="ro-RO"/>
              </w:rPr>
              <w:t xml:space="preserve">Total no. of works </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295</w:t>
            </w:r>
          </w:p>
        </w:tc>
        <w:tc>
          <w:tcPr>
            <w:tcW w:w="1319"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379</w:t>
            </w:r>
          </w:p>
        </w:tc>
        <w:tc>
          <w:tcPr>
            <w:tcW w:w="1348" w:type="dxa"/>
          </w:tcPr>
          <w:p w:rsidR="0037604E" w:rsidRPr="0037604E" w:rsidRDefault="0037604E" w:rsidP="0037604E">
            <w:pPr>
              <w:contextualSpacing/>
              <w:jc w:val="center"/>
              <w:rPr>
                <w:rFonts w:asciiTheme="majorHAnsi" w:hAnsiTheme="majorHAnsi"/>
                <w:sz w:val="24"/>
                <w:szCs w:val="24"/>
                <w:lang w:val="ro-RO"/>
              </w:rPr>
            </w:pPr>
            <w:r w:rsidRPr="0037604E">
              <w:rPr>
                <w:rFonts w:asciiTheme="majorHAnsi" w:hAnsiTheme="majorHAnsi"/>
                <w:sz w:val="24"/>
                <w:szCs w:val="24"/>
                <w:lang w:val="ro-RO"/>
              </w:rPr>
              <w:t>297</w:t>
            </w:r>
          </w:p>
        </w:tc>
        <w:tc>
          <w:tcPr>
            <w:tcW w:w="1333" w:type="dxa"/>
          </w:tcPr>
          <w:p w:rsidR="0037604E" w:rsidRPr="0037604E" w:rsidRDefault="0037604E" w:rsidP="0037604E">
            <w:pPr>
              <w:jc w:val="center"/>
              <w:rPr>
                <w:rFonts w:asciiTheme="majorHAnsi" w:hAnsiTheme="majorHAnsi"/>
                <w:sz w:val="24"/>
                <w:szCs w:val="24"/>
              </w:rPr>
            </w:pPr>
            <w:r w:rsidRPr="0037604E">
              <w:rPr>
                <w:rFonts w:asciiTheme="majorHAnsi" w:hAnsiTheme="majorHAnsi"/>
                <w:sz w:val="24"/>
                <w:szCs w:val="24"/>
              </w:rPr>
              <w:t>193</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noProof/>
          <w:sz w:val="24"/>
          <w:szCs w:val="24"/>
          <w:lang w:val="ro-RO" w:eastAsia="ro-RO"/>
        </w:rPr>
        <w:lastRenderedPageBreak/>
        <mc:AlternateContent>
          <mc:Choice Requires="wps">
            <w:drawing>
              <wp:anchor distT="0" distB="0" distL="114300" distR="114300" simplePos="0" relativeHeight="251972608" behindDoc="0" locked="0" layoutInCell="1" allowOverlap="1" wp14:anchorId="0B6A117F" wp14:editId="7F2DFA4B">
                <wp:simplePos x="0" y="0"/>
                <wp:positionH relativeFrom="column">
                  <wp:posOffset>241825</wp:posOffset>
                </wp:positionH>
                <wp:positionV relativeFrom="paragraph">
                  <wp:posOffset>1021216</wp:posOffset>
                </wp:positionV>
                <wp:extent cx="5191676" cy="188658"/>
                <wp:effectExtent l="0" t="0" r="28575" b="20955"/>
                <wp:wrapNone/>
                <wp:docPr id="17" name="Text Box 17"/>
                <wp:cNvGraphicFramePr/>
                <a:graphic xmlns:a="http://schemas.openxmlformats.org/drawingml/2006/main">
                  <a:graphicData uri="http://schemas.microsoft.com/office/word/2010/wordprocessingShape">
                    <wps:wsp>
                      <wps:cNvSpPr txBox="1"/>
                      <wps:spPr>
                        <a:xfrm>
                          <a:off x="0" y="0"/>
                          <a:ext cx="5191676" cy="188658"/>
                        </a:xfrm>
                        <a:prstGeom prst="rect">
                          <a:avLst/>
                        </a:prstGeom>
                        <a:solidFill>
                          <a:sysClr val="window" lastClr="FFFFFF"/>
                        </a:solidFill>
                        <a:ln w="6350">
                          <a:solidFill>
                            <a:prstClr val="black"/>
                          </a:solidFill>
                        </a:ln>
                        <a:effectLst/>
                      </wps:spPr>
                      <wps:txbx>
                        <w:txbxContent>
                          <w:p w:rsidR="00CE3BCA" w:rsidRPr="00691562" w:rsidRDefault="00CE3BCA" w:rsidP="0037604E">
                            <w:pPr>
                              <w:ind w:firstLine="0"/>
                              <w:rPr>
                                <w:sz w:val="16"/>
                                <w:szCs w:val="16"/>
                                <w:lang w:val="en-GB"/>
                              </w:rPr>
                            </w:pPr>
                            <w:r>
                              <w:rPr>
                                <w:sz w:val="16"/>
                                <w:szCs w:val="16"/>
                                <w:lang w:val="en-GB"/>
                              </w:rPr>
                              <w:t xml:space="preserve">No. of works approved within the TEC                   No. of works in progress                                       Total no, of works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A117F" id="Text Box 17" o:spid="_x0000_s1042" type="#_x0000_t202" style="position:absolute;left:0;text-align:left;margin-left:19.05pt;margin-top:80.4pt;width:408.8pt;height:14.8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" fillcolor="window" strokeweight=".5pt">
                <v:textbox>
                  <w:txbxContent>
                    <w:p w:rsidR="00CE3BCA" w:rsidRPr="00691562" w:rsidRDefault="00CE3BCA" w:rsidP="0037604E">
                      <w:pPr>
                        <w:ind w:firstLine="0"/>
                        <w:rPr>
                          <w:sz w:val="16"/>
                          <w:szCs w:val="16"/>
                          <w:lang w:val="en-GB"/>
                        </w:rPr>
                      </w:pPr>
                      <w:r>
                        <w:rPr>
                          <w:sz w:val="16"/>
                          <w:szCs w:val="16"/>
                          <w:lang w:val="en-GB"/>
                        </w:rPr>
                        <w:t xml:space="preserve">No. of works approved within the TEC                   No. of works in progress                                       Total no, of works   </w:t>
                      </w:r>
                    </w:p>
                  </w:txbxContent>
                </v:textbox>
              </v:shape>
            </w:pict>
          </mc:Fallback>
        </mc:AlternateContent>
      </w:r>
      <w:r w:rsidRPr="0037604E">
        <w:rPr>
          <w:rFonts w:asciiTheme="majorHAnsi" w:eastAsia="Calibri" w:hAnsiTheme="majorHAnsi" w:cs="DokChampa"/>
          <w:noProof/>
          <w:lang w:val="ro-RO" w:eastAsia="ro-RO"/>
        </w:rPr>
        <w:drawing>
          <wp:inline distT="0" distB="0" distL="0" distR="0" wp14:anchorId="21E80230" wp14:editId="5CA8B77D">
            <wp:extent cx="5732145" cy="1312066"/>
            <wp:effectExtent l="0" t="0" r="1905" b="2540"/>
            <wp:docPr id="649" name="Chart 6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center"/>
        <w:rPr>
          <w:rFonts w:asciiTheme="majorHAnsi" w:eastAsia="Times New Roman" w:hAnsiTheme="majorHAnsi" w:cs="Times New Roman"/>
          <w:sz w:val="24"/>
          <w:szCs w:val="24"/>
          <w:lang w:eastAsia="ro-RO"/>
        </w:rPr>
      </w:pPr>
      <w:r w:rsidRPr="0037604E">
        <w:rPr>
          <w:rFonts w:asciiTheme="majorHAnsi" w:eastAsia="Times New Roman" w:hAnsiTheme="majorHAnsi" w:cs="Times New Roman"/>
          <w:b/>
          <w:i/>
          <w:sz w:val="16"/>
          <w:szCs w:val="16"/>
          <w:lang w:eastAsia="ro-RO"/>
        </w:rPr>
        <w:t>Ghart 37– No. of design works approved and endorsed within the TEC of Transgaz between 2013- 2016</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FA6EB9">
      <w:pPr>
        <w:numPr>
          <w:ilvl w:val="0"/>
          <w:numId w:val="26"/>
        </w:numPr>
        <w:spacing w:after="0" w:line="240" w:lineRule="auto"/>
        <w:contextualSpacing/>
        <w:jc w:val="both"/>
        <w:rPr>
          <w:rFonts w:ascii="Cambria" w:eastAsia="Times New Roman" w:hAnsi="Cambria" w:cs="Times New Roman"/>
          <w:b/>
          <w:i/>
          <w:sz w:val="24"/>
          <w:szCs w:val="24"/>
          <w:u w:val="single"/>
          <w:lang w:val="en-GB"/>
        </w:rPr>
      </w:pPr>
      <w:r w:rsidRPr="0037604E">
        <w:rPr>
          <w:rFonts w:ascii="Cambria" w:eastAsia="Times New Roman" w:hAnsi="Cambria" w:cs="Times New Roman"/>
          <w:b/>
          <w:i/>
          <w:sz w:val="24"/>
          <w:szCs w:val="24"/>
          <w:u w:val="single"/>
          <w:lang w:val="en-GB"/>
        </w:rPr>
        <w:t xml:space="preserve">The scientific research activity </w:t>
      </w:r>
    </w:p>
    <w:p w:rsidR="0037604E" w:rsidRPr="0037604E" w:rsidRDefault="0037604E" w:rsidP="0037604E">
      <w:pPr>
        <w:spacing w:after="0" w:line="240" w:lineRule="auto"/>
        <w:ind w:left="720"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The scientific research activity was carried out according to the </w:t>
      </w:r>
      <w:r w:rsidRPr="0037604E">
        <w:rPr>
          <w:rFonts w:ascii="Cambria" w:eastAsia="Times New Roman" w:hAnsi="Cambria" w:cs="Times New Roman"/>
          <w:b/>
          <w:i/>
          <w:sz w:val="24"/>
          <w:szCs w:val="24"/>
          <w:lang w:val="en-GB"/>
        </w:rPr>
        <w:t>Scientific Research, Technological Innovation and Standardization Plan for 2016.</w:t>
      </w:r>
      <w:r w:rsidRPr="0037604E">
        <w:rPr>
          <w:rFonts w:ascii="Cambria" w:eastAsia="Times New Roman" w:hAnsi="Cambria" w:cs="Times New Roman"/>
          <w:sz w:val="24"/>
          <w:szCs w:val="24"/>
          <w:lang w:val="en-GB"/>
        </w:rPr>
        <w:t xml:space="preserve"> It includes 12 research themes, out of wh</w:t>
      </w:r>
      <w:r w:rsidR="00B206DA">
        <w:rPr>
          <w:rFonts w:ascii="Cambria" w:eastAsia="Times New Roman" w:hAnsi="Cambria" w:cs="Times New Roman"/>
          <w:sz w:val="24"/>
          <w:szCs w:val="24"/>
          <w:lang w:val="en-GB"/>
        </w:rPr>
        <w:t>ich one was carried out in 2015</w:t>
      </w:r>
      <w:r w:rsidRPr="0037604E">
        <w:rPr>
          <w:rFonts w:ascii="Cambria" w:eastAsia="Times New Roman" w:hAnsi="Cambria" w:cs="Times New Roman"/>
          <w:sz w:val="24"/>
          <w:szCs w:val="24"/>
          <w:lang w:val="en-GB"/>
        </w:rPr>
        <w:t>, and the oth</w:t>
      </w:r>
      <w:r w:rsidR="00B206DA">
        <w:rPr>
          <w:rFonts w:ascii="Cambria" w:eastAsia="Times New Roman" w:hAnsi="Cambria" w:cs="Times New Roman"/>
          <w:sz w:val="24"/>
          <w:szCs w:val="24"/>
          <w:lang w:val="en-GB"/>
        </w:rPr>
        <w:t>er 11  are new themes for 2016.</w:t>
      </w: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Theme="majorHAnsi" w:hAnsiTheme="majorHAnsi"/>
          <w:sz w:val="24"/>
          <w:lang w:val="ro-RO"/>
        </w:rPr>
        <w:t xml:space="preserve">In </w:t>
      </w:r>
      <w:r w:rsidRPr="0037604E">
        <w:rPr>
          <w:rFonts w:asciiTheme="majorHAnsi" w:eastAsia="Times New Roman" w:hAnsiTheme="majorHAnsi" w:cs="Times New Roman"/>
          <w:sz w:val="24"/>
          <w:szCs w:val="24"/>
          <w:lang w:val="ro-RO" w:eastAsia="ro-RO"/>
        </w:rPr>
        <w:t xml:space="preserve">2016 stages of 2 research works were approved within the TEC, being recorded achievements amounting to RON </w:t>
      </w:r>
      <w:r w:rsidRPr="0037604E">
        <w:rPr>
          <w:rFonts w:asciiTheme="majorHAnsi" w:eastAsia="Times New Roman" w:hAnsiTheme="majorHAnsi" w:cs="Times New Roman"/>
          <w:b/>
          <w:bCs/>
          <w:sz w:val="24"/>
          <w:szCs w:val="24"/>
          <w:lang w:val="ro-RO" w:eastAsia="ro-RO"/>
        </w:rPr>
        <w:t>255.055</w:t>
      </w:r>
      <w:r w:rsidRPr="0037604E">
        <w:rPr>
          <w:rFonts w:asciiTheme="majorHAnsi" w:hAnsiTheme="majorHAnsi"/>
          <w:sz w:val="24"/>
          <w:lang w:val="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FA6EB9">
      <w:pPr>
        <w:numPr>
          <w:ilvl w:val="0"/>
          <w:numId w:val="26"/>
        </w:numPr>
        <w:spacing w:after="0" w:line="240" w:lineRule="auto"/>
        <w:contextualSpacing/>
        <w:jc w:val="both"/>
        <w:rPr>
          <w:rFonts w:ascii="Cambria" w:eastAsia="Calibri" w:hAnsi="Cambria" w:cs="Times New Roman"/>
          <w:b/>
          <w:sz w:val="24"/>
          <w:szCs w:val="24"/>
          <w:u w:val="single"/>
          <w:lang w:val="en-GB" w:eastAsia="en-US"/>
        </w:rPr>
      </w:pPr>
      <w:r w:rsidRPr="0037604E">
        <w:rPr>
          <w:rFonts w:ascii="Cambria" w:eastAsia="Calibri" w:hAnsi="Cambria" w:cs="Times New Roman"/>
          <w:b/>
          <w:sz w:val="24"/>
          <w:szCs w:val="24"/>
          <w:u w:val="single"/>
          <w:lang w:val="en-GB" w:eastAsia="en-US"/>
        </w:rPr>
        <w:t>Other activities within the department:</w:t>
      </w:r>
    </w:p>
    <w:p w:rsidR="0037604E" w:rsidRPr="0037604E" w:rsidRDefault="0037604E" w:rsidP="0037604E">
      <w:pPr>
        <w:spacing w:after="0" w:line="240" w:lineRule="auto"/>
        <w:ind w:firstLine="0"/>
        <w:contextualSpacing/>
        <w:jc w:val="both"/>
        <w:rPr>
          <w:rFonts w:ascii="Cambria" w:eastAsia="Calibri" w:hAnsi="Cambria" w:cs="Times New Roman"/>
          <w:b/>
          <w:sz w:val="24"/>
          <w:szCs w:val="24"/>
          <w:lang w:val="en-GB" w:eastAsia="en-US"/>
        </w:rPr>
      </w:pP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preparation of the technical specifications necessary for concluding framework agreements, subsequent contracts and other contracts  for design work such as: connection and MRS designing</w:t>
      </w:r>
      <w:r w:rsidRPr="0037604E">
        <w:rPr>
          <w:rFonts w:asciiTheme="majorHAnsi" w:eastAsia="Calibri" w:hAnsiTheme="majorHAnsi" w:cs="Times New Roman"/>
          <w:sz w:val="24"/>
          <w:szCs w:val="24"/>
          <w:lang w:val="ro-RO" w:eastAsia="en-US"/>
        </w:rPr>
        <w:t>,</w:t>
      </w:r>
      <w:r w:rsidRPr="0037604E">
        <w:rPr>
          <w:rFonts w:asciiTheme="majorHAnsi" w:hAnsiTheme="majorHAnsi" w:cs="Arial"/>
          <w:sz w:val="24"/>
          <w:szCs w:val="24"/>
          <w:lang w:val="en-GB"/>
        </w:rPr>
        <w:t xml:space="preserve"> environmental impact studies</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GB"/>
        </w:rPr>
        <w:t>geotechnical, hydrological studies,  railway undercrossing</w:t>
      </w:r>
      <w:r w:rsidRPr="0037604E">
        <w:rPr>
          <w:rFonts w:asciiTheme="majorHAnsi" w:eastAsia="Calibri" w:hAnsiTheme="majorHAnsi" w:cs="Times New Roman"/>
          <w:sz w:val="24"/>
          <w:szCs w:val="24"/>
          <w:lang w:val="ro-RO" w:eastAsia="en-US"/>
        </w:rPr>
        <w:t xml:space="preserve">, OSPA studies </w:t>
      </w:r>
      <w:r w:rsidRPr="0037604E">
        <w:rPr>
          <w:rFonts w:asciiTheme="majorHAnsi" w:hAnsiTheme="majorHAnsi" w:cs="Arial"/>
          <w:sz w:val="24"/>
          <w:szCs w:val="24"/>
          <w:lang w:val="en-GB"/>
        </w:rPr>
        <w:t>and others;</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participation in evaluation of bids for the procurement of services and works for projects developed within the department and for those developed by third parties;</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verification/issuing of point of view for projects developed by third companies;</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technical assistance for the works under execution;</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performance of verification activities of the quality of the pipe material, equipment and other accessories;</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ensuring of technical assistance in implementing the project on the supply of electricity, automation at the TN Leţcani, data acquisition, monitoring of unauthorized access and fire (NTS interconnection pipeline from Romania with the Moldova gas transmission system in the Iasi - Ungheni direction). The beneficiary of the project is ANRM;</w:t>
      </w:r>
    </w:p>
    <w:p w:rsidR="0037604E" w:rsidRPr="0037604E" w:rsidRDefault="0037604E" w:rsidP="00FA6EB9">
      <w:pPr>
        <w:numPr>
          <w:ilvl w:val="0"/>
          <w:numId w:val="47"/>
        </w:numPr>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sz w:val="24"/>
          <w:szCs w:val="24"/>
          <w:lang w:val="ro-RO"/>
        </w:rPr>
        <w:t>preparation of</w:t>
      </w:r>
      <w:r w:rsidRPr="0037604E">
        <w:rPr>
          <w:rFonts w:asciiTheme="majorHAnsi" w:eastAsia="Calibri" w:hAnsiTheme="majorHAnsi" w:cs="Times New Roman"/>
          <w:sz w:val="24"/>
          <w:szCs w:val="24"/>
          <w:lang w:val="ro-RO" w:eastAsia="en-US"/>
        </w:rPr>
        <w:t xml:space="preserve"> 27 risk analyses for the projects in progress by the DPD and of 2 risk analyses for projects prepared by third party companie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47"/>
        </w:numPr>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participation of staff in the department to monitor the contract on FEED for</w:t>
      </w:r>
      <w:r w:rsidRPr="0037604E">
        <w:rPr>
          <w:rFonts w:asciiTheme="majorHAnsi" w:eastAsia="Calibri" w:hAnsiTheme="majorHAnsi" w:cs="Times New Roman"/>
          <w:sz w:val="24"/>
          <w:szCs w:val="24"/>
          <w:lang w:val="ro-RO" w:eastAsia="en-US"/>
        </w:rPr>
        <w:t xml:space="preserve"> 3 compressor stations in the corridor PCI 7.1.5 – Romanian section;</w:t>
      </w:r>
    </w:p>
    <w:p w:rsidR="0037604E" w:rsidRPr="0037604E" w:rsidRDefault="0037604E" w:rsidP="00FA6EB9">
      <w:pPr>
        <w:numPr>
          <w:ilvl w:val="0"/>
          <w:numId w:val="47"/>
        </w:numPr>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participation of division staff at preformance of </w:t>
      </w:r>
      <w:r w:rsidRPr="0037604E">
        <w:rPr>
          <w:rFonts w:asciiTheme="majorHAnsi" w:eastAsia="Calibri" w:hAnsiTheme="majorHAnsi" w:cs="Times New Roman"/>
          <w:sz w:val="24"/>
          <w:szCs w:val="24"/>
          <w:lang w:val="ro-RO" w:eastAsia="en-US"/>
        </w:rPr>
        <w:t xml:space="preserve">USTDA agreement on  </w:t>
      </w:r>
      <w:r w:rsidRPr="0037604E">
        <w:rPr>
          <w:rFonts w:asciiTheme="majorHAnsi" w:hAnsiTheme="majorHAnsi" w:cs="Arial"/>
          <w:sz w:val="24"/>
          <w:szCs w:val="24"/>
          <w:lang w:val="en"/>
        </w:rPr>
        <w:t xml:space="preserve">the verification of feasibility studies regarding </w:t>
      </w:r>
      <w:r w:rsidRPr="0037604E">
        <w:rPr>
          <w:rFonts w:asciiTheme="majorHAnsi" w:eastAsia="Calibri" w:hAnsiTheme="majorHAnsi" w:cs="Times New Roman"/>
          <w:sz w:val="24"/>
          <w:szCs w:val="24"/>
          <w:lang w:val="ro-RO" w:eastAsia="en-US"/>
        </w:rPr>
        <w:t>BRUA and the Black Sea shore –Podișor;</w:t>
      </w:r>
    </w:p>
    <w:p w:rsidR="0037604E" w:rsidRPr="0037604E" w:rsidRDefault="0037604E" w:rsidP="00FA6EB9">
      <w:pPr>
        <w:numPr>
          <w:ilvl w:val="0"/>
          <w:numId w:val="47"/>
        </w:numPr>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participation of division staff</w:t>
      </w:r>
      <w:r w:rsidRPr="0037604E">
        <w:rPr>
          <w:rFonts w:asciiTheme="majorHAnsi" w:eastAsia="Calibri" w:hAnsiTheme="majorHAnsi" w:cs="Times New Roman"/>
          <w:sz w:val="24"/>
          <w:szCs w:val="24"/>
          <w:lang w:val="ro-RO" w:eastAsia="en-US"/>
        </w:rPr>
        <w:t xml:space="preserve"> at the preparation of </w:t>
      </w:r>
      <w:r w:rsidRPr="0037604E">
        <w:rPr>
          <w:rFonts w:asciiTheme="majorHAnsi" w:hAnsiTheme="majorHAnsi" w:cs="Arial"/>
          <w:sz w:val="24"/>
          <w:szCs w:val="24"/>
          <w:lang w:val="en"/>
        </w:rPr>
        <w:t>specifications for the acquisition of</w:t>
      </w:r>
      <w:r w:rsidRPr="0037604E">
        <w:rPr>
          <w:rFonts w:asciiTheme="majorHAnsi" w:eastAsia="Calibri" w:hAnsiTheme="majorHAnsi" w:cs="Times New Roman"/>
          <w:sz w:val="24"/>
          <w:szCs w:val="24"/>
          <w:lang w:val="ro-RO" w:eastAsia="en-US"/>
        </w:rPr>
        <w:t xml:space="preserve"> pipe material, bents, valves, electroinsulating sleeves necessary fot the BRUA pipeline;</w:t>
      </w:r>
    </w:p>
    <w:p w:rsidR="0037604E" w:rsidRPr="0037604E" w:rsidRDefault="0037604E" w:rsidP="00FA6EB9">
      <w:pPr>
        <w:numPr>
          <w:ilvl w:val="0"/>
          <w:numId w:val="47"/>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preparation and monitoring of achievement of design and research programmes of Transgaz.</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FA6EB9">
      <w:pPr>
        <w:numPr>
          <w:ilvl w:val="0"/>
          <w:numId w:val="26"/>
        </w:numPr>
        <w:spacing w:after="0" w:line="240" w:lineRule="auto"/>
        <w:contextualSpacing/>
        <w:jc w:val="both"/>
        <w:rPr>
          <w:rFonts w:ascii="Cambria" w:eastAsia="Calibri" w:hAnsi="Cambria" w:cs="Times New Roman"/>
          <w:b/>
          <w:sz w:val="24"/>
          <w:szCs w:val="24"/>
          <w:u w:val="single"/>
          <w:lang w:val="en-GB" w:eastAsia="en-US"/>
        </w:rPr>
      </w:pPr>
      <w:r w:rsidRPr="0037604E">
        <w:rPr>
          <w:rFonts w:ascii="Cambria" w:eastAsia="Calibri" w:hAnsi="Cambria" w:cs="Times New Roman"/>
          <w:b/>
          <w:sz w:val="24"/>
          <w:szCs w:val="24"/>
          <w:u w:val="single"/>
          <w:lang w:val="en-GB" w:eastAsia="en-US"/>
        </w:rPr>
        <w:t>Achievement of the designs and research plan</w:t>
      </w:r>
    </w:p>
    <w:p w:rsidR="0037604E" w:rsidRPr="0037604E" w:rsidRDefault="0037604E" w:rsidP="0037604E">
      <w:pPr>
        <w:spacing w:after="0" w:line="240" w:lineRule="auto"/>
        <w:ind w:firstLine="0"/>
        <w:jc w:val="both"/>
        <w:rPr>
          <w:rFonts w:ascii="Cambria" w:eastAsia="Calibri" w:hAnsi="Cambria" w:cs="Times New Roman"/>
          <w:b/>
          <w:sz w:val="24"/>
          <w:szCs w:val="24"/>
          <w:u w:val="single"/>
          <w:lang w:val="en-GB" w:eastAsia="en-US"/>
        </w:rPr>
      </w:pPr>
    </w:p>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 xml:space="preserve">For the </w:t>
      </w:r>
      <w:r w:rsidRPr="0037604E">
        <w:rPr>
          <w:rFonts w:asciiTheme="majorHAnsi" w:hAnsiTheme="majorHAnsi" w:cs="Arial"/>
          <w:b/>
          <w:sz w:val="24"/>
          <w:szCs w:val="24"/>
          <w:lang w:val="en-GB"/>
        </w:rPr>
        <w:t>2016 Transgaz  Design</w:t>
      </w:r>
      <w:r w:rsidRPr="0037604E">
        <w:rPr>
          <w:rFonts w:asciiTheme="majorHAnsi" w:hAnsiTheme="majorHAnsi" w:cs="Arial"/>
          <w:sz w:val="24"/>
          <w:szCs w:val="24"/>
          <w:lang w:val="en-GB"/>
        </w:rPr>
        <w:t xml:space="preserve">  </w:t>
      </w:r>
      <w:r w:rsidRPr="0037604E">
        <w:rPr>
          <w:rFonts w:asciiTheme="majorHAnsi" w:hAnsiTheme="majorHAnsi" w:cs="Arial"/>
          <w:b/>
          <w:sz w:val="24"/>
          <w:szCs w:val="24"/>
          <w:lang w:val="en-GB"/>
        </w:rPr>
        <w:t xml:space="preserve">Plan </w:t>
      </w:r>
      <w:r w:rsidRPr="0037604E">
        <w:rPr>
          <w:rFonts w:asciiTheme="majorHAnsi" w:hAnsiTheme="majorHAnsi" w:cs="Arial"/>
          <w:sz w:val="24"/>
          <w:szCs w:val="24"/>
          <w:lang w:val="en-GB"/>
        </w:rPr>
        <w:t xml:space="preserve">it was budgeted the amount of </w:t>
      </w:r>
      <w:r w:rsidRPr="0037604E">
        <w:rPr>
          <w:rFonts w:asciiTheme="majorHAnsi" w:hAnsiTheme="majorHAnsi" w:cs="Arial"/>
          <w:b/>
          <w:sz w:val="24"/>
          <w:szCs w:val="24"/>
          <w:lang w:val="en-GB"/>
        </w:rPr>
        <w:t>RON</w:t>
      </w:r>
      <w:r w:rsidRPr="0037604E">
        <w:rPr>
          <w:rFonts w:asciiTheme="majorHAnsi" w:hAnsiTheme="majorHAnsi" w:cs="Arial"/>
          <w:sz w:val="24"/>
          <w:szCs w:val="24"/>
          <w:lang w:val="en-GB"/>
        </w:rPr>
        <w:t xml:space="preserve"> </w:t>
      </w:r>
      <w:r w:rsidRPr="0037604E">
        <w:rPr>
          <w:rFonts w:asciiTheme="majorHAnsi" w:eastAsia="Arial Unicode MS" w:hAnsiTheme="majorHAnsi" w:cs="Times New Roman"/>
          <w:b/>
          <w:sz w:val="24"/>
          <w:szCs w:val="24"/>
          <w:lang w:val="ro-RO" w:eastAsia="ro-RO"/>
        </w:rPr>
        <w:t>120.182.784</w:t>
      </w:r>
      <w:r w:rsidRPr="0037604E">
        <w:rPr>
          <w:rFonts w:asciiTheme="majorHAnsi" w:hAnsiTheme="majorHAnsi" w:cs="Arial"/>
          <w:sz w:val="24"/>
          <w:szCs w:val="24"/>
          <w:lang w:val="en-GB"/>
        </w:rPr>
        <w:t xml:space="preserve">, of which the actual design amounts to </w:t>
      </w:r>
      <w:r w:rsidRPr="0037604E">
        <w:rPr>
          <w:rFonts w:asciiTheme="majorHAnsi" w:hAnsiTheme="majorHAnsi" w:cs="Arial"/>
          <w:b/>
          <w:sz w:val="24"/>
          <w:szCs w:val="24"/>
          <w:lang w:val="en-GB"/>
        </w:rPr>
        <w:t>RON</w:t>
      </w:r>
      <w:r w:rsidRPr="0037604E">
        <w:rPr>
          <w:rFonts w:asciiTheme="majorHAnsi" w:hAnsiTheme="majorHAnsi" w:cs="Arial"/>
          <w:sz w:val="24"/>
          <w:szCs w:val="24"/>
          <w:lang w:val="en-GB"/>
        </w:rPr>
        <w:t xml:space="preserve"> </w:t>
      </w:r>
      <w:r w:rsidRPr="0037604E">
        <w:rPr>
          <w:rFonts w:asciiTheme="majorHAnsi" w:eastAsia="Arial Unicode MS" w:hAnsiTheme="majorHAnsi" w:cs="Times New Roman"/>
          <w:b/>
          <w:sz w:val="24"/>
          <w:szCs w:val="24"/>
          <w:lang w:val="ro-RO" w:eastAsia="ro-RO"/>
        </w:rPr>
        <w:t>33.200.784</w:t>
      </w:r>
      <w:r w:rsidRPr="0037604E">
        <w:rPr>
          <w:rFonts w:asciiTheme="majorHAnsi" w:hAnsiTheme="majorHAnsi" w:cs="Arial"/>
          <w:sz w:val="24"/>
          <w:szCs w:val="24"/>
          <w:lang w:val="en-GB"/>
        </w:rPr>
        <w:t xml:space="preserve">. The difference between total and the actual design is guarantees for </w:t>
      </w:r>
      <w:r w:rsidRPr="0037604E">
        <w:rPr>
          <w:rFonts w:asciiTheme="majorHAnsi" w:hAnsiTheme="majorHAnsi"/>
          <w:sz w:val="24"/>
          <w:szCs w:val="24"/>
          <w:lang w:val="en-GB"/>
        </w:rPr>
        <w:t>removal of land from farm-use classification</w:t>
      </w:r>
      <w:r w:rsidRPr="0037604E">
        <w:rPr>
          <w:rFonts w:asciiTheme="majorHAnsi" w:hAnsiTheme="majorHAnsi" w:cs="Arial"/>
          <w:sz w:val="24"/>
          <w:szCs w:val="24"/>
          <w:lang w:val="en-GB"/>
        </w:rPr>
        <w:t>.</w:t>
      </w:r>
    </w:p>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br/>
      </w:r>
      <w:r w:rsidRPr="0037604E">
        <w:rPr>
          <w:rFonts w:asciiTheme="majorHAnsi" w:hAnsiTheme="majorHAnsi" w:cs="Arial"/>
          <w:b/>
          <w:sz w:val="24"/>
          <w:szCs w:val="24"/>
          <w:lang w:val="en-GB"/>
        </w:rPr>
        <w:t>The degree of achievement</w:t>
      </w:r>
      <w:r w:rsidRPr="0037604E">
        <w:rPr>
          <w:rFonts w:asciiTheme="majorHAnsi" w:hAnsiTheme="majorHAnsi" w:cs="Arial"/>
          <w:sz w:val="24"/>
          <w:szCs w:val="24"/>
          <w:lang w:val="en-GB"/>
        </w:rPr>
        <w:t xml:space="preserve"> of the actual designing in 2016 was </w:t>
      </w:r>
      <w:r w:rsidRPr="00E040D5">
        <w:rPr>
          <w:rFonts w:asciiTheme="majorHAnsi" w:hAnsiTheme="majorHAnsi" w:cs="Arial"/>
          <w:b/>
          <w:sz w:val="24"/>
          <w:szCs w:val="24"/>
          <w:lang w:val="en-GB"/>
        </w:rPr>
        <w:t>25,34%</w:t>
      </w:r>
    </w:p>
    <w:p w:rsidR="0037604E" w:rsidRPr="0037604E" w:rsidRDefault="0037604E" w:rsidP="0037604E">
      <w:pPr>
        <w:spacing w:after="0" w:line="240" w:lineRule="auto"/>
        <w:ind w:firstLine="0"/>
        <w:jc w:val="both"/>
        <w:rPr>
          <w:rFonts w:ascii="Arial" w:hAnsi="Arial" w:cs="Arial"/>
          <w:color w:val="222222"/>
          <w:lang w:val="en-GB"/>
        </w:rPr>
      </w:pPr>
    </w:p>
    <w:p w:rsidR="0037604E" w:rsidRPr="0037604E" w:rsidRDefault="0037604E" w:rsidP="0037604E">
      <w:pPr>
        <w:spacing w:after="0" w:line="240" w:lineRule="auto"/>
        <w:ind w:firstLine="0"/>
        <w:jc w:val="both"/>
        <w:rPr>
          <w:rFonts w:ascii="Arial" w:hAnsi="Arial" w:cs="Arial"/>
          <w:color w:val="222222"/>
          <w:lang w:val="en-GB"/>
        </w:rPr>
      </w:pPr>
      <w:r w:rsidRPr="0037604E">
        <w:rPr>
          <w:rFonts w:asciiTheme="majorHAnsi" w:eastAsia="Times New Roman" w:hAnsiTheme="majorHAnsi" w:cs="Times New Roman"/>
          <w:noProof/>
          <w:sz w:val="20"/>
          <w:szCs w:val="20"/>
          <w:lang w:val="ro-RO" w:eastAsia="ro-RO"/>
        </w:rPr>
        <w:drawing>
          <wp:inline distT="0" distB="0" distL="0" distR="0" wp14:anchorId="4F941E43" wp14:editId="0059C0BE">
            <wp:extent cx="4572000" cy="108585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center"/>
        <w:rPr>
          <w:rFonts w:ascii="Cambria" w:eastAsia="Times New Roman" w:hAnsi="Cambria" w:cs="Times New Roman"/>
          <w:color w:val="000000"/>
          <w:sz w:val="24"/>
          <w:szCs w:val="24"/>
          <w:lang w:val="en-GB" w:eastAsia="ro-RO"/>
        </w:rPr>
      </w:pPr>
      <w:r w:rsidRPr="0037604E">
        <w:rPr>
          <w:rFonts w:ascii="Cambria" w:eastAsia="Times New Roman" w:hAnsi="Cambria" w:cs="Times New Roman"/>
          <w:b/>
          <w:i/>
          <w:color w:val="000000"/>
          <w:sz w:val="16"/>
          <w:szCs w:val="16"/>
          <w:lang w:val="en-GB" w:eastAsia="ro-RO"/>
        </w:rPr>
        <w:t xml:space="preserve">Chart 38– Achieved 2016 Research and Design Plan </w:t>
      </w:r>
    </w:p>
    <w:p w:rsidR="0037604E" w:rsidRPr="0037604E" w:rsidRDefault="0037604E" w:rsidP="0037604E">
      <w:pPr>
        <w:spacing w:after="0" w:line="240" w:lineRule="auto"/>
        <w:ind w:firstLine="0"/>
        <w:jc w:val="both"/>
        <w:rPr>
          <w:rFonts w:ascii="Cambria" w:eastAsia="Arial Unicode MS"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Arial Unicode MS" w:hAnsi="Cambria" w:cs="Times New Roman"/>
          <w:sz w:val="24"/>
          <w:szCs w:val="24"/>
          <w:lang w:val="en-GB" w:eastAsia="ro-RO"/>
        </w:rPr>
      </w:pPr>
      <w:r w:rsidRPr="0037604E">
        <w:rPr>
          <w:noProof/>
          <w:lang w:val="ro-RO" w:eastAsia="ro-RO"/>
        </w:rPr>
        <w:drawing>
          <wp:inline distT="0" distB="0" distL="0" distR="0" wp14:anchorId="0E43E8AE" wp14:editId="5E4222C4">
            <wp:extent cx="4572000" cy="1133474"/>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7604E" w:rsidRPr="0037604E" w:rsidRDefault="0037604E" w:rsidP="0037604E">
      <w:pPr>
        <w:spacing w:after="0" w:line="240" w:lineRule="auto"/>
        <w:ind w:firstLine="0"/>
        <w:jc w:val="center"/>
        <w:rPr>
          <w:rFonts w:ascii="Cambria" w:eastAsia="Times New Roman" w:hAnsi="Cambria" w:cs="Times New Roman"/>
          <w:color w:val="000000"/>
          <w:sz w:val="24"/>
          <w:szCs w:val="24"/>
          <w:lang w:val="en-GB" w:eastAsia="ro-RO"/>
        </w:rPr>
      </w:pPr>
      <w:r w:rsidRPr="0037604E">
        <w:rPr>
          <w:rFonts w:ascii="Cambria" w:eastAsia="Times New Roman" w:hAnsi="Cambria" w:cs="Times New Roman"/>
          <w:b/>
          <w:i/>
          <w:color w:val="000000"/>
          <w:sz w:val="16"/>
          <w:szCs w:val="16"/>
          <w:lang w:val="en-GB" w:eastAsia="ro-RO"/>
        </w:rPr>
        <w:t xml:space="preserve">Chart 39– Degree of achievement of 2016 Research and Design Plan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napToGrid w:val="0"/>
        <w:spacing w:after="0" w:line="240" w:lineRule="auto"/>
        <w:ind w:firstLine="0"/>
        <w:jc w:val="both"/>
        <w:rPr>
          <w:rFonts w:asciiTheme="majorHAnsi" w:eastAsia="Calibri" w:hAnsiTheme="majorHAnsi" w:cs="Times New Roman"/>
          <w:sz w:val="24"/>
          <w:szCs w:val="24"/>
          <w:lang w:val="en-GB" w:eastAsia="en-US"/>
        </w:rPr>
      </w:pPr>
      <w:r w:rsidRPr="0037604E">
        <w:rPr>
          <w:rFonts w:asciiTheme="majorHAnsi" w:hAnsiTheme="majorHAnsi" w:cs="Arial"/>
          <w:b/>
          <w:sz w:val="24"/>
          <w:szCs w:val="24"/>
          <w:lang w:val="en-GB"/>
        </w:rPr>
        <w:t>For the 2016</w:t>
      </w:r>
      <w:r w:rsidRPr="0037604E">
        <w:rPr>
          <w:rFonts w:asciiTheme="majorHAnsi" w:hAnsiTheme="majorHAnsi" w:cs="Arial"/>
          <w:sz w:val="24"/>
          <w:szCs w:val="24"/>
          <w:lang w:val="en-GB"/>
        </w:rPr>
        <w:t xml:space="preserve"> </w:t>
      </w:r>
      <w:r w:rsidRPr="0037604E">
        <w:rPr>
          <w:rFonts w:asciiTheme="majorHAnsi" w:hAnsiTheme="majorHAnsi" w:cs="Arial"/>
          <w:b/>
          <w:sz w:val="24"/>
          <w:szCs w:val="24"/>
          <w:lang w:val="en-GB"/>
        </w:rPr>
        <w:t xml:space="preserve">SNTGN Transgaz S.A. Research Plan </w:t>
      </w:r>
      <w:r w:rsidRPr="0037604E">
        <w:rPr>
          <w:rFonts w:asciiTheme="majorHAnsi" w:hAnsiTheme="majorHAnsi" w:cs="Arial"/>
          <w:sz w:val="24"/>
          <w:szCs w:val="24"/>
          <w:lang w:val="en-GB"/>
        </w:rPr>
        <w:t>it</w:t>
      </w:r>
      <w:r w:rsidRPr="0037604E">
        <w:rPr>
          <w:rFonts w:asciiTheme="majorHAnsi" w:hAnsiTheme="majorHAnsi" w:cs="Arial"/>
          <w:b/>
          <w:sz w:val="24"/>
          <w:szCs w:val="24"/>
          <w:lang w:val="en-GB"/>
        </w:rPr>
        <w:t xml:space="preserve"> </w:t>
      </w:r>
      <w:r w:rsidR="00B206DA">
        <w:rPr>
          <w:rFonts w:asciiTheme="majorHAnsi" w:hAnsiTheme="majorHAnsi" w:cs="Arial"/>
          <w:sz w:val="24"/>
          <w:szCs w:val="24"/>
          <w:lang w:val="en-GB"/>
        </w:rPr>
        <w:t xml:space="preserve">was budgeted the value of </w:t>
      </w:r>
      <w:r w:rsidRPr="0037604E">
        <w:rPr>
          <w:rFonts w:asciiTheme="majorHAnsi" w:hAnsiTheme="majorHAnsi" w:cs="Arial"/>
          <w:sz w:val="24"/>
          <w:szCs w:val="24"/>
          <w:lang w:val="en-GB"/>
        </w:rPr>
        <w:t>RON 1.</w:t>
      </w:r>
      <w:r w:rsidRPr="0037604E">
        <w:rPr>
          <w:rFonts w:asciiTheme="majorHAnsi" w:eastAsia="Arial Unicode MS" w:hAnsiTheme="majorHAnsi" w:cs="Times New Roman"/>
          <w:sz w:val="24"/>
          <w:szCs w:val="24"/>
          <w:lang w:val="ro-RO" w:eastAsia="ro-RO"/>
        </w:rPr>
        <w:t>382.000</w:t>
      </w:r>
      <w:r w:rsidRPr="0037604E">
        <w:rPr>
          <w:rFonts w:asciiTheme="majorHAnsi" w:hAnsiTheme="majorHAnsi" w:cs="Arial"/>
          <w:sz w:val="24"/>
          <w:szCs w:val="24"/>
          <w:lang w:val="en-GB"/>
        </w:rPr>
        <w:t xml:space="preserve">. The degree of achievement of </w:t>
      </w:r>
      <w:r w:rsidR="00B206DA">
        <w:rPr>
          <w:rFonts w:asciiTheme="majorHAnsi" w:hAnsiTheme="majorHAnsi" w:cs="Arial"/>
          <w:sz w:val="24"/>
          <w:szCs w:val="24"/>
          <w:lang w:val="en-GB"/>
        </w:rPr>
        <w:t xml:space="preserve">the </w:t>
      </w:r>
      <w:r w:rsidRPr="0037604E">
        <w:rPr>
          <w:rFonts w:asciiTheme="majorHAnsi" w:hAnsiTheme="majorHAnsi" w:cs="Arial"/>
          <w:sz w:val="24"/>
          <w:szCs w:val="24"/>
          <w:lang w:val="en-GB"/>
        </w:rPr>
        <w:t xml:space="preserve">plan in 2016 was </w:t>
      </w:r>
      <w:r w:rsidRPr="0037604E">
        <w:rPr>
          <w:rFonts w:asciiTheme="majorHAnsi" w:eastAsia="Arial Unicode MS" w:hAnsiTheme="majorHAnsi" w:cs="Times New Roman"/>
          <w:b/>
          <w:sz w:val="24"/>
          <w:szCs w:val="24"/>
          <w:lang w:val="ro-RO" w:eastAsia="ro-RO"/>
        </w:rPr>
        <w:t>18,45</w:t>
      </w:r>
      <w:r w:rsidRPr="0037604E">
        <w:rPr>
          <w:rFonts w:asciiTheme="majorHAnsi" w:hAnsiTheme="majorHAnsi"/>
          <w:b/>
          <w:sz w:val="24"/>
          <w:lang w:val="ro-RO"/>
        </w:rPr>
        <w:t xml:space="preserve"> </w:t>
      </w:r>
      <w:r w:rsidRPr="0037604E">
        <w:rPr>
          <w:rFonts w:asciiTheme="majorHAnsi" w:hAnsiTheme="majorHAnsi" w:cs="Arial"/>
          <w:sz w:val="24"/>
          <w:szCs w:val="24"/>
          <w:lang w:val="en-GB"/>
        </w:rPr>
        <w:t>%.</w:t>
      </w:r>
      <w:r w:rsidRPr="0037604E">
        <w:rPr>
          <w:rFonts w:ascii="Cambria" w:eastAsia="Times New Roman" w:hAnsi="Cambria" w:cs="Times New Roman"/>
          <w:sz w:val="18"/>
          <w:szCs w:val="18"/>
          <w:lang w:val="en-GB"/>
        </w:rPr>
        <w:t xml:space="preserve">  </w:t>
      </w:r>
    </w:p>
    <w:p w:rsidR="0037604E" w:rsidRPr="0037604E" w:rsidRDefault="0037604E" w:rsidP="0037604E">
      <w:pPr>
        <w:shd w:val="clear" w:color="auto" w:fill="DBE5F1" w:themeFill="accent1" w:themeFillTint="33"/>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35" w:name="_Toc414263626"/>
      <w:bookmarkStart w:id="36" w:name="_Toc446310824"/>
      <w:r w:rsidRPr="0037604E">
        <w:rPr>
          <w:rFonts w:asciiTheme="majorHAnsi" w:eastAsia="Times New Roman" w:hAnsiTheme="majorHAnsi" w:cstheme="majorBidi"/>
          <w:b/>
          <w:bCs/>
          <w:i/>
          <w:iCs/>
          <w:sz w:val="26"/>
          <w:szCs w:val="26"/>
          <w:lang w:val="en-GB" w:eastAsia="ro-RO"/>
        </w:rPr>
        <w:t xml:space="preserve">3.1.7 </w:t>
      </w:r>
      <w:bookmarkEnd w:id="35"/>
      <w:r w:rsidRPr="0037604E">
        <w:rPr>
          <w:rFonts w:asciiTheme="majorHAnsi" w:eastAsia="Times New Roman" w:hAnsiTheme="majorHAnsi" w:cstheme="majorBidi"/>
          <w:b/>
          <w:bCs/>
          <w:i/>
          <w:iCs/>
          <w:sz w:val="26"/>
          <w:szCs w:val="26"/>
          <w:lang w:val="en-GB" w:eastAsia="ro-RO"/>
        </w:rPr>
        <w:t>Evaluation of the procurement activity</w:t>
      </w:r>
      <w:bookmarkEnd w:id="36"/>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purchases for ensuring the technical and material resources are made under firm contracts or orders, concluded by observing the applicable laws, both from the domestic market and imports.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At the substantiation of the</w:t>
      </w:r>
      <w:r w:rsidRPr="0037604E">
        <w:rPr>
          <w:rFonts w:ascii="Cambria" w:eastAsia="Calibri" w:hAnsi="Cambria" w:cs="Times New Roman"/>
          <w:b/>
          <w:sz w:val="24"/>
          <w:szCs w:val="24"/>
          <w:lang w:val="en-GB" w:eastAsia="en-US"/>
        </w:rPr>
        <w:t xml:space="preserve"> Annual Programme of the Sectoral Procurement 2016 (P.A.A.S. 2016)</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the necessary of works, products and services, were calculated</w:t>
      </w:r>
      <w:r w:rsidRPr="0037604E">
        <w:rPr>
          <w:rFonts w:ascii="Cambria" w:eastAsia="Calibri" w:hAnsi="Cambria" w:cs="Times New Roman"/>
          <w:sz w:val="24"/>
          <w:szCs w:val="24"/>
          <w:lang w:val="en-GB" w:eastAsia="en-US"/>
        </w:rPr>
        <w:t xml:space="preserve"> as they are contained in the </w:t>
      </w:r>
      <w:r w:rsidRPr="0037604E">
        <w:rPr>
          <w:rFonts w:ascii="Cambria" w:eastAsia="Calibri" w:hAnsi="Cambria" w:cs="Times New Roman"/>
          <w:b/>
          <w:sz w:val="24"/>
          <w:szCs w:val="24"/>
          <w:lang w:val="en-GB" w:eastAsia="en-US"/>
        </w:rPr>
        <w:t>Programme for Upgrading, Investments Development</w:t>
      </w:r>
      <w:r w:rsidRPr="0037604E">
        <w:rPr>
          <w:rFonts w:ascii="Cambria" w:eastAsia="Calibri" w:hAnsi="Cambria" w:cs="Times New Roman"/>
          <w:sz w:val="24"/>
          <w:szCs w:val="24"/>
          <w:lang w:val="en-GB" w:eastAsia="en-US"/>
        </w:rPr>
        <w:t>,</w:t>
      </w:r>
      <w:r w:rsidRPr="0037604E">
        <w:rPr>
          <w:rFonts w:ascii="Cambria" w:eastAsia="Calibri" w:hAnsi="Cambria" w:cs="Times New Roman"/>
          <w:b/>
          <w:sz w:val="24"/>
          <w:szCs w:val="24"/>
          <w:lang w:val="en-GB" w:eastAsia="en-US"/>
        </w:rPr>
        <w:t xml:space="preserve"> Repairs, Rehabilitation</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 xml:space="preserve">and Maintenance </w:t>
      </w:r>
      <w:r w:rsidRPr="0037604E">
        <w:rPr>
          <w:rFonts w:ascii="Cambria" w:eastAsia="Calibri" w:hAnsi="Cambria" w:cs="Times New Roman"/>
          <w:sz w:val="24"/>
          <w:szCs w:val="24"/>
          <w:lang w:val="en-GB" w:eastAsia="en-US"/>
        </w:rPr>
        <w:t xml:space="preserve">as well as in the </w:t>
      </w:r>
      <w:r w:rsidRPr="0037604E">
        <w:rPr>
          <w:rFonts w:ascii="Cambria" w:eastAsia="Calibri" w:hAnsi="Cambria" w:cs="Times New Roman"/>
          <w:b/>
          <w:sz w:val="24"/>
          <w:szCs w:val="24"/>
          <w:lang w:val="en-GB" w:eastAsia="en-US"/>
        </w:rPr>
        <w:t>Supply Programme</w:t>
      </w:r>
      <w:r w:rsidRPr="0037604E">
        <w:rPr>
          <w:rFonts w:ascii="Cambria" w:eastAsia="Calibri" w:hAnsi="Cambria" w:cs="Times New Roman"/>
          <w:sz w:val="24"/>
          <w:szCs w:val="24"/>
          <w:lang w:val="en-GB" w:eastAsia="en-US"/>
        </w:rPr>
        <w:t xml:space="preserve">, the </w:t>
      </w:r>
      <w:r w:rsidRPr="0037604E">
        <w:rPr>
          <w:rFonts w:ascii="Cambria" w:eastAsia="Calibri" w:hAnsi="Cambria" w:cs="Times New Roman"/>
          <w:b/>
          <w:sz w:val="24"/>
          <w:szCs w:val="24"/>
          <w:lang w:val="en-GB" w:eastAsia="en-US"/>
        </w:rPr>
        <w:t>Research Programme</w:t>
      </w:r>
      <w:r w:rsidRPr="0037604E">
        <w:rPr>
          <w:rFonts w:ascii="Cambria" w:eastAsia="Calibri" w:hAnsi="Cambria" w:cs="Times New Roman"/>
          <w:sz w:val="24"/>
          <w:szCs w:val="24"/>
          <w:lang w:val="en-GB" w:eastAsia="en-US"/>
        </w:rPr>
        <w:t xml:space="preserve"> and the </w:t>
      </w:r>
      <w:r w:rsidRPr="0037604E">
        <w:rPr>
          <w:rFonts w:ascii="Cambria" w:eastAsia="Calibri" w:hAnsi="Cambria" w:cs="Times New Roman"/>
          <w:b/>
          <w:sz w:val="24"/>
          <w:szCs w:val="24"/>
          <w:lang w:val="en-GB" w:eastAsia="en-US"/>
        </w:rPr>
        <w:t>Design Programme</w:t>
      </w:r>
      <w:r w:rsidRPr="0037604E">
        <w:rPr>
          <w:rFonts w:ascii="Cambria" w:eastAsia="Calibri" w:hAnsi="Cambria" w:cs="Times New Roman"/>
          <w:sz w:val="24"/>
          <w:szCs w:val="24"/>
          <w:lang w:val="en-GB" w:eastAsia="en-US"/>
        </w:rPr>
        <w:t xml:space="preserve"> in the form approved through the Board of Administration Resolution no. </w:t>
      </w:r>
      <w:r w:rsidRPr="0037604E">
        <w:rPr>
          <w:rFonts w:ascii="Cambria" w:eastAsia="Times New Roman" w:hAnsi="Cambria" w:cs="Microsoft Sans Serif"/>
          <w:sz w:val="24"/>
          <w:szCs w:val="24"/>
          <w:lang w:val="en-GB" w:eastAsia="en-US" w:bidi="en-US"/>
        </w:rPr>
        <w:t>39/17</w:t>
      </w:r>
      <w:r w:rsidRPr="0037604E">
        <w:rPr>
          <w:rFonts w:ascii="Cambria" w:hAnsi="Cambria"/>
          <w:sz w:val="24"/>
          <w:lang w:val="en-GB"/>
        </w:rPr>
        <w:t>.12.</w:t>
      </w:r>
      <w:r w:rsidRPr="0037604E">
        <w:rPr>
          <w:rFonts w:ascii="Cambria" w:eastAsia="Times New Roman" w:hAnsi="Cambria" w:cs="Microsoft Sans Serif"/>
          <w:sz w:val="24"/>
          <w:szCs w:val="24"/>
          <w:lang w:val="en-GB" w:eastAsia="en-US" w:bidi="en-US"/>
        </w:rPr>
        <w:t>2015</w:t>
      </w:r>
      <w:r w:rsidRPr="0037604E">
        <w:rPr>
          <w:rFonts w:ascii="Cambria" w:eastAsia="Calibri" w:hAnsi="Cambria" w:cs="Times New Roman"/>
          <w:b/>
          <w:sz w:val="24"/>
          <w:szCs w:val="24"/>
          <w:lang w:val="en-GB" w:eastAsia="en-US"/>
        </w:rPr>
        <w:t xml:space="preserve"> and Programme</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regarding</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other services executed by third parties</w:t>
      </w:r>
      <w:r w:rsidRPr="0037604E">
        <w:rPr>
          <w:rFonts w:ascii="Cambria" w:eastAsia="Calibri" w:hAnsi="Cambria" w:cs="Times New Roman"/>
          <w:sz w:val="24"/>
          <w:szCs w:val="24"/>
          <w:lang w:val="en-GB" w:eastAsia="en-US"/>
        </w:rPr>
        <w:t xml:space="preserve"> approved thourgh the Board of Administration Resolution no. 1/18.01.2016.</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The programme contains </w:t>
      </w:r>
      <w:r w:rsidRPr="0037604E">
        <w:rPr>
          <w:rFonts w:ascii="Cambria" w:eastAsia="Times New Roman" w:hAnsi="Cambria" w:cs="Times New Roman"/>
          <w:b/>
          <w:sz w:val="24"/>
          <w:szCs w:val="24"/>
          <w:lang w:val="en-GB" w:eastAsia="ro-RO"/>
        </w:rPr>
        <w:t>the contracts/frame agreements</w:t>
      </w:r>
      <w:r w:rsidRPr="0037604E">
        <w:rPr>
          <w:rFonts w:ascii="Cambria" w:eastAsia="Times New Roman" w:hAnsi="Cambria" w:cs="Times New Roman"/>
          <w:sz w:val="24"/>
          <w:szCs w:val="24"/>
          <w:lang w:val="en-GB" w:eastAsia="ro-RO"/>
        </w:rPr>
        <w:t xml:space="preserve"> that SNTGN Transgaz SA Medias intends to </w:t>
      </w:r>
      <w:r w:rsidRPr="0037604E">
        <w:rPr>
          <w:rFonts w:ascii="Cambria" w:eastAsia="Times New Roman" w:hAnsi="Cambria" w:cs="Times New Roman"/>
          <w:b/>
          <w:sz w:val="24"/>
          <w:szCs w:val="24"/>
          <w:lang w:val="en-GB" w:eastAsia="ro-RO"/>
        </w:rPr>
        <w:t>award/conclude in 2016. The procedures started in 2015</w:t>
      </w:r>
      <w:r w:rsidRPr="0037604E">
        <w:rPr>
          <w:rFonts w:ascii="Cambria" w:eastAsia="Times New Roman" w:hAnsi="Cambria" w:cs="Times New Roman"/>
          <w:sz w:val="24"/>
          <w:szCs w:val="24"/>
          <w:lang w:val="en-GB" w:eastAsia="ro-RO"/>
        </w:rPr>
        <w:t xml:space="preserve">, which by the end of the year </w:t>
      </w:r>
      <w:r w:rsidRPr="0037604E">
        <w:rPr>
          <w:rFonts w:ascii="Cambria" w:eastAsia="Times New Roman" w:hAnsi="Cambria" w:cs="Times New Roman"/>
          <w:b/>
          <w:sz w:val="24"/>
          <w:szCs w:val="24"/>
          <w:lang w:val="en-GB" w:eastAsia="ro-RO"/>
        </w:rPr>
        <w:t>were not awarded/not finalized,</w:t>
      </w:r>
      <w:r w:rsidRPr="0037604E">
        <w:rPr>
          <w:rFonts w:ascii="Cambria" w:eastAsia="Times New Roman" w:hAnsi="Cambria" w:cs="Times New Roman"/>
          <w:sz w:val="24"/>
          <w:szCs w:val="24"/>
          <w:lang w:val="en-GB" w:eastAsia="ro-RO"/>
        </w:rPr>
        <w:t xml:space="preserve"> were kept in the programme for year 2016 with the mention that they are </w:t>
      </w:r>
      <w:r w:rsidRPr="0037604E">
        <w:rPr>
          <w:rFonts w:ascii="Cambria" w:eastAsia="Times New Roman" w:hAnsi="Cambria" w:cs="Times New Roman"/>
          <w:b/>
          <w:sz w:val="24"/>
          <w:szCs w:val="24"/>
          <w:lang w:val="en-GB" w:eastAsia="ro-RO"/>
        </w:rPr>
        <w:t>under development</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The total value of the </w:t>
      </w:r>
      <w:r w:rsidRPr="0037604E">
        <w:rPr>
          <w:rFonts w:ascii="Cambria" w:eastAsia="Calibri" w:hAnsi="Cambria" w:cs="Times New Roman"/>
          <w:b/>
          <w:sz w:val="24"/>
          <w:szCs w:val="24"/>
          <w:lang w:val="en-GB" w:eastAsia="en-US"/>
        </w:rPr>
        <w:t>Annual Programme of the Sectoral Procurement for year</w:t>
      </w:r>
      <w:r w:rsidRPr="0037604E">
        <w:rPr>
          <w:rFonts w:ascii="Cambria" w:eastAsia="Times New Roman" w:hAnsi="Cambria" w:cs="Times New Roman"/>
          <w:b/>
          <w:sz w:val="24"/>
          <w:szCs w:val="24"/>
          <w:lang w:val="en-GB" w:eastAsia="ro-RO"/>
        </w:rPr>
        <w:t xml:space="preserve"> 2016,</w:t>
      </w:r>
      <w:r w:rsidRPr="0037604E">
        <w:rPr>
          <w:rFonts w:ascii="Cambria" w:eastAsia="Times New Roman" w:hAnsi="Cambria" w:cs="Times New Roman"/>
          <w:sz w:val="24"/>
          <w:szCs w:val="24"/>
          <w:lang w:val="en-GB" w:eastAsia="ro-RO"/>
        </w:rPr>
        <w:t xml:space="preserve"> approved by </w:t>
      </w:r>
      <w:r w:rsidRPr="0037604E">
        <w:rPr>
          <w:rFonts w:ascii="Cambria" w:eastAsia="Times New Roman" w:hAnsi="Cambria" w:cs="Times New Roman"/>
          <w:b/>
          <w:sz w:val="24"/>
          <w:szCs w:val="24"/>
          <w:lang w:val="en-GB" w:eastAsia="ro-RO"/>
        </w:rPr>
        <w:t>BAR no. 4/2016</w:t>
      </w:r>
      <w:r w:rsidRPr="0037604E">
        <w:rPr>
          <w:rFonts w:ascii="Cambria" w:eastAsia="Times New Roman" w:hAnsi="Cambria" w:cs="Times New Roman"/>
          <w:sz w:val="24"/>
          <w:szCs w:val="24"/>
          <w:lang w:val="en-GB" w:eastAsia="ro-RO"/>
        </w:rPr>
        <w:t xml:space="preserve"> was of </w:t>
      </w:r>
      <w:r w:rsidRPr="0037604E">
        <w:rPr>
          <w:rFonts w:asciiTheme="majorHAnsi" w:eastAsia="Times New Roman" w:hAnsiTheme="majorHAnsi" w:cs="Microsoft Sans Serif"/>
          <w:b/>
          <w:bCs/>
          <w:sz w:val="24"/>
          <w:szCs w:val="24"/>
          <w:lang w:eastAsia="en-US" w:bidi="en-US"/>
        </w:rPr>
        <w:t>RON 3.096.697.432,68</w:t>
      </w:r>
      <w:r w:rsidRPr="0037604E">
        <w:rPr>
          <w:rFonts w:asciiTheme="majorHAnsi" w:hAnsiTheme="majorHAnsi"/>
          <w:b/>
          <w:sz w:val="24"/>
        </w:rPr>
        <w:t xml:space="preserve"> </w:t>
      </w:r>
      <w:r w:rsidRPr="0037604E">
        <w:rPr>
          <w:rFonts w:ascii="Cambria" w:eastAsia="Times New Roman" w:hAnsi="Cambria" w:cs="Times New Roman"/>
          <w:b/>
          <w:sz w:val="24"/>
          <w:szCs w:val="24"/>
          <w:lang w:val="en-GB" w:eastAsia="ro-RO"/>
        </w:rPr>
        <w:t>(Euro</w:t>
      </w:r>
      <w:r w:rsidRPr="0037604E">
        <w:rPr>
          <w:rFonts w:ascii="Cambria" w:eastAsia="Times New Roman" w:hAnsi="Cambria" w:cs="Times New Roman"/>
          <w:sz w:val="24"/>
          <w:szCs w:val="24"/>
          <w:lang w:val="en-GB" w:eastAsia="ro-RO"/>
        </w:rPr>
        <w:t xml:space="preserve"> </w:t>
      </w:r>
      <w:r w:rsidRPr="0037604E">
        <w:rPr>
          <w:rFonts w:asciiTheme="majorHAnsi" w:eastAsia="Times New Roman" w:hAnsiTheme="majorHAnsi" w:cs="Microsoft Sans Serif"/>
          <w:b/>
          <w:bCs/>
          <w:sz w:val="24"/>
          <w:szCs w:val="24"/>
          <w:lang w:eastAsia="en-US" w:bidi="en-US"/>
        </w:rPr>
        <w:t>697.454.376,71</w:t>
      </w:r>
      <w:r w:rsidRPr="0037604E">
        <w:rPr>
          <w:rFonts w:ascii="Cambria" w:eastAsia="Times New Roman" w:hAnsi="Cambria" w:cs="Times New Roman"/>
          <w:b/>
          <w:sz w:val="24"/>
          <w:szCs w:val="24"/>
          <w:lang w:val="en-GB" w:eastAsia="ro-RO"/>
        </w:rPr>
        <w:t>)</w:t>
      </w:r>
      <w:r w:rsidRPr="0037604E">
        <w:rPr>
          <w:rFonts w:ascii="Cambria" w:eastAsia="Times New Roman" w:hAnsi="Cambria" w:cs="Times New Roman"/>
          <w:sz w:val="24"/>
          <w:szCs w:val="24"/>
          <w:lang w:val="en-GB" w:eastAsia="ro-RO"/>
        </w:rPr>
        <w:t xml:space="preserve"> out of which </w:t>
      </w:r>
      <w:r w:rsidRPr="0037604E">
        <w:rPr>
          <w:rFonts w:ascii="Cambria" w:eastAsia="Times New Roman" w:hAnsi="Cambria" w:cs="Times New Roman"/>
          <w:b/>
          <w:sz w:val="24"/>
          <w:szCs w:val="24"/>
          <w:lang w:val="en-GB" w:eastAsia="ro-RO"/>
        </w:rPr>
        <w:t xml:space="preserve">the estimated value of the contracts to be awarded through </w:t>
      </w:r>
      <w:r w:rsidRPr="0037604E">
        <w:rPr>
          <w:rFonts w:ascii="Cambria" w:eastAsia="Times New Roman" w:hAnsi="Cambria" w:cs="Times New Roman"/>
          <w:b/>
          <w:sz w:val="24"/>
          <w:szCs w:val="24"/>
          <w:lang w:val="en-GB" w:eastAsia="ro-RO"/>
        </w:rPr>
        <w:lastRenderedPageBreak/>
        <w:t>procurement procedures</w:t>
      </w:r>
      <w:r w:rsidRPr="0037604E">
        <w:rPr>
          <w:rFonts w:ascii="Cambria" w:eastAsia="Times New Roman" w:hAnsi="Cambria" w:cs="Times New Roman"/>
          <w:sz w:val="24"/>
          <w:szCs w:val="24"/>
          <w:lang w:val="en-GB" w:eastAsia="ro-RO"/>
        </w:rPr>
        <w:t xml:space="preserve"> based on the P.A.A.S. 2016 was of </w:t>
      </w:r>
      <w:r w:rsidRPr="0037604E">
        <w:rPr>
          <w:rFonts w:asciiTheme="majorHAnsi" w:eastAsia="Times New Roman" w:hAnsiTheme="majorHAnsi" w:cs="Times New Roman"/>
          <w:b/>
          <w:bCs/>
          <w:sz w:val="24"/>
          <w:szCs w:val="24"/>
          <w:lang w:eastAsia="en-US" w:bidi="en-US"/>
        </w:rPr>
        <w:t>RON 3.071.788.679,68</w:t>
      </w:r>
      <w:r w:rsidRPr="0037604E">
        <w:rPr>
          <w:rFonts w:asciiTheme="majorHAnsi" w:hAnsiTheme="majorHAnsi"/>
          <w:b/>
          <w:sz w:val="24"/>
        </w:rPr>
        <w:t xml:space="preserve"> </w:t>
      </w:r>
      <w:r w:rsidRPr="0037604E">
        <w:rPr>
          <w:rFonts w:ascii="Cambria" w:eastAsia="Times New Roman" w:hAnsi="Cambria" w:cs="Times New Roman"/>
          <w:b/>
          <w:sz w:val="24"/>
          <w:szCs w:val="24"/>
          <w:lang w:val="en-GB" w:eastAsia="ro-RO"/>
        </w:rPr>
        <w:t xml:space="preserve"> (Euro</w:t>
      </w:r>
      <w:r w:rsidRPr="0037604E">
        <w:rPr>
          <w:rFonts w:ascii="Cambria" w:eastAsia="Times New Roman" w:hAnsi="Cambria" w:cs="Times New Roman"/>
          <w:sz w:val="24"/>
          <w:szCs w:val="24"/>
          <w:lang w:val="en-GB" w:eastAsia="ro-RO"/>
        </w:rPr>
        <w:t xml:space="preserve"> </w:t>
      </w:r>
      <w:r w:rsidRPr="0037604E">
        <w:rPr>
          <w:rFonts w:asciiTheme="majorHAnsi" w:eastAsia="Times New Roman" w:hAnsiTheme="majorHAnsi" w:cs="Times New Roman"/>
          <w:b/>
          <w:bCs/>
          <w:sz w:val="24"/>
          <w:szCs w:val="24"/>
          <w:lang w:eastAsia="en-US" w:bidi="en-US"/>
        </w:rPr>
        <w:t>691.844.297,23</w:t>
      </w:r>
      <w:r w:rsidRPr="0037604E">
        <w:rPr>
          <w:rFonts w:ascii="Cambria" w:eastAsia="Times New Roman" w:hAnsi="Cambria" w:cs="Times New Roman"/>
          <w:b/>
          <w:sz w:val="24"/>
          <w:szCs w:val="24"/>
          <w:lang w:val="en-GB" w:eastAsia="ro-RO"/>
        </w:rPr>
        <w:t xml:space="preserve">), </w:t>
      </w:r>
      <w:r w:rsidRPr="0037604E">
        <w:rPr>
          <w:rFonts w:ascii="Cambria" w:eastAsia="Times New Roman" w:hAnsi="Cambria" w:cs="Times New Roman"/>
          <w:sz w:val="24"/>
          <w:szCs w:val="24"/>
          <w:lang w:val="en-GB" w:eastAsia="ro-RO"/>
        </w:rPr>
        <w:t xml:space="preserve">and the estimated value of </w:t>
      </w:r>
      <w:r w:rsidRPr="0037604E">
        <w:rPr>
          <w:rFonts w:ascii="Cambria" w:eastAsia="Times New Roman" w:hAnsi="Cambria" w:cs="Times New Roman"/>
          <w:b/>
          <w:sz w:val="24"/>
          <w:szCs w:val="24"/>
          <w:lang w:val="en-GB" w:eastAsia="ro-RO"/>
        </w:rPr>
        <w:t xml:space="preserve">the direct procurement </w:t>
      </w:r>
      <w:r w:rsidRPr="0037604E">
        <w:rPr>
          <w:rFonts w:ascii="Cambria" w:eastAsia="Times New Roman" w:hAnsi="Cambria" w:cs="Times New Roman"/>
          <w:sz w:val="24"/>
          <w:szCs w:val="24"/>
          <w:lang w:val="en-GB" w:eastAsia="ro-RO"/>
        </w:rPr>
        <w:t>was</w:t>
      </w:r>
      <w:r w:rsidRPr="0037604E">
        <w:rPr>
          <w:rFonts w:ascii="Cambria" w:eastAsia="Times New Roman" w:hAnsi="Cambria" w:cs="Times New Roman"/>
          <w:b/>
          <w:sz w:val="24"/>
          <w:szCs w:val="24"/>
          <w:lang w:val="en-GB" w:eastAsia="ro-RO"/>
        </w:rPr>
        <w:t xml:space="preserve"> </w:t>
      </w:r>
      <w:r w:rsidRPr="0037604E">
        <w:rPr>
          <w:rFonts w:ascii="Cambria" w:eastAsia="Times New Roman" w:hAnsi="Cambria" w:cs="Times New Roman"/>
          <w:sz w:val="24"/>
          <w:szCs w:val="24"/>
          <w:lang w:val="en-GB" w:eastAsia="ro-RO"/>
        </w:rPr>
        <w:t xml:space="preserve">of  </w:t>
      </w:r>
      <w:r w:rsidRPr="0037604E">
        <w:rPr>
          <w:rFonts w:ascii="Cambria" w:eastAsia="Times New Roman" w:hAnsi="Cambria" w:cs="Times New Roman"/>
          <w:b/>
          <w:sz w:val="24"/>
          <w:szCs w:val="24"/>
          <w:lang w:val="en-GB" w:eastAsia="ro-RO"/>
        </w:rPr>
        <w:t>RON</w:t>
      </w:r>
      <w:r w:rsidRPr="0037604E">
        <w:rPr>
          <w:rFonts w:ascii="Cambria" w:eastAsia="Times New Roman" w:hAnsi="Cambria" w:cs="Times New Roman"/>
          <w:sz w:val="24"/>
          <w:szCs w:val="24"/>
          <w:lang w:val="en-GB" w:eastAsia="ro-RO"/>
        </w:rPr>
        <w:t xml:space="preserve"> </w:t>
      </w:r>
      <w:r w:rsidRPr="0037604E">
        <w:rPr>
          <w:rFonts w:asciiTheme="majorHAnsi" w:eastAsia="Times New Roman" w:hAnsiTheme="majorHAnsi" w:cs="Microsoft Sans Serif"/>
          <w:b/>
          <w:bCs/>
          <w:sz w:val="24"/>
          <w:szCs w:val="24"/>
          <w:lang w:eastAsia="en-US" w:bidi="en-US"/>
        </w:rPr>
        <w:t>24.908.753,00</w:t>
      </w:r>
      <w:r w:rsidRPr="0037604E">
        <w:rPr>
          <w:rFonts w:asciiTheme="majorHAnsi" w:hAnsiTheme="majorHAnsi"/>
          <w:b/>
          <w:sz w:val="24"/>
        </w:rPr>
        <w:t xml:space="preserve"> </w:t>
      </w:r>
      <w:r w:rsidRPr="0037604E">
        <w:rPr>
          <w:rFonts w:ascii="Cambria" w:eastAsia="Times New Roman" w:hAnsi="Cambria" w:cs="Microsoft Sans Serif"/>
          <w:b/>
          <w:sz w:val="24"/>
          <w:szCs w:val="24"/>
          <w:lang w:val="en-GB" w:eastAsia="en-US" w:bidi="en-US"/>
        </w:rPr>
        <w:t>(</w:t>
      </w:r>
      <w:r w:rsidRPr="0037604E">
        <w:rPr>
          <w:rFonts w:ascii="Cambria" w:eastAsia="Times New Roman" w:hAnsi="Cambria" w:cs="Times New Roman"/>
          <w:b/>
          <w:sz w:val="24"/>
          <w:szCs w:val="24"/>
          <w:lang w:val="en-GB" w:eastAsia="ro-RO"/>
        </w:rPr>
        <w:t>Euro</w:t>
      </w:r>
      <w:r w:rsidRPr="0037604E">
        <w:rPr>
          <w:rFonts w:ascii="Cambria" w:eastAsia="Times New Roman" w:hAnsi="Cambria" w:cs="Microsoft Sans Serif"/>
          <w:sz w:val="24"/>
          <w:szCs w:val="24"/>
          <w:lang w:val="en-GB" w:eastAsia="en-US" w:bidi="en-US"/>
        </w:rPr>
        <w:t xml:space="preserve"> </w:t>
      </w:r>
      <w:r w:rsidRPr="0037604E">
        <w:rPr>
          <w:rFonts w:asciiTheme="majorHAnsi" w:eastAsia="Times New Roman" w:hAnsiTheme="majorHAnsi" w:cs="Microsoft Sans Serif"/>
          <w:b/>
          <w:bCs/>
          <w:sz w:val="24"/>
          <w:szCs w:val="24"/>
          <w:lang w:eastAsia="en-US" w:bidi="en-US"/>
        </w:rPr>
        <w:t>5.610.079,48</w:t>
      </w:r>
      <w:r w:rsidRPr="0037604E">
        <w:rPr>
          <w:rFonts w:ascii="Cambria" w:eastAsia="Times New Roman" w:hAnsi="Cambria" w:cs="Times New Roman"/>
          <w:b/>
          <w:sz w:val="24"/>
          <w:szCs w:val="24"/>
          <w:lang w:val="en-GB" w:eastAsia="ro-RO"/>
        </w:rPr>
        <w:t>)</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Following the 19 revisions/updates</w:t>
      </w:r>
      <w:r w:rsidRPr="0037604E">
        <w:rPr>
          <w:rFonts w:ascii="Cambria" w:eastAsia="Times New Roman" w:hAnsi="Cambria" w:cs="Times New Roman"/>
          <w:sz w:val="24"/>
          <w:szCs w:val="24"/>
          <w:lang w:val="en-GB" w:eastAsia="ro-RO"/>
        </w:rPr>
        <w:t xml:space="preserve"> of the </w:t>
      </w:r>
      <w:r w:rsidRPr="0037604E">
        <w:rPr>
          <w:rFonts w:ascii="Cambria" w:eastAsia="Calibri" w:hAnsi="Cambria" w:cs="Times New Roman"/>
          <w:sz w:val="24"/>
          <w:szCs w:val="24"/>
          <w:lang w:val="en-GB" w:eastAsia="en-US"/>
        </w:rPr>
        <w:t>Annual Programme of the Sectoral Procurement for year</w:t>
      </w:r>
      <w:r w:rsidRPr="0037604E">
        <w:rPr>
          <w:rFonts w:ascii="Cambria" w:eastAsia="Times New Roman" w:hAnsi="Cambria" w:cs="Times New Roman"/>
          <w:sz w:val="24"/>
          <w:szCs w:val="24"/>
          <w:lang w:val="en-GB" w:eastAsia="ro-RO"/>
        </w:rPr>
        <w:t xml:space="preserve"> 2016</w:t>
      </w:r>
      <w:r w:rsidRPr="0037604E">
        <w:rPr>
          <w:rFonts w:ascii="Cambria" w:eastAsia="Times New Roman" w:hAnsi="Cambria" w:cs="Times New Roman"/>
          <w:b/>
          <w:sz w:val="24"/>
          <w:szCs w:val="24"/>
          <w:lang w:val="en-GB" w:eastAsia="ro-RO"/>
        </w:rPr>
        <w:t xml:space="preserve"> </w:t>
      </w:r>
      <w:r w:rsidRPr="0037604E">
        <w:rPr>
          <w:rFonts w:ascii="Cambria" w:eastAsia="Times New Roman" w:hAnsi="Cambria" w:cs="Times New Roman"/>
          <w:sz w:val="24"/>
          <w:szCs w:val="24"/>
          <w:lang w:val="en-GB" w:eastAsia="ro-RO"/>
        </w:rPr>
        <w:t>that became necessary due to the revision of the execution programs on which is based the foundation of R.E.B</w:t>
      </w:r>
      <w:r w:rsidRPr="0037604E">
        <w:rPr>
          <w:rFonts w:ascii="Cambria" w:eastAsia="Times New Roman" w:hAnsi="Cambria" w:cs="Times New Roman"/>
          <w:b/>
          <w:sz w:val="24"/>
          <w:szCs w:val="24"/>
          <w:lang w:val="en-GB" w:eastAsia="ro-RO"/>
        </w:rPr>
        <w:t xml:space="preserve">, the total value of the </w:t>
      </w:r>
      <w:r w:rsidRPr="0037604E">
        <w:rPr>
          <w:rFonts w:ascii="Cambria" w:eastAsia="Calibri" w:hAnsi="Cambria" w:cs="Times New Roman"/>
          <w:b/>
          <w:sz w:val="24"/>
          <w:szCs w:val="24"/>
          <w:lang w:val="en-GB" w:eastAsia="en-US"/>
        </w:rPr>
        <w:t>Annual Programme of the Sectoral Procurement for year</w:t>
      </w:r>
      <w:r w:rsidRPr="0037604E">
        <w:rPr>
          <w:rFonts w:ascii="Cambria" w:eastAsia="Times New Roman" w:hAnsi="Cambria" w:cs="Times New Roman"/>
          <w:b/>
          <w:sz w:val="24"/>
          <w:szCs w:val="24"/>
          <w:lang w:val="en-GB" w:eastAsia="ro-RO"/>
        </w:rPr>
        <w:t xml:space="preserve"> 2016</w:t>
      </w:r>
      <w:r w:rsidRPr="0037604E">
        <w:rPr>
          <w:rFonts w:ascii="Cambria" w:eastAsia="Times New Roman" w:hAnsi="Cambria" w:cs="Times New Roman"/>
          <w:sz w:val="24"/>
          <w:szCs w:val="24"/>
          <w:lang w:val="en-GB" w:eastAsia="ro-RO"/>
        </w:rPr>
        <w:t xml:space="preserve"> amounted to </w:t>
      </w:r>
      <w:r w:rsidRPr="0037604E">
        <w:rPr>
          <w:rFonts w:asciiTheme="majorHAnsi" w:hAnsiTheme="majorHAnsi"/>
          <w:b/>
          <w:sz w:val="24"/>
        </w:rPr>
        <w:t>RON 1.</w:t>
      </w:r>
      <w:r w:rsidRPr="0037604E">
        <w:rPr>
          <w:rFonts w:asciiTheme="majorHAnsi" w:eastAsia="Times New Roman" w:hAnsiTheme="majorHAnsi" w:cs="Times New Roman"/>
          <w:b/>
          <w:sz w:val="24"/>
          <w:szCs w:val="24"/>
          <w:lang w:eastAsia="en-US" w:bidi="en-US"/>
        </w:rPr>
        <w:t>408.568.158,51</w:t>
      </w:r>
      <w:r w:rsidRPr="0037604E">
        <w:rPr>
          <w:rFonts w:asciiTheme="majorHAnsi" w:hAnsiTheme="majorHAnsi"/>
          <w:b/>
          <w:sz w:val="24"/>
        </w:rPr>
        <w:t xml:space="preserve"> </w:t>
      </w:r>
      <w:r w:rsidRPr="0037604E">
        <w:rPr>
          <w:rFonts w:asciiTheme="majorHAnsi" w:hAnsiTheme="majorHAnsi"/>
          <w:b/>
          <w:sz w:val="24"/>
          <w:lang w:val="ro-RO"/>
        </w:rPr>
        <w:t>(the euro</w:t>
      </w:r>
      <w:r w:rsidRPr="0037604E">
        <w:rPr>
          <w:rFonts w:asciiTheme="majorHAnsi" w:eastAsia="Times New Roman" w:hAnsiTheme="majorHAnsi" w:cs="Times New Roman"/>
          <w:b/>
          <w:sz w:val="24"/>
          <w:szCs w:val="24"/>
          <w:lang w:eastAsia="en-US" w:bidi="en-US"/>
        </w:rPr>
        <w:t xml:space="preserve"> </w:t>
      </w:r>
      <w:r w:rsidRPr="0037604E">
        <w:rPr>
          <w:rFonts w:asciiTheme="majorHAnsi" w:hAnsiTheme="majorHAnsi"/>
          <w:b/>
          <w:sz w:val="24"/>
          <w:lang w:val="ro-RO"/>
        </w:rPr>
        <w:t xml:space="preserve">equivalent of </w:t>
      </w:r>
      <w:r w:rsidRPr="0037604E">
        <w:rPr>
          <w:rFonts w:asciiTheme="majorHAnsi" w:eastAsia="Times New Roman" w:hAnsiTheme="majorHAnsi" w:cs="Times New Roman"/>
          <w:b/>
          <w:sz w:val="24"/>
          <w:szCs w:val="24"/>
          <w:lang w:eastAsia="en-US" w:bidi="en-US"/>
        </w:rPr>
        <w:t>317.245.080,75</w:t>
      </w:r>
      <w:r w:rsidRPr="0037604E">
        <w:rPr>
          <w:rFonts w:asciiTheme="majorHAnsi" w:eastAsia="Times New Roman" w:hAnsiTheme="majorHAnsi" w:cs="Times New Roman"/>
          <w:b/>
          <w:sz w:val="24"/>
          <w:szCs w:val="24"/>
          <w:lang w:val="ro-RO" w:eastAsia="en-US" w:bidi="en-US"/>
        </w:rPr>
        <w:t>, 4,44</w:t>
      </w:r>
      <w:r w:rsidRPr="0037604E">
        <w:rPr>
          <w:rFonts w:asciiTheme="majorHAnsi" w:hAnsiTheme="majorHAnsi"/>
          <w:b/>
          <w:sz w:val="24"/>
          <w:lang w:val="ro-RO"/>
        </w:rPr>
        <w:t xml:space="preserve"> RON</w:t>
      </w:r>
      <w:r w:rsidRPr="0037604E">
        <w:rPr>
          <w:rFonts w:asciiTheme="majorHAnsi" w:eastAsia="Times New Roman" w:hAnsiTheme="majorHAnsi" w:cs="Times New Roman"/>
          <w:b/>
          <w:sz w:val="24"/>
          <w:szCs w:val="24"/>
          <w:lang w:val="ro-RO" w:eastAsia="en-US" w:bidi="en-US"/>
        </w:rPr>
        <w:t>/</w:t>
      </w:r>
      <w:r w:rsidRPr="0037604E">
        <w:rPr>
          <w:rFonts w:asciiTheme="majorHAnsi" w:hAnsiTheme="majorHAnsi"/>
          <w:b/>
          <w:sz w:val="24"/>
          <w:lang w:val="ro-RO"/>
        </w:rPr>
        <w:t>Euro</w:t>
      </w:r>
      <w:r w:rsidRPr="0037604E">
        <w:rPr>
          <w:rFonts w:asciiTheme="majorHAnsi" w:eastAsia="Times New Roman" w:hAnsiTheme="majorHAnsi" w:cs="Times New Roman"/>
          <w:b/>
          <w:sz w:val="24"/>
          <w:szCs w:val="24"/>
          <w:lang w:val="ro-RO" w:eastAsia="en-US" w:bidi="en-US"/>
        </w:rPr>
        <w:t xml:space="preserve"> average exchange rate)</w:t>
      </w:r>
      <w:r w:rsidRPr="0037604E">
        <w:rPr>
          <w:rFonts w:asciiTheme="majorHAnsi" w:eastAsia="Times New Roman" w:hAnsiTheme="majorHAnsi" w:cs="Times New Roman"/>
          <w:sz w:val="24"/>
          <w:szCs w:val="24"/>
          <w:lang w:val="ro-RO" w:eastAsia="en-US" w:bidi="en-US"/>
        </w:rPr>
        <w:t xml:space="preserve">. </w:t>
      </w: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b/>
          <w:sz w:val="24"/>
          <w:szCs w:val="24"/>
          <w:u w:val="single"/>
          <w:lang w:val="en-GB" w:eastAsia="en-US"/>
        </w:rPr>
      </w:pP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b/>
          <w:sz w:val="24"/>
          <w:szCs w:val="24"/>
          <w:u w:val="single"/>
          <w:lang w:val="en-GB" w:eastAsia="en-US"/>
        </w:rPr>
      </w:pPr>
      <w:r w:rsidRPr="0037604E">
        <w:rPr>
          <w:rFonts w:ascii="Cambria" w:eastAsia="Calibri" w:hAnsi="Cambria" w:cs="Times New Roman"/>
          <w:b/>
          <w:sz w:val="24"/>
          <w:szCs w:val="24"/>
          <w:u w:val="single"/>
          <w:lang w:val="en-GB" w:eastAsia="en-US"/>
        </w:rPr>
        <w:t xml:space="preserve">PROCUREMENT PROCEDURES: </w:t>
      </w: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b/>
          <w:sz w:val="24"/>
          <w:szCs w:val="24"/>
          <w:u w:val="single"/>
          <w:lang w:val="en-GB" w:eastAsia="en-US"/>
        </w:rPr>
      </w:pP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Based on the provisions of the P.A.A.S. 2016 (procedures section, updated) respectively from </w:t>
      </w:r>
      <w:r w:rsidRPr="0037604E">
        <w:rPr>
          <w:rFonts w:ascii="Cambria" w:eastAsia="Calibri" w:hAnsi="Cambria" w:cs="Times New Roman"/>
          <w:b/>
          <w:sz w:val="24"/>
          <w:szCs w:val="24"/>
          <w:lang w:val="en-GB" w:eastAsia="en-US"/>
        </w:rPr>
        <w:t>473 active positions</w:t>
      </w:r>
      <w:r w:rsidRPr="0037604E">
        <w:rPr>
          <w:rFonts w:ascii="Cambria" w:eastAsia="Calibri" w:hAnsi="Cambria" w:cs="Times New Roman"/>
          <w:sz w:val="24"/>
          <w:szCs w:val="24"/>
          <w:lang w:val="en-GB" w:eastAsia="en-US"/>
        </w:rPr>
        <w:t xml:space="preserve"> (less the relocated ones, but including the new entries), upon the requests of the interested departments/directions/services </w:t>
      </w:r>
      <w:r w:rsidRPr="0037604E">
        <w:rPr>
          <w:rFonts w:ascii="Cambria" w:eastAsia="Calibri" w:hAnsi="Cambria" w:cs="Times New Roman"/>
          <w:b/>
          <w:sz w:val="24"/>
          <w:szCs w:val="24"/>
          <w:lang w:val="en-GB" w:eastAsia="en-US"/>
        </w:rPr>
        <w:t>243 procedures were initiated out of which 166 were finalized</w:t>
      </w:r>
      <w:r w:rsidRPr="0037604E">
        <w:rPr>
          <w:rFonts w:ascii="Cambria" w:eastAsia="Calibri" w:hAnsi="Cambria" w:cs="Times New Roman"/>
          <w:sz w:val="24"/>
          <w:szCs w:val="24"/>
          <w:lang w:val="en-GB" w:eastAsia="en-US"/>
        </w:rPr>
        <w:t>,</w:t>
      </w:r>
      <w:r w:rsidRPr="0037604E">
        <w:rPr>
          <w:rFonts w:ascii="Cambria" w:eastAsia="Calibri" w:hAnsi="Cambria" w:cs="Times New Roman"/>
          <w:b/>
          <w:sz w:val="24"/>
          <w:szCs w:val="24"/>
          <w:lang w:val="en-GB" w:eastAsia="en-US"/>
        </w:rPr>
        <w:t xml:space="preserve"> </w:t>
      </w:r>
      <w:r w:rsidRPr="0037604E">
        <w:rPr>
          <w:rFonts w:ascii="Cambria" w:eastAsia="Calibri" w:hAnsi="Cambria" w:cs="Times New Roman"/>
          <w:sz w:val="24"/>
          <w:szCs w:val="24"/>
          <w:lang w:val="en-GB" w:eastAsia="en-US"/>
        </w:rPr>
        <w:t xml:space="preserve">77 procedures are in progress, in different stages. </w:t>
      </w: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hAnsi="Cambria"/>
          <w:b/>
          <w:sz w:val="24"/>
          <w:lang w:val="en-GB"/>
        </w:rPr>
      </w:pPr>
      <w:r w:rsidRPr="0037604E">
        <w:rPr>
          <w:rFonts w:ascii="Cambria" w:eastAsia="Times New Roman" w:hAnsi="Cambria" w:cs="Times New Roman"/>
          <w:sz w:val="24"/>
          <w:szCs w:val="24"/>
          <w:lang w:val="en-GB" w:eastAsia="en-US" w:bidi="en-US"/>
        </w:rPr>
        <w:t xml:space="preserve">Additionally 30 procedure have not been initiated and have documentation at  DAPC,  </w:t>
      </w:r>
      <w:r w:rsidRPr="0037604E">
        <w:rPr>
          <w:rFonts w:ascii="Cambria" w:eastAsia="Times New Roman" w:hAnsi="Cambria" w:cs="Times New Roman"/>
          <w:b/>
          <w:sz w:val="24"/>
          <w:szCs w:val="24"/>
          <w:lang w:val="en-GB" w:eastAsia="en-US" w:bidi="en-US"/>
        </w:rPr>
        <w:t>and up to the total of the active positions</w:t>
      </w:r>
      <w:r w:rsidRPr="0037604E">
        <w:rPr>
          <w:rFonts w:ascii="Cambria" w:eastAsia="Times New Roman" w:hAnsi="Cambria" w:cs="Times New Roman"/>
          <w:sz w:val="24"/>
          <w:szCs w:val="24"/>
          <w:lang w:val="en-GB" w:eastAsia="en-US" w:bidi="en-US"/>
        </w:rPr>
        <w:t xml:space="preserve"> </w:t>
      </w:r>
      <w:r w:rsidRPr="0037604E">
        <w:rPr>
          <w:rFonts w:ascii="Cambria" w:eastAsia="Times New Roman" w:hAnsi="Cambria" w:cs="Times New Roman"/>
          <w:b/>
          <w:sz w:val="24"/>
          <w:szCs w:val="24"/>
          <w:lang w:val="en-GB" w:eastAsia="en-US" w:bidi="en-US"/>
        </w:rPr>
        <w:t xml:space="preserve">in the programme a number of 200 positions are not requested by divisions/units/services </w:t>
      </w:r>
      <w:r w:rsidRPr="0037604E">
        <w:rPr>
          <w:rFonts w:ascii="Cambria" w:eastAsia="Times New Roman" w:hAnsi="Cambria" w:cs="Times New Roman"/>
          <w:sz w:val="24"/>
          <w:szCs w:val="24"/>
          <w:lang w:val="en-GB" w:eastAsia="en-US" w:bidi="en-US"/>
        </w:rPr>
        <w:t>(representing</w:t>
      </w:r>
      <w:r w:rsidRPr="0037604E">
        <w:rPr>
          <w:rFonts w:ascii="Cambria" w:eastAsia="Times New Roman" w:hAnsi="Cambria" w:cs="Times New Roman"/>
          <w:b/>
          <w:sz w:val="24"/>
          <w:szCs w:val="24"/>
          <w:lang w:val="en-GB" w:eastAsia="en-US" w:bidi="en-US"/>
        </w:rPr>
        <w:t xml:space="preserve"> 42,28</w:t>
      </w:r>
      <w:r w:rsidRPr="0037604E">
        <w:rPr>
          <w:rFonts w:ascii="Cambria" w:eastAsia="Times New Roman" w:hAnsi="Cambria" w:cs="Calibri"/>
          <w:sz w:val="24"/>
          <w:szCs w:val="24"/>
          <w:lang w:val="en-GB" w:eastAsia="en-US" w:bidi="en-US"/>
        </w:rPr>
        <w:t>%</w:t>
      </w:r>
      <w:r w:rsidRPr="0037604E">
        <w:rPr>
          <w:rFonts w:ascii="Cambria" w:eastAsia="Times New Roman" w:hAnsi="Cambria" w:cs="Calibri"/>
          <w:sz w:val="24"/>
          <w:szCs w:val="24"/>
          <w:lang w:val="en-GB" w:eastAsia="ro-RO"/>
        </w:rPr>
        <w:t xml:space="preserve">).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 xml:space="preserve">From a physical point of view </w:t>
      </w:r>
      <w:r w:rsidRPr="0037604E">
        <w:rPr>
          <w:rFonts w:ascii="Cambria" w:eastAsia="Calibri" w:hAnsi="Cambria" w:cs="Times New Roman"/>
          <w:sz w:val="24"/>
          <w:szCs w:val="24"/>
          <w:lang w:val="en-GB" w:eastAsia="en-US"/>
        </w:rPr>
        <w:t xml:space="preserve">of the total number of procedures stipulated in the updated P.A.A.S., </w:t>
      </w:r>
      <w:r w:rsidRPr="0037604E">
        <w:rPr>
          <w:rFonts w:ascii="Cambria" w:eastAsia="Calibri" w:hAnsi="Cambria" w:cs="Times New Roman"/>
          <w:b/>
          <w:sz w:val="24"/>
          <w:szCs w:val="24"/>
          <w:lang w:val="en-GB" w:eastAsia="en-US"/>
        </w:rPr>
        <w:t xml:space="preserve">the execution percentage is of </w:t>
      </w:r>
      <w:r w:rsidRPr="0037604E">
        <w:rPr>
          <w:rFonts w:ascii="Cambria" w:eastAsia="Times New Roman" w:hAnsi="Cambria" w:cs="Calibri"/>
          <w:b/>
          <w:sz w:val="24"/>
          <w:szCs w:val="24"/>
          <w:lang w:val="en-GB" w:eastAsia="en-US" w:bidi="en-US"/>
        </w:rPr>
        <w:t>35,10%</w:t>
      </w:r>
      <w:r w:rsidRPr="0037604E">
        <w:rPr>
          <w:rFonts w:ascii="Cambria" w:eastAsia="Calibri" w:hAnsi="Cambria" w:cs="Times New Roman"/>
          <w:b/>
          <w:color w:val="000000"/>
          <w:sz w:val="24"/>
          <w:szCs w:val="24"/>
          <w:lang w:val="en-GB" w:eastAsia="en-US"/>
        </w:rPr>
        <w:t>%,</w:t>
      </w:r>
      <w:r w:rsidRPr="0037604E">
        <w:rPr>
          <w:rFonts w:ascii="Cambria" w:eastAsia="Calibri" w:hAnsi="Cambria" w:cs="Times New Roman"/>
          <w:color w:val="000000"/>
          <w:sz w:val="24"/>
          <w:szCs w:val="24"/>
          <w:lang w:val="en-GB" w:eastAsia="en-US"/>
        </w:rPr>
        <w:t xml:space="preserve"> </w:t>
      </w:r>
      <w:r w:rsidRPr="0037604E">
        <w:rPr>
          <w:rFonts w:ascii="Cambria" w:eastAsia="Calibri" w:hAnsi="Cambria" w:cs="Times New Roman"/>
          <w:sz w:val="24"/>
          <w:szCs w:val="24"/>
          <w:lang w:val="en-GB" w:eastAsia="en-US"/>
        </w:rPr>
        <w:t xml:space="preserve">and </w:t>
      </w:r>
      <w:r w:rsidRPr="0037604E">
        <w:rPr>
          <w:rFonts w:ascii="Cambria" w:eastAsia="Calibri" w:hAnsi="Cambria" w:cs="Times New Roman"/>
          <w:b/>
          <w:sz w:val="24"/>
          <w:szCs w:val="24"/>
          <w:lang w:val="en-GB" w:eastAsia="en-US"/>
        </w:rPr>
        <w:t xml:space="preserve">from the value point of view the execution degree is of </w:t>
      </w:r>
      <w:r w:rsidRPr="0037604E">
        <w:rPr>
          <w:rFonts w:ascii="Cambria" w:eastAsia="Times New Roman" w:hAnsi="Cambria" w:cs="Calibri"/>
          <w:sz w:val="24"/>
          <w:szCs w:val="24"/>
          <w:lang w:val="en-GB" w:eastAsia="ro-RO" w:bidi="en-US"/>
        </w:rPr>
        <w:t xml:space="preserve">20,07% </w:t>
      </w:r>
      <w:r w:rsidRPr="0037604E">
        <w:rPr>
          <w:rFonts w:ascii="Cambria" w:eastAsia="Times New Roman" w:hAnsi="Cambria" w:cs="Calibri"/>
          <w:sz w:val="24"/>
          <w:szCs w:val="24"/>
          <w:lang w:val="en-GB" w:eastAsia="ro-RO"/>
        </w:rPr>
        <w:t xml:space="preserve">(achieved </w:t>
      </w:r>
      <w:r w:rsidRPr="0037604E">
        <w:rPr>
          <w:rFonts w:ascii="Cambria" w:eastAsia="Times New Roman" w:hAnsi="Cambria" w:cs="Times New Roman"/>
          <w:sz w:val="24"/>
          <w:szCs w:val="24"/>
          <w:lang w:val="en-GB" w:eastAsia="en-US" w:bidi="en-US"/>
        </w:rPr>
        <w:t xml:space="preserve">value reported to the total estimated value). </w:t>
      </w:r>
      <w:r w:rsidRPr="0037604E">
        <w:rPr>
          <w:rFonts w:ascii="Cambria" w:eastAsia="Calibri" w:hAnsi="Cambria" w:cs="Times New Roman"/>
          <w:sz w:val="24"/>
          <w:szCs w:val="24"/>
          <w:lang w:val="en-GB" w:eastAsia="en-US"/>
        </w:rPr>
        <w:t>In percentage, the 30 procedures not initiated and under development represent 6,34</w:t>
      </w:r>
      <w:r w:rsidRPr="0037604E">
        <w:rPr>
          <w:rFonts w:ascii="Cambria" w:eastAsia="Calibri" w:hAnsi="Cambria" w:cs="Times New Roman"/>
          <w:color w:val="000000"/>
          <w:sz w:val="24"/>
          <w:szCs w:val="24"/>
          <w:lang w:val="en-GB" w:eastAsia="en-US"/>
        </w:rPr>
        <w:t xml:space="preserve"> % </w:t>
      </w:r>
      <w:r w:rsidRPr="0037604E">
        <w:rPr>
          <w:rFonts w:ascii="Cambria" w:eastAsia="Calibri" w:hAnsi="Cambria" w:cs="Times New Roman"/>
          <w:sz w:val="24"/>
          <w:szCs w:val="24"/>
          <w:lang w:val="en-GB" w:eastAsia="en-US"/>
        </w:rPr>
        <w:t xml:space="preserve">from the total positions in the plan. </w:t>
      </w: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situation of the execution of the procurement procedures is as follows:</w:t>
      </w:r>
    </w:p>
    <w:tbl>
      <w:tblPr>
        <w:tblW w:w="8991" w:type="dxa"/>
        <w:tblCellSpacing w:w="20" w:type="dxa"/>
        <w:tblInd w:w="-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019"/>
        <w:gridCol w:w="1873"/>
        <w:gridCol w:w="3129"/>
      </w:tblGrid>
      <w:tr w:rsidR="0037604E" w:rsidRPr="0037604E" w:rsidTr="0037604E">
        <w:trPr>
          <w:trHeight w:val="265"/>
          <w:tblCellSpacing w:w="20" w:type="dxa"/>
        </w:trPr>
        <w:tc>
          <w:tcPr>
            <w:tcW w:w="8911" w:type="dxa"/>
            <w:gridSpan w:val="3"/>
            <w:shd w:val="clear" w:color="auto" w:fill="D6E0F4"/>
            <w:noWrap/>
            <w:vAlign w:val="center"/>
            <w:hideMark/>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b/>
                <w:bCs/>
                <w:sz w:val="20"/>
                <w:szCs w:val="20"/>
                <w:lang w:val="en-GB" w:eastAsia="ro-RO"/>
              </w:rPr>
              <w:t>Procedures summary (physical)</w:t>
            </w:r>
          </w:p>
        </w:tc>
      </w:tr>
      <w:tr w:rsidR="0037604E" w:rsidRPr="0037604E" w:rsidTr="0037604E">
        <w:trPr>
          <w:trHeight w:val="353"/>
          <w:tblCellSpacing w:w="20" w:type="dxa"/>
        </w:trPr>
        <w:tc>
          <w:tcPr>
            <w:tcW w:w="3949" w:type="dxa"/>
            <w:shd w:val="clear" w:color="auto" w:fill="auto"/>
            <w:vAlign w:val="bottom"/>
            <w:hideMark/>
          </w:tcPr>
          <w:p w:rsidR="0037604E" w:rsidRPr="0037604E" w:rsidRDefault="0037604E" w:rsidP="0037604E">
            <w:pPr>
              <w:spacing w:after="0" w:line="240" w:lineRule="auto"/>
              <w:ind w:firstLine="0"/>
              <w:jc w:val="both"/>
              <w:rPr>
                <w:rFonts w:ascii="Cambria" w:eastAsia="Times New Roman" w:hAnsi="Cambria" w:cs="Times New Roman"/>
                <w:b/>
                <w:bCs/>
                <w:color w:val="000000"/>
                <w:sz w:val="20"/>
                <w:szCs w:val="20"/>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color w:val="000000"/>
                <w:sz w:val="20"/>
                <w:szCs w:val="20"/>
                <w:lang w:val="en-GB" w:eastAsia="ro-RO"/>
              </w:rPr>
            </w:pPr>
            <w:r w:rsidRPr="0037604E">
              <w:rPr>
                <w:rFonts w:ascii="Cambria" w:eastAsia="Times New Roman" w:hAnsi="Cambria" w:cs="Times New Roman"/>
                <w:b/>
                <w:bCs/>
                <w:sz w:val="20"/>
                <w:szCs w:val="20"/>
                <w:lang w:val="en-GB" w:eastAsia="ro-RO"/>
              </w:rPr>
              <w:t>Total positions at 31.12.2016, of which:</w:t>
            </w:r>
          </w:p>
        </w:tc>
        <w:tc>
          <w:tcPr>
            <w:tcW w:w="1823" w:type="dxa"/>
            <w:shd w:val="clear" w:color="auto" w:fill="auto"/>
            <w:noWrap/>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20"/>
                <w:szCs w:val="20"/>
                <w:lang w:val="en-GB" w:eastAsia="ro-RO"/>
              </w:rPr>
            </w:pPr>
            <w:r w:rsidRPr="0037604E">
              <w:rPr>
                <w:rFonts w:asciiTheme="majorHAnsi" w:eastAsia="Times New Roman" w:hAnsiTheme="majorHAnsi" w:cs="Times New Roman"/>
                <w:b/>
                <w:bCs/>
                <w:sz w:val="20"/>
                <w:szCs w:val="20"/>
                <w:lang w:val="ro-RO" w:eastAsia="ro-RO"/>
              </w:rPr>
              <w:t>473</w:t>
            </w:r>
          </w:p>
        </w:tc>
        <w:tc>
          <w:tcPr>
            <w:tcW w:w="3059" w:type="dxa"/>
            <w:shd w:val="clear" w:color="auto" w:fill="auto"/>
            <w:noWrap/>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 xml:space="preserve">% </w:t>
            </w:r>
            <w:r w:rsidRPr="0037604E">
              <w:rPr>
                <w:rFonts w:ascii="Cambria" w:eastAsia="Times New Roman" w:hAnsi="Cambria" w:cs="Times New Roman"/>
                <w:color w:val="000000"/>
                <w:sz w:val="20"/>
                <w:szCs w:val="20"/>
                <w:lang w:val="en-GB" w:eastAsia="ro-RO"/>
              </w:rPr>
              <w:t>achievement from P.A.A.S (procedures sections)</w:t>
            </w:r>
          </w:p>
        </w:tc>
      </w:tr>
      <w:tr w:rsidR="0037604E" w:rsidRPr="0037604E" w:rsidTr="0037604E">
        <w:trPr>
          <w:trHeight w:val="164"/>
          <w:tblCellSpacing w:w="20" w:type="dxa"/>
        </w:trPr>
        <w:tc>
          <w:tcPr>
            <w:tcW w:w="3949"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started</w:t>
            </w:r>
          </w:p>
        </w:tc>
        <w:tc>
          <w:tcPr>
            <w:tcW w:w="1823"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77</w:t>
            </w:r>
          </w:p>
        </w:tc>
        <w:tc>
          <w:tcPr>
            <w:tcW w:w="3059"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16,28%</w:t>
            </w:r>
          </w:p>
        </w:tc>
      </w:tr>
      <w:tr w:rsidR="0037604E" w:rsidRPr="0037604E" w:rsidTr="0037604E">
        <w:trPr>
          <w:trHeight w:val="182"/>
          <w:tblCellSpacing w:w="20" w:type="dxa"/>
        </w:trPr>
        <w:tc>
          <w:tcPr>
            <w:tcW w:w="3949"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executed</w:t>
            </w:r>
          </w:p>
        </w:tc>
        <w:tc>
          <w:tcPr>
            <w:tcW w:w="1823"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166</w:t>
            </w:r>
          </w:p>
        </w:tc>
        <w:tc>
          <w:tcPr>
            <w:tcW w:w="3059"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35,10%</w:t>
            </w:r>
          </w:p>
        </w:tc>
      </w:tr>
      <w:tr w:rsidR="0037604E" w:rsidRPr="0037604E" w:rsidTr="0037604E">
        <w:trPr>
          <w:trHeight w:val="218"/>
          <w:tblCellSpacing w:w="20" w:type="dxa"/>
        </w:trPr>
        <w:tc>
          <w:tcPr>
            <w:tcW w:w="3949"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xml:space="preserve">- not started </w:t>
            </w:r>
          </w:p>
        </w:tc>
        <w:tc>
          <w:tcPr>
            <w:tcW w:w="1823"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30</w:t>
            </w:r>
          </w:p>
        </w:tc>
        <w:tc>
          <w:tcPr>
            <w:tcW w:w="3059"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6,34%</w:t>
            </w:r>
          </w:p>
        </w:tc>
      </w:tr>
      <w:tr w:rsidR="0037604E" w:rsidRPr="0037604E" w:rsidTr="0037604E">
        <w:trPr>
          <w:trHeight w:val="218"/>
          <w:tblCellSpacing w:w="20" w:type="dxa"/>
        </w:trPr>
        <w:tc>
          <w:tcPr>
            <w:tcW w:w="3949" w:type="dxa"/>
            <w:shd w:val="clear" w:color="auto" w:fill="auto"/>
            <w:noWrap/>
            <w:vAlign w:val="bottom"/>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requested</w:t>
            </w:r>
          </w:p>
        </w:tc>
        <w:tc>
          <w:tcPr>
            <w:tcW w:w="1823" w:type="dxa"/>
            <w:shd w:val="clear" w:color="auto" w:fill="auto"/>
            <w:noWrap/>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200</w:t>
            </w:r>
          </w:p>
        </w:tc>
        <w:tc>
          <w:tcPr>
            <w:tcW w:w="3059" w:type="dxa"/>
            <w:shd w:val="clear" w:color="auto" w:fill="auto"/>
            <w:noWrap/>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42,28%</w:t>
            </w:r>
          </w:p>
        </w:tc>
      </w:tr>
    </w:tbl>
    <w:p w:rsidR="0037604E" w:rsidRPr="0037604E" w:rsidRDefault="0037604E" w:rsidP="0037604E">
      <w:pPr>
        <w:snapToGrid w:val="0"/>
        <w:spacing w:after="0" w:line="240" w:lineRule="auto"/>
        <w:ind w:firstLine="0"/>
        <w:jc w:val="both"/>
        <w:rPr>
          <w:rFonts w:ascii="Cambria" w:eastAsia="Calibri" w:hAnsi="Cambria" w:cs="Times New Roman"/>
          <w:b/>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color w:val="FF0000"/>
          <w:sz w:val="24"/>
          <w:szCs w:val="24"/>
          <w:lang w:val="en-GB" w:eastAsia="en-US"/>
        </w:rPr>
      </w:pPr>
    </w:p>
    <w:p w:rsidR="0037604E" w:rsidRPr="0037604E" w:rsidRDefault="0037604E" w:rsidP="0037604E">
      <w:pPr>
        <w:snapToGrid w:val="0"/>
        <w:spacing w:after="0" w:line="240" w:lineRule="auto"/>
        <w:ind w:firstLine="0"/>
        <w:jc w:val="center"/>
        <w:rPr>
          <w:rFonts w:ascii="Cambria" w:eastAsia="Calibri" w:hAnsi="Cambria" w:cs="Times New Roman"/>
          <w:color w:val="000000"/>
          <w:sz w:val="24"/>
          <w:szCs w:val="24"/>
          <w:lang w:val="en-GB" w:eastAsia="en-US"/>
        </w:rPr>
      </w:pPr>
      <w:r w:rsidRPr="0037604E">
        <w:rPr>
          <w:noProof/>
          <w:lang w:val="ro-RO" w:eastAsia="ro-RO"/>
        </w:rPr>
        <w:lastRenderedPageBreak/>
        <w:drawing>
          <wp:inline distT="0" distB="0" distL="0" distR="0" wp14:anchorId="2A3CB352" wp14:editId="75B80EFA">
            <wp:extent cx="3733800" cy="2371725"/>
            <wp:effectExtent l="0" t="0" r="0" b="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7604E" w:rsidRPr="0037604E" w:rsidRDefault="0037604E" w:rsidP="0037604E">
      <w:pPr>
        <w:snapToGrid w:val="0"/>
        <w:spacing w:after="0" w:line="240" w:lineRule="auto"/>
        <w:ind w:firstLine="0"/>
        <w:rPr>
          <w:rFonts w:ascii="Cambria" w:eastAsia="Times New Roman" w:hAnsi="Cambria" w:cs="Times New Roman"/>
          <w:b/>
          <w:i/>
          <w:color w:val="000000"/>
          <w:sz w:val="16"/>
          <w:szCs w:val="16"/>
          <w:lang w:val="en-GB" w:eastAsia="ro-RO"/>
        </w:rPr>
      </w:pPr>
      <w:r w:rsidRPr="0037604E">
        <w:rPr>
          <w:rFonts w:ascii="Cambria" w:eastAsia="Times New Roman" w:hAnsi="Cambria" w:cs="Times New Roman"/>
          <w:b/>
          <w:i/>
          <w:color w:val="000000"/>
          <w:sz w:val="16"/>
          <w:szCs w:val="16"/>
          <w:lang w:val="en-GB" w:eastAsia="ro-RO"/>
        </w:rPr>
        <w:t xml:space="preserve">                                                                                 Chart 40 – Procurement procedures status - 2016</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tbl>
      <w:tblPr>
        <w:tblW w:w="4904" w:type="pct"/>
        <w:tblCellSpacing w:w="20" w:type="dxa"/>
        <w:tblInd w:w="15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3713"/>
        <w:gridCol w:w="2196"/>
        <w:gridCol w:w="2939"/>
      </w:tblGrid>
      <w:tr w:rsidR="0037604E" w:rsidRPr="0037604E" w:rsidTr="0037604E">
        <w:trPr>
          <w:trHeight w:val="315"/>
          <w:tblCellSpacing w:w="20" w:type="dxa"/>
        </w:trPr>
        <w:tc>
          <w:tcPr>
            <w:tcW w:w="4956" w:type="pct"/>
            <w:gridSpan w:val="3"/>
            <w:shd w:val="clear" w:color="auto" w:fill="D1DEEE" w:themeFill="accent2" w:themeFillTint="33"/>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b/>
                <w:bCs/>
                <w:sz w:val="20"/>
                <w:szCs w:val="20"/>
                <w:lang w:val="en-GB" w:eastAsia="ro-RO"/>
              </w:rPr>
              <w:t>Procedures summary (value)-RON</w:t>
            </w:r>
          </w:p>
        </w:tc>
      </w:tr>
      <w:tr w:rsidR="0037604E" w:rsidRPr="0037604E" w:rsidTr="0037604E">
        <w:trPr>
          <w:trHeight w:val="690"/>
          <w:tblCellSpacing w:w="20" w:type="dxa"/>
        </w:trPr>
        <w:tc>
          <w:tcPr>
            <w:tcW w:w="2084" w:type="pct"/>
            <w:shd w:val="clear" w:color="auto" w:fill="auto"/>
            <w:vAlign w:val="bottom"/>
            <w:hideMark/>
          </w:tcPr>
          <w:p w:rsidR="0037604E" w:rsidRPr="0037604E" w:rsidRDefault="0037604E" w:rsidP="0037604E">
            <w:pPr>
              <w:spacing w:after="0" w:line="240" w:lineRule="auto"/>
              <w:ind w:firstLine="0"/>
              <w:jc w:val="both"/>
              <w:rPr>
                <w:rFonts w:ascii="Cambria" w:eastAsia="Times New Roman" w:hAnsi="Cambria" w:cs="Times New Roman"/>
                <w:b/>
                <w:bCs/>
                <w:color w:val="000000"/>
                <w:sz w:val="20"/>
                <w:szCs w:val="20"/>
                <w:lang w:val="en-GB" w:eastAsia="ro-RO"/>
              </w:rPr>
            </w:pPr>
            <w:r w:rsidRPr="0037604E">
              <w:rPr>
                <w:rFonts w:ascii="Cambria" w:eastAsia="Times New Roman" w:hAnsi="Cambria" w:cs="Times New Roman"/>
                <w:b/>
                <w:bCs/>
                <w:sz w:val="20"/>
                <w:szCs w:val="20"/>
                <w:lang w:val="en-GB" w:eastAsia="ro-RO"/>
              </w:rPr>
              <w:t>Total value at 31.12.2016, of which:</w:t>
            </w:r>
          </w:p>
        </w:tc>
        <w:tc>
          <w:tcPr>
            <w:tcW w:w="1230"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1.379.050.096,77</w:t>
            </w:r>
          </w:p>
        </w:tc>
        <w:tc>
          <w:tcPr>
            <w:tcW w:w="1599"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P.A.A.S % achievement (procedures sections)</w:t>
            </w:r>
          </w:p>
        </w:tc>
      </w:tr>
      <w:tr w:rsidR="0037604E" w:rsidRPr="0037604E" w:rsidTr="0037604E">
        <w:trPr>
          <w:trHeight w:val="330"/>
          <w:tblCellSpacing w:w="20" w:type="dxa"/>
        </w:trPr>
        <w:tc>
          <w:tcPr>
            <w:tcW w:w="2084"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started</w:t>
            </w:r>
          </w:p>
        </w:tc>
        <w:tc>
          <w:tcPr>
            <w:tcW w:w="1230"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158.056.964,14</w:t>
            </w:r>
          </w:p>
        </w:tc>
        <w:tc>
          <w:tcPr>
            <w:tcW w:w="159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11,46%</w:t>
            </w:r>
          </w:p>
        </w:tc>
      </w:tr>
      <w:tr w:rsidR="0037604E" w:rsidRPr="0037604E" w:rsidTr="0037604E">
        <w:trPr>
          <w:trHeight w:val="330"/>
          <w:tblCellSpacing w:w="20" w:type="dxa"/>
        </w:trPr>
        <w:tc>
          <w:tcPr>
            <w:tcW w:w="2084"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xml:space="preserve">-achieved </w:t>
            </w:r>
          </w:p>
        </w:tc>
        <w:tc>
          <w:tcPr>
            <w:tcW w:w="1230"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276.805.571,68</w:t>
            </w:r>
          </w:p>
        </w:tc>
        <w:tc>
          <w:tcPr>
            <w:tcW w:w="159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20,07%</w:t>
            </w:r>
          </w:p>
        </w:tc>
      </w:tr>
      <w:tr w:rsidR="0037604E" w:rsidRPr="0037604E" w:rsidTr="0037604E">
        <w:trPr>
          <w:trHeight w:val="330"/>
          <w:tblCellSpacing w:w="20" w:type="dxa"/>
        </w:trPr>
        <w:tc>
          <w:tcPr>
            <w:tcW w:w="2084"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started (under development DAPC)</w:t>
            </w:r>
          </w:p>
        </w:tc>
        <w:tc>
          <w:tcPr>
            <w:tcW w:w="1230"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77.909.472,90</w:t>
            </w:r>
          </w:p>
        </w:tc>
        <w:tc>
          <w:tcPr>
            <w:tcW w:w="159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5,65%</w:t>
            </w:r>
          </w:p>
        </w:tc>
      </w:tr>
      <w:tr w:rsidR="0037604E" w:rsidRPr="0037604E" w:rsidTr="0037604E">
        <w:trPr>
          <w:trHeight w:val="330"/>
          <w:tblCellSpacing w:w="20" w:type="dxa"/>
        </w:trPr>
        <w:tc>
          <w:tcPr>
            <w:tcW w:w="2084"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requested</w:t>
            </w:r>
          </w:p>
        </w:tc>
        <w:tc>
          <w:tcPr>
            <w:tcW w:w="1230"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739.526.728,13</w:t>
            </w:r>
          </w:p>
        </w:tc>
        <w:tc>
          <w:tcPr>
            <w:tcW w:w="159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53,63%</w:t>
            </w:r>
          </w:p>
        </w:tc>
      </w:tr>
    </w:tbl>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i/>
          <w:sz w:val="18"/>
          <w:szCs w:val="18"/>
          <w:lang w:val="en-GB" w:eastAsia="en-US"/>
        </w:rPr>
      </w:pPr>
      <w:r w:rsidRPr="0037604E">
        <w:rPr>
          <w:rFonts w:ascii="Cambria" w:eastAsia="Calibri" w:hAnsi="Cambria" w:cs="Times New Roman"/>
          <w:i/>
          <w:sz w:val="18"/>
          <w:szCs w:val="18"/>
          <w:lang w:val="en-GB" w:eastAsia="en-US"/>
        </w:rPr>
        <w:t>NOTE: The percentage for the executed procedures represents the final realized value reported to the total estimated value; and for the started, but not finished ones and for the not started ones represents their estimated value reported to the total estimated value (this is why the amount of the</w:t>
      </w:r>
      <w:r w:rsidR="00D21737">
        <w:rPr>
          <w:rFonts w:ascii="Cambria" w:eastAsia="Calibri" w:hAnsi="Cambria" w:cs="Times New Roman"/>
          <w:i/>
          <w:sz w:val="18"/>
          <w:szCs w:val="18"/>
          <w:lang w:val="en-GB" w:eastAsia="en-US"/>
        </w:rPr>
        <w:t xml:space="preserve"> percentages is less than 100% </w:t>
      </w:r>
      <w:r w:rsidRPr="0037604E">
        <w:rPr>
          <w:rFonts w:ascii="Cambria" w:eastAsia="Calibri" w:hAnsi="Cambria" w:cs="Times New Roman"/>
          <w:i/>
          <w:sz w:val="18"/>
          <w:szCs w:val="18"/>
          <w:lang w:val="en-GB" w:eastAsia="en-US"/>
        </w:rPr>
        <w:t>related to the value differences between the estimated values and the awarded ones)</w:t>
      </w: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For the 166 positions from </w:t>
      </w:r>
      <w:r w:rsidRPr="0037604E">
        <w:rPr>
          <w:rFonts w:ascii="Cambria" w:eastAsia="Calibri" w:hAnsi="Cambria" w:cs="Times New Roman"/>
          <w:color w:val="000000"/>
          <w:sz w:val="24"/>
          <w:szCs w:val="24"/>
          <w:lang w:val="en-GB" w:eastAsia="en-US"/>
        </w:rPr>
        <w:t>PAAS, procedures section, the situation of the achievements as compared to the estimated ones is as follows:</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tbl>
      <w:tblPr>
        <w:tblStyle w:val="TableGrid21"/>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100"/>
        <w:gridCol w:w="2619"/>
        <w:gridCol w:w="2312"/>
        <w:gridCol w:w="1990"/>
      </w:tblGrid>
      <w:tr w:rsidR="0037604E" w:rsidRPr="0037604E" w:rsidTr="0037604E">
        <w:trPr>
          <w:tblCellSpacing w:w="20" w:type="dxa"/>
        </w:trPr>
        <w:tc>
          <w:tcPr>
            <w:tcW w:w="2040" w:type="dxa"/>
            <w:shd w:val="clear" w:color="auto" w:fill="D1DEEE" w:themeFill="accent2" w:themeFillTint="33"/>
          </w:tcPr>
          <w:p w:rsidR="0037604E" w:rsidRPr="0037604E" w:rsidRDefault="0037604E" w:rsidP="0037604E">
            <w:pPr>
              <w:snapToGrid w:val="0"/>
              <w:spacing w:after="0" w:line="240" w:lineRule="auto"/>
              <w:ind w:firstLine="0"/>
              <w:jc w:val="center"/>
              <w:rPr>
                <w:rFonts w:ascii="Cambria" w:eastAsia="Calibri" w:hAnsi="Cambria" w:cs="Times New Roman"/>
                <w:b/>
                <w:color w:val="000000"/>
                <w:sz w:val="20"/>
                <w:szCs w:val="20"/>
                <w:lang w:val="en-GB"/>
              </w:rPr>
            </w:pPr>
            <w:r w:rsidRPr="0037604E">
              <w:rPr>
                <w:rFonts w:ascii="Cambria" w:eastAsia="Calibri" w:hAnsi="Cambria" w:cs="Times New Roman"/>
                <w:b/>
                <w:color w:val="000000"/>
                <w:sz w:val="20"/>
                <w:szCs w:val="20"/>
                <w:lang w:val="en-GB"/>
              </w:rPr>
              <w:t>No. of PAAS positions</w:t>
            </w:r>
          </w:p>
        </w:tc>
        <w:tc>
          <w:tcPr>
            <w:tcW w:w="2579" w:type="dxa"/>
            <w:shd w:val="clear" w:color="auto" w:fill="D1DEEE" w:themeFill="accent2" w:themeFillTint="33"/>
          </w:tcPr>
          <w:p w:rsidR="0037604E" w:rsidRPr="0037604E" w:rsidRDefault="0037604E" w:rsidP="0037604E">
            <w:pPr>
              <w:snapToGrid w:val="0"/>
              <w:spacing w:after="0" w:line="240" w:lineRule="auto"/>
              <w:jc w:val="center"/>
              <w:rPr>
                <w:rFonts w:ascii="Cambria" w:eastAsia="Calibri" w:hAnsi="Cambria" w:cs="Times New Roman"/>
                <w:b/>
                <w:color w:val="000000"/>
                <w:sz w:val="20"/>
                <w:szCs w:val="20"/>
                <w:lang w:val="en-GB"/>
              </w:rPr>
            </w:pPr>
            <w:r w:rsidRPr="0037604E">
              <w:rPr>
                <w:rFonts w:ascii="Cambria" w:eastAsia="Calibri" w:hAnsi="Cambria" w:cs="Times New Roman"/>
                <w:b/>
                <w:color w:val="000000"/>
                <w:sz w:val="20"/>
                <w:szCs w:val="20"/>
                <w:lang w:val="en-GB"/>
              </w:rPr>
              <w:t>Estimated value</w:t>
            </w:r>
          </w:p>
        </w:tc>
        <w:tc>
          <w:tcPr>
            <w:tcW w:w="2272" w:type="dxa"/>
            <w:shd w:val="clear" w:color="auto" w:fill="D1DEEE" w:themeFill="accent2" w:themeFillTint="33"/>
          </w:tcPr>
          <w:p w:rsidR="0037604E" w:rsidRPr="0037604E" w:rsidRDefault="0037604E" w:rsidP="0037604E">
            <w:pPr>
              <w:snapToGrid w:val="0"/>
              <w:spacing w:after="0" w:line="240" w:lineRule="auto"/>
              <w:rPr>
                <w:rFonts w:ascii="Cambria" w:eastAsia="Calibri" w:hAnsi="Cambria" w:cs="Times New Roman"/>
                <w:b/>
                <w:color w:val="000000"/>
                <w:sz w:val="20"/>
                <w:szCs w:val="20"/>
                <w:lang w:val="en-GB"/>
              </w:rPr>
            </w:pPr>
            <w:r w:rsidRPr="0037604E">
              <w:rPr>
                <w:rFonts w:ascii="Cambria" w:eastAsia="Calibri" w:hAnsi="Cambria" w:cs="Times New Roman"/>
                <w:b/>
                <w:color w:val="000000"/>
                <w:sz w:val="20"/>
                <w:szCs w:val="20"/>
                <w:lang w:val="en-GB"/>
              </w:rPr>
              <w:t>Achieved value</w:t>
            </w:r>
          </w:p>
        </w:tc>
        <w:tc>
          <w:tcPr>
            <w:tcW w:w="1930" w:type="dxa"/>
            <w:shd w:val="clear" w:color="auto" w:fill="D1DEEE" w:themeFill="accent2" w:themeFillTint="33"/>
          </w:tcPr>
          <w:p w:rsidR="0037604E" w:rsidRPr="0037604E" w:rsidRDefault="0037604E" w:rsidP="0037604E">
            <w:pPr>
              <w:snapToGrid w:val="0"/>
              <w:spacing w:after="0" w:line="240" w:lineRule="auto"/>
              <w:jc w:val="center"/>
              <w:rPr>
                <w:rFonts w:ascii="Cambria" w:eastAsia="Calibri" w:hAnsi="Cambria" w:cs="Times New Roman"/>
                <w:b/>
                <w:color w:val="000000"/>
                <w:sz w:val="20"/>
                <w:szCs w:val="20"/>
                <w:lang w:val="en-GB"/>
              </w:rPr>
            </w:pPr>
            <w:r w:rsidRPr="0037604E">
              <w:rPr>
                <w:rFonts w:ascii="Cambria" w:eastAsia="Calibri" w:hAnsi="Cambria" w:cs="Times New Roman"/>
                <w:b/>
                <w:color w:val="000000"/>
                <w:sz w:val="20"/>
                <w:szCs w:val="20"/>
                <w:lang w:val="en-GB"/>
              </w:rPr>
              <w:t>%</w:t>
            </w:r>
          </w:p>
        </w:tc>
      </w:tr>
      <w:tr w:rsidR="0037604E" w:rsidRPr="0037604E" w:rsidTr="0037604E">
        <w:trPr>
          <w:tblCellSpacing w:w="20" w:type="dxa"/>
        </w:trPr>
        <w:tc>
          <w:tcPr>
            <w:tcW w:w="2040" w:type="dxa"/>
            <w:vAlign w:val="center"/>
          </w:tcPr>
          <w:p w:rsidR="0037604E" w:rsidRPr="0037604E" w:rsidRDefault="0037604E" w:rsidP="0037604E">
            <w:pPr>
              <w:spacing w:after="0" w:line="240" w:lineRule="auto"/>
              <w:ind w:firstLine="0"/>
              <w:jc w:val="center"/>
              <w:rPr>
                <w:rFonts w:ascii="Cambria" w:hAnsi="Cambria" w:cs="Times New Roman"/>
                <w:sz w:val="20"/>
                <w:szCs w:val="20"/>
                <w:lang w:val="en-GB" w:eastAsia="ro-RO"/>
              </w:rPr>
            </w:pPr>
            <w:r w:rsidRPr="0037604E">
              <w:rPr>
                <w:rFonts w:ascii="Cambria" w:hAnsi="Cambria" w:cs="Times New Roman"/>
                <w:sz w:val="20"/>
                <w:szCs w:val="20"/>
                <w:lang w:val="en-GB" w:eastAsia="ro-RO"/>
              </w:rPr>
              <w:t>166</w:t>
            </w:r>
          </w:p>
        </w:tc>
        <w:tc>
          <w:tcPr>
            <w:tcW w:w="2579"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403.556.931,60</w:t>
            </w:r>
          </w:p>
        </w:tc>
        <w:tc>
          <w:tcPr>
            <w:tcW w:w="2272"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276.805.571,68</w:t>
            </w:r>
          </w:p>
        </w:tc>
        <w:tc>
          <w:tcPr>
            <w:tcW w:w="19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68,59</w:t>
            </w:r>
          </w:p>
        </w:tc>
      </w:tr>
    </w:tbl>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b/>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 xml:space="preserve">The total situation of the concluded contracts </w:t>
      </w:r>
      <w:r w:rsidRPr="0037604E">
        <w:rPr>
          <w:rFonts w:ascii="Cambria" w:eastAsia="Calibri" w:hAnsi="Cambria" w:cs="Times New Roman"/>
          <w:sz w:val="24"/>
          <w:szCs w:val="24"/>
          <w:lang w:val="en-GB" w:eastAsia="en-US"/>
        </w:rPr>
        <w:t>(including, as well, the subsequent contracts granted based on the frame agreements) is briefly presented in the next table:</w:t>
      </w: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tbl>
      <w:tblPr>
        <w:tblW w:w="5288" w:type="pct"/>
        <w:tblCellSpacing w:w="20" w:type="dxa"/>
        <w:tblInd w:w="-207"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1337"/>
        <w:gridCol w:w="1700"/>
        <w:gridCol w:w="1135"/>
        <w:gridCol w:w="960"/>
        <w:gridCol w:w="1449"/>
        <w:gridCol w:w="1419"/>
        <w:gridCol w:w="1541"/>
      </w:tblGrid>
      <w:tr w:rsidR="0037604E" w:rsidRPr="0037604E" w:rsidTr="0037604E">
        <w:trPr>
          <w:trHeight w:val="1012"/>
          <w:tblCellSpacing w:w="20" w:type="dxa"/>
        </w:trPr>
        <w:tc>
          <w:tcPr>
            <w:tcW w:w="670" w:type="pct"/>
            <w:vMerge w:val="restart"/>
            <w:shd w:val="clear" w:color="auto" w:fill="D6E0F4"/>
            <w:vAlign w:val="center"/>
            <w:hideMark/>
          </w:tcPr>
          <w:p w:rsidR="0037604E" w:rsidRPr="0037604E" w:rsidRDefault="0037604E" w:rsidP="0037604E">
            <w:pPr>
              <w:spacing w:after="0" w:line="240" w:lineRule="auto"/>
              <w:ind w:firstLine="0"/>
              <w:jc w:val="both"/>
              <w:rPr>
                <w:rFonts w:ascii="Cambria" w:eastAsia="Times New Roman" w:hAnsi="Cambria" w:cs="Times New Roman"/>
                <w:b/>
                <w:bCs/>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Contract type</w:t>
            </w:r>
          </w:p>
        </w:tc>
        <w:tc>
          <w:tcPr>
            <w:tcW w:w="871"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Total value of the contracts</w:t>
            </w:r>
          </w:p>
        </w:tc>
        <w:tc>
          <w:tcPr>
            <w:tcW w:w="575"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Number of granted contracts/</w:t>
            </w:r>
          </w:p>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frame agreements</w:t>
            </w:r>
          </w:p>
        </w:tc>
        <w:tc>
          <w:tcPr>
            <w:tcW w:w="483"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Of which, no. of subsequent contracts</w:t>
            </w:r>
          </w:p>
        </w:tc>
        <w:tc>
          <w:tcPr>
            <w:tcW w:w="739"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Value of the subsequent contracts</w:t>
            </w:r>
          </w:p>
        </w:tc>
        <w:tc>
          <w:tcPr>
            <w:tcW w:w="724" w:type="pct"/>
            <w:shd w:val="clear" w:color="auto" w:fill="D6E0F4"/>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Value procurement not included in the PAAP</w:t>
            </w:r>
          </w:p>
        </w:tc>
        <w:tc>
          <w:tcPr>
            <w:tcW w:w="777"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PAAS results value</w:t>
            </w:r>
          </w:p>
        </w:tc>
      </w:tr>
      <w:tr w:rsidR="0037604E" w:rsidRPr="0037604E" w:rsidTr="0037604E">
        <w:trPr>
          <w:trHeight w:val="198"/>
          <w:tblCellSpacing w:w="20" w:type="dxa"/>
        </w:trPr>
        <w:tc>
          <w:tcPr>
            <w:tcW w:w="670" w:type="pct"/>
            <w:vMerge/>
            <w:shd w:val="clear" w:color="auto" w:fill="F2F2F2"/>
            <w:vAlign w:val="center"/>
            <w:hideMark/>
          </w:tcPr>
          <w:p w:rsidR="0037604E" w:rsidRPr="0037604E" w:rsidRDefault="0037604E" w:rsidP="0037604E">
            <w:pPr>
              <w:spacing w:after="0" w:line="240" w:lineRule="auto"/>
              <w:ind w:firstLine="0"/>
              <w:jc w:val="both"/>
              <w:rPr>
                <w:rFonts w:ascii="Cambria" w:eastAsia="Times New Roman" w:hAnsi="Cambria" w:cs="Times New Roman"/>
                <w:b/>
                <w:bCs/>
                <w:sz w:val="16"/>
                <w:szCs w:val="16"/>
                <w:lang w:val="en-GB" w:eastAsia="ro-RO"/>
              </w:rPr>
            </w:pPr>
          </w:p>
        </w:tc>
        <w:tc>
          <w:tcPr>
            <w:tcW w:w="871"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r w:rsidRPr="0037604E">
              <w:rPr>
                <w:rFonts w:ascii="Cambria" w:eastAsia="Times New Roman" w:hAnsi="Cambria" w:cs="Times New Roman"/>
                <w:sz w:val="12"/>
                <w:szCs w:val="12"/>
                <w:lang w:val="en-GB" w:eastAsia="ro-RO"/>
              </w:rPr>
              <w:t>(RON without VAT)</w:t>
            </w:r>
          </w:p>
        </w:tc>
        <w:tc>
          <w:tcPr>
            <w:tcW w:w="575" w:type="pct"/>
            <w:shd w:val="clear" w:color="auto" w:fill="D6E0F4"/>
            <w:vAlign w:val="bottom"/>
            <w:hideMark/>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p>
        </w:tc>
        <w:tc>
          <w:tcPr>
            <w:tcW w:w="483" w:type="pct"/>
            <w:shd w:val="clear" w:color="auto" w:fill="D6E0F4"/>
            <w:vAlign w:val="bottom"/>
            <w:hideMark/>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p>
        </w:tc>
        <w:tc>
          <w:tcPr>
            <w:tcW w:w="739"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r w:rsidRPr="0037604E">
              <w:rPr>
                <w:rFonts w:ascii="Cambria" w:eastAsia="Times New Roman" w:hAnsi="Cambria" w:cs="Times New Roman"/>
                <w:sz w:val="12"/>
                <w:szCs w:val="12"/>
                <w:lang w:val="en-GB" w:eastAsia="ro-RO"/>
              </w:rPr>
              <w:t>(RON without VAT)</w:t>
            </w:r>
          </w:p>
        </w:tc>
        <w:tc>
          <w:tcPr>
            <w:tcW w:w="724" w:type="pct"/>
            <w:shd w:val="clear" w:color="auto" w:fill="D6E0F4"/>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r w:rsidRPr="0037604E">
              <w:rPr>
                <w:rFonts w:ascii="Cambria" w:eastAsia="Times New Roman" w:hAnsi="Cambria" w:cs="Times New Roman"/>
                <w:sz w:val="12"/>
                <w:szCs w:val="12"/>
                <w:lang w:val="en-GB" w:eastAsia="ro-RO"/>
              </w:rPr>
              <w:t>(RON without VAT)</w:t>
            </w:r>
          </w:p>
        </w:tc>
        <w:tc>
          <w:tcPr>
            <w:tcW w:w="777"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sz w:val="12"/>
                <w:szCs w:val="12"/>
                <w:lang w:val="en-GB" w:eastAsia="ro-RO"/>
              </w:rPr>
            </w:pPr>
            <w:r w:rsidRPr="0037604E">
              <w:rPr>
                <w:rFonts w:ascii="Cambria" w:eastAsia="Times New Roman" w:hAnsi="Cambria" w:cs="Times New Roman"/>
                <w:sz w:val="12"/>
                <w:szCs w:val="12"/>
                <w:lang w:val="en-GB" w:eastAsia="ro-RO"/>
              </w:rPr>
              <w:t>(RON without VAT)</w:t>
            </w:r>
          </w:p>
        </w:tc>
      </w:tr>
      <w:tr w:rsidR="0037604E" w:rsidRPr="0037604E" w:rsidTr="0037604E">
        <w:trPr>
          <w:trHeight w:val="421"/>
          <w:tblCellSpacing w:w="20" w:type="dxa"/>
        </w:trPr>
        <w:tc>
          <w:tcPr>
            <w:tcW w:w="670" w:type="pct"/>
            <w:shd w:val="clear" w:color="auto" w:fill="auto"/>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 xml:space="preserve">Works contracts </w:t>
            </w:r>
          </w:p>
        </w:tc>
        <w:tc>
          <w:tcPr>
            <w:tcW w:w="871" w:type="pct"/>
            <w:shd w:val="clear" w:color="auto" w:fill="auto"/>
            <w:vAlign w:val="center"/>
            <w:hideMark/>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47.141.546,52</w:t>
            </w:r>
          </w:p>
        </w:tc>
        <w:tc>
          <w:tcPr>
            <w:tcW w:w="575"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25</w:t>
            </w:r>
          </w:p>
        </w:tc>
        <w:tc>
          <w:tcPr>
            <w:tcW w:w="48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1</w:t>
            </w:r>
          </w:p>
        </w:tc>
        <w:tc>
          <w:tcPr>
            <w:tcW w:w="73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280.398,29</w:t>
            </w:r>
          </w:p>
        </w:tc>
        <w:tc>
          <w:tcPr>
            <w:tcW w:w="724" w:type="pct"/>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0,00</w:t>
            </w:r>
          </w:p>
        </w:tc>
        <w:tc>
          <w:tcPr>
            <w:tcW w:w="777"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46.861.148,23</w:t>
            </w:r>
          </w:p>
        </w:tc>
      </w:tr>
      <w:tr w:rsidR="0037604E" w:rsidRPr="0037604E" w:rsidTr="0037604E">
        <w:trPr>
          <w:trHeight w:val="394"/>
          <w:tblCellSpacing w:w="20" w:type="dxa"/>
        </w:trPr>
        <w:tc>
          <w:tcPr>
            <w:tcW w:w="670" w:type="pct"/>
            <w:shd w:val="clear" w:color="auto" w:fill="auto"/>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Services contracts*</w:t>
            </w:r>
          </w:p>
        </w:tc>
        <w:tc>
          <w:tcPr>
            <w:tcW w:w="871" w:type="pct"/>
            <w:shd w:val="clear" w:color="auto" w:fill="auto"/>
            <w:vAlign w:val="center"/>
            <w:hideMark/>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97.171.142,58</w:t>
            </w:r>
          </w:p>
        </w:tc>
        <w:tc>
          <w:tcPr>
            <w:tcW w:w="575"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190</w:t>
            </w:r>
          </w:p>
        </w:tc>
        <w:tc>
          <w:tcPr>
            <w:tcW w:w="48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86</w:t>
            </w:r>
          </w:p>
        </w:tc>
        <w:tc>
          <w:tcPr>
            <w:tcW w:w="73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26.434.584,13</w:t>
            </w:r>
          </w:p>
        </w:tc>
        <w:tc>
          <w:tcPr>
            <w:tcW w:w="724" w:type="pct"/>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0,00</w:t>
            </w:r>
          </w:p>
        </w:tc>
        <w:tc>
          <w:tcPr>
            <w:tcW w:w="777"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70.736.558,45</w:t>
            </w:r>
          </w:p>
        </w:tc>
      </w:tr>
      <w:tr w:rsidR="0037604E" w:rsidRPr="0037604E" w:rsidTr="0037604E">
        <w:trPr>
          <w:trHeight w:val="403"/>
          <w:tblCellSpacing w:w="20" w:type="dxa"/>
        </w:trPr>
        <w:tc>
          <w:tcPr>
            <w:tcW w:w="670" w:type="pct"/>
            <w:shd w:val="clear" w:color="auto" w:fill="auto"/>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 xml:space="preserve">Products contracts </w:t>
            </w:r>
          </w:p>
        </w:tc>
        <w:tc>
          <w:tcPr>
            <w:tcW w:w="871" w:type="pct"/>
            <w:shd w:val="clear" w:color="auto" w:fill="auto"/>
            <w:vAlign w:val="center"/>
            <w:hideMark/>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168.188.332,96</w:t>
            </w:r>
          </w:p>
        </w:tc>
        <w:tc>
          <w:tcPr>
            <w:tcW w:w="575"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88</w:t>
            </w:r>
          </w:p>
        </w:tc>
        <w:tc>
          <w:tcPr>
            <w:tcW w:w="48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4</w:t>
            </w:r>
          </w:p>
        </w:tc>
        <w:tc>
          <w:tcPr>
            <w:tcW w:w="73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8.790.882,96</w:t>
            </w:r>
          </w:p>
        </w:tc>
        <w:tc>
          <w:tcPr>
            <w:tcW w:w="724" w:type="pct"/>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189.585,00</w:t>
            </w:r>
          </w:p>
        </w:tc>
        <w:tc>
          <w:tcPr>
            <w:tcW w:w="777"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8"/>
                <w:szCs w:val="18"/>
                <w:lang w:eastAsia="en-US"/>
              </w:rPr>
            </w:pPr>
            <w:r w:rsidRPr="0037604E">
              <w:rPr>
                <w:rFonts w:asciiTheme="majorHAnsi" w:eastAsia="Calibri" w:hAnsiTheme="majorHAnsi" w:cs="DokChampa"/>
                <w:sz w:val="18"/>
                <w:szCs w:val="18"/>
                <w:lang w:eastAsia="en-US"/>
              </w:rPr>
              <w:t>159.207.865,00</w:t>
            </w:r>
          </w:p>
        </w:tc>
      </w:tr>
      <w:tr w:rsidR="0037604E" w:rsidRPr="0037604E" w:rsidTr="0037604E">
        <w:trPr>
          <w:trHeight w:val="508"/>
          <w:tblCellSpacing w:w="20" w:type="dxa"/>
        </w:trPr>
        <w:tc>
          <w:tcPr>
            <w:tcW w:w="670" w:type="pct"/>
            <w:shd w:val="clear" w:color="auto" w:fill="D6E0F4"/>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lastRenderedPageBreak/>
              <w:t>TOTAL CONTRACTS</w:t>
            </w:r>
          </w:p>
        </w:tc>
        <w:tc>
          <w:tcPr>
            <w:tcW w:w="871" w:type="pct"/>
            <w:shd w:val="clear" w:color="auto" w:fill="D6E0F4"/>
            <w:vAlign w:val="center"/>
            <w:hideMark/>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312.501.022,06</w:t>
            </w:r>
          </w:p>
        </w:tc>
        <w:tc>
          <w:tcPr>
            <w:tcW w:w="575"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303</w:t>
            </w:r>
          </w:p>
        </w:tc>
        <w:tc>
          <w:tcPr>
            <w:tcW w:w="483"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91</w:t>
            </w:r>
          </w:p>
        </w:tc>
        <w:tc>
          <w:tcPr>
            <w:tcW w:w="739"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35.505.865,38</w:t>
            </w:r>
          </w:p>
        </w:tc>
        <w:tc>
          <w:tcPr>
            <w:tcW w:w="724"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189.585,00</w:t>
            </w:r>
          </w:p>
        </w:tc>
        <w:tc>
          <w:tcPr>
            <w:tcW w:w="777"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sz w:val="18"/>
                <w:szCs w:val="18"/>
                <w:lang w:eastAsia="en-US"/>
              </w:rPr>
            </w:pPr>
            <w:r w:rsidRPr="0037604E">
              <w:rPr>
                <w:rFonts w:asciiTheme="majorHAnsi" w:eastAsia="Calibri" w:hAnsiTheme="majorHAnsi" w:cs="DokChampa"/>
                <w:b/>
                <w:sz w:val="18"/>
                <w:szCs w:val="18"/>
                <w:lang w:eastAsia="en-US"/>
              </w:rPr>
              <w:t>276.805.571,68</w:t>
            </w:r>
          </w:p>
        </w:tc>
      </w:tr>
    </w:tbl>
    <w:p w:rsidR="0037604E" w:rsidRPr="0037604E" w:rsidRDefault="0037604E" w:rsidP="0037604E">
      <w:pPr>
        <w:snapToGrid w:val="0"/>
        <w:spacing w:after="0" w:line="240" w:lineRule="auto"/>
        <w:ind w:firstLine="0"/>
        <w:jc w:val="center"/>
        <w:rPr>
          <w:rFonts w:ascii="Cambria" w:eastAsia="Calibri" w:hAnsi="Cambria" w:cs="Times New Roman"/>
          <w:b/>
          <w:i/>
          <w:color w:val="000000"/>
          <w:sz w:val="16"/>
          <w:szCs w:val="16"/>
          <w:lang w:val="en-GB" w:eastAsia="en-US"/>
        </w:rPr>
      </w:pPr>
    </w:p>
    <w:p w:rsidR="0037604E" w:rsidRPr="0037604E" w:rsidRDefault="0037604E" w:rsidP="0037604E">
      <w:pPr>
        <w:snapToGrid w:val="0"/>
        <w:spacing w:after="0" w:line="240" w:lineRule="auto"/>
        <w:ind w:firstLine="0"/>
        <w:jc w:val="center"/>
        <w:rPr>
          <w:rFonts w:ascii="Cambria" w:eastAsia="Times New Roman" w:hAnsi="Cambria" w:cs="Times New Roman"/>
          <w:b/>
          <w:bCs/>
          <w:i/>
          <w:color w:val="000000"/>
          <w:sz w:val="16"/>
          <w:szCs w:val="16"/>
          <w:lang w:val="en-GB" w:eastAsia="ro-RO"/>
        </w:rPr>
      </w:pPr>
      <w:r w:rsidRPr="0037604E">
        <w:rPr>
          <w:rFonts w:ascii="Cambria" w:eastAsia="Calibri" w:hAnsi="Cambria" w:cs="Times New Roman"/>
          <w:b/>
          <w:i/>
          <w:color w:val="000000"/>
          <w:sz w:val="16"/>
          <w:szCs w:val="16"/>
          <w:lang w:val="en-GB" w:eastAsia="en-US"/>
        </w:rPr>
        <w:t>Table 29-</w:t>
      </w:r>
      <w:r w:rsidRPr="0037604E">
        <w:rPr>
          <w:rFonts w:ascii="Cambria" w:eastAsia="Times New Roman" w:hAnsi="Cambria" w:cs="Times New Roman"/>
          <w:b/>
          <w:bCs/>
          <w:i/>
          <w:color w:val="000000"/>
          <w:sz w:val="16"/>
          <w:szCs w:val="16"/>
          <w:lang w:val="en-GB" w:eastAsia="ro-RO"/>
        </w:rPr>
        <w:t xml:space="preserve"> </w:t>
      </w:r>
      <w:r w:rsidRPr="0037604E">
        <w:rPr>
          <w:rFonts w:ascii="Cambria" w:eastAsia="Times New Roman" w:hAnsi="Cambria" w:cs="Times New Roman"/>
          <w:b/>
          <w:bCs/>
          <w:i/>
          <w:sz w:val="16"/>
          <w:szCs w:val="16"/>
          <w:lang w:val="en-GB" w:eastAsia="ro-RO"/>
        </w:rPr>
        <w:t xml:space="preserve">Situation of the contracts concluded </w:t>
      </w:r>
      <w:r w:rsidRPr="0037604E">
        <w:rPr>
          <w:rFonts w:ascii="Cambria" w:eastAsia="Times New Roman" w:hAnsi="Cambria" w:cs="Times New Roman"/>
          <w:b/>
          <w:bCs/>
          <w:i/>
          <w:color w:val="000000"/>
          <w:sz w:val="16"/>
          <w:szCs w:val="16"/>
          <w:lang w:val="en-GB" w:eastAsia="ro-RO"/>
        </w:rPr>
        <w:t>by procurement procedure in 2016</w:t>
      </w: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D21737"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b/>
          <w:sz w:val="24"/>
          <w:szCs w:val="24"/>
          <w:u w:val="single"/>
          <w:lang w:val="en-GB" w:eastAsia="en-US"/>
        </w:rPr>
      </w:pPr>
      <w:r>
        <w:rPr>
          <w:rFonts w:ascii="Cambria" w:eastAsia="Calibri" w:hAnsi="Cambria" w:cs="Times New Roman"/>
          <w:b/>
          <w:sz w:val="24"/>
          <w:szCs w:val="24"/>
          <w:u w:val="single"/>
          <w:lang w:val="en-GB" w:eastAsia="en-US"/>
        </w:rPr>
        <w:t xml:space="preserve">DIRECT </w:t>
      </w:r>
      <w:r w:rsidR="0037604E" w:rsidRPr="0037604E">
        <w:rPr>
          <w:rFonts w:ascii="Cambria" w:eastAsia="Times New Roman" w:hAnsi="Cambria" w:cs="Times New Roman"/>
          <w:b/>
          <w:bCs/>
          <w:sz w:val="24"/>
          <w:szCs w:val="24"/>
          <w:u w:val="single"/>
          <w:lang w:val="en-GB" w:eastAsia="ro-RO"/>
        </w:rPr>
        <w:t>PROCUREMENTS</w:t>
      </w:r>
      <w:r w:rsidR="0037604E" w:rsidRPr="0037604E">
        <w:rPr>
          <w:rFonts w:ascii="Cambria" w:eastAsia="Calibri" w:hAnsi="Cambria" w:cs="Times New Roman"/>
          <w:b/>
          <w:sz w:val="24"/>
          <w:szCs w:val="24"/>
          <w:u w:val="single"/>
          <w:lang w:val="en-GB" w:eastAsia="en-US"/>
        </w:rPr>
        <w:t>:</w:t>
      </w:r>
    </w:p>
    <w:p w:rsidR="0037604E" w:rsidRPr="0037604E" w:rsidRDefault="0037604E" w:rsidP="0037604E">
      <w:pPr>
        <w:tabs>
          <w:tab w:val="decimal" w:pos="0"/>
        </w:tabs>
        <w:overflowPunct w:val="0"/>
        <w:autoSpaceDE w:val="0"/>
        <w:autoSpaceDN w:val="0"/>
        <w:adjustRightInd w:val="0"/>
        <w:spacing w:after="0" w:line="240" w:lineRule="auto"/>
        <w:ind w:firstLine="0"/>
        <w:jc w:val="both"/>
        <w:rPr>
          <w:rFonts w:ascii="Cambria" w:eastAsia="Calibri" w:hAnsi="Cambria" w:cs="Times New Roman"/>
          <w:b/>
          <w:sz w:val="24"/>
          <w:szCs w:val="24"/>
          <w:u w:val="single"/>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Based on the provisions in P.A.A.S. updated, namely out of </w:t>
      </w:r>
      <w:r w:rsidRPr="0037604E">
        <w:rPr>
          <w:rFonts w:ascii="Cambria" w:eastAsia="Calibri" w:hAnsi="Cambria" w:cs="Times New Roman"/>
          <w:b/>
          <w:sz w:val="24"/>
          <w:szCs w:val="24"/>
          <w:lang w:val="en-GB" w:eastAsia="en-US"/>
        </w:rPr>
        <w:t>551 active positions</w:t>
      </w:r>
      <w:r w:rsidRPr="0037604E">
        <w:rPr>
          <w:rFonts w:ascii="Cambria" w:eastAsia="Calibri" w:hAnsi="Cambria" w:cs="Times New Roman"/>
          <w:sz w:val="24"/>
          <w:szCs w:val="24"/>
          <w:lang w:val="en-GB" w:eastAsia="en-US"/>
        </w:rPr>
        <w:t xml:space="preserve"> (less the relocated ones, but including the new entries) and upon the requests of the interested divisions/units/department </w:t>
      </w:r>
      <w:r w:rsidRPr="0037604E">
        <w:rPr>
          <w:rFonts w:ascii="Cambria" w:eastAsia="Calibri" w:hAnsi="Cambria" w:cs="Times New Roman"/>
          <w:b/>
          <w:sz w:val="24"/>
          <w:szCs w:val="24"/>
          <w:lang w:val="en-GB" w:eastAsia="en-US"/>
        </w:rPr>
        <w:t xml:space="preserve">452 direct </w:t>
      </w:r>
      <w:r w:rsidRPr="0037604E">
        <w:rPr>
          <w:rFonts w:ascii="Cambria" w:eastAsia="Times New Roman" w:hAnsi="Cambria" w:cs="Times New Roman"/>
          <w:b/>
          <w:bCs/>
          <w:sz w:val="24"/>
          <w:szCs w:val="24"/>
          <w:lang w:val="en-GB" w:eastAsia="ro-RO"/>
        </w:rPr>
        <w:t>procurements</w:t>
      </w:r>
      <w:r w:rsidRPr="0037604E">
        <w:rPr>
          <w:rFonts w:ascii="Cambria" w:eastAsia="Calibri" w:hAnsi="Cambria" w:cs="Times New Roman"/>
          <w:b/>
          <w:sz w:val="24"/>
          <w:szCs w:val="24"/>
          <w:lang w:val="en-GB" w:eastAsia="en-US"/>
        </w:rPr>
        <w:t xml:space="preserve"> were initiated </w:t>
      </w:r>
      <w:r w:rsidRPr="0037604E">
        <w:rPr>
          <w:rFonts w:ascii="Cambria" w:eastAsia="Calibri" w:hAnsi="Cambria" w:cs="Times New Roman"/>
          <w:sz w:val="24"/>
          <w:szCs w:val="24"/>
          <w:lang w:val="en-GB" w:eastAsia="en-US"/>
        </w:rPr>
        <w:t xml:space="preserve">of which </w:t>
      </w:r>
      <w:r w:rsidRPr="0037604E">
        <w:rPr>
          <w:rFonts w:ascii="Cambria" w:eastAsia="Calibri" w:hAnsi="Cambria" w:cs="Times New Roman"/>
          <w:b/>
          <w:sz w:val="24"/>
          <w:szCs w:val="24"/>
          <w:lang w:val="en-GB" w:eastAsia="en-US"/>
        </w:rPr>
        <w:t xml:space="preserve">440 direct </w:t>
      </w:r>
      <w:r w:rsidRPr="0037604E">
        <w:rPr>
          <w:rFonts w:ascii="Cambria" w:eastAsia="Times New Roman" w:hAnsi="Cambria" w:cs="Times New Roman"/>
          <w:b/>
          <w:bCs/>
          <w:sz w:val="24"/>
          <w:szCs w:val="24"/>
          <w:lang w:val="en-GB" w:eastAsia="ro-RO"/>
        </w:rPr>
        <w:t>procurements</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were finalized</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 xml:space="preserve">and up to the total active positions in the programme, a number of 95 positions are not requested by the concerned divisions/units/department </w:t>
      </w:r>
      <w:r w:rsidRPr="0037604E">
        <w:rPr>
          <w:rFonts w:ascii="Cambria" w:eastAsia="Calibri" w:hAnsi="Cambria" w:cs="Times New Roman"/>
          <w:sz w:val="24"/>
          <w:szCs w:val="24"/>
          <w:lang w:val="en-GB" w:eastAsia="en-US"/>
        </w:rPr>
        <w:t xml:space="preserve">(representing 17,24%).  </w:t>
      </w: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 xml:space="preserve">From the physical point of view </w:t>
      </w:r>
      <w:r w:rsidRPr="0037604E">
        <w:rPr>
          <w:rFonts w:ascii="Cambria" w:eastAsia="Calibri" w:hAnsi="Cambria" w:cs="Times New Roman"/>
          <w:sz w:val="24"/>
          <w:szCs w:val="24"/>
          <w:lang w:val="en-GB" w:eastAsia="en-US"/>
        </w:rPr>
        <w:t xml:space="preserve">of the total number of direct procurements from the approved programme </w:t>
      </w:r>
      <w:r w:rsidRPr="0037604E">
        <w:rPr>
          <w:rFonts w:ascii="Cambria" w:eastAsia="Calibri" w:hAnsi="Cambria" w:cs="Times New Roman"/>
          <w:b/>
          <w:sz w:val="24"/>
          <w:szCs w:val="24"/>
          <w:lang w:val="en-GB" w:eastAsia="en-US"/>
        </w:rPr>
        <w:t xml:space="preserve">the execution percentage of the direct </w:t>
      </w:r>
      <w:r w:rsidRPr="0037604E">
        <w:rPr>
          <w:rFonts w:ascii="Cambria" w:eastAsia="Times New Roman" w:hAnsi="Cambria" w:cs="Times New Roman"/>
          <w:b/>
          <w:bCs/>
          <w:sz w:val="24"/>
          <w:szCs w:val="24"/>
          <w:lang w:val="en-GB" w:eastAsia="ro-RO"/>
        </w:rPr>
        <w:t>purchases</w:t>
      </w:r>
      <w:r w:rsidRPr="0037604E">
        <w:rPr>
          <w:rFonts w:ascii="Cambria" w:eastAsia="Calibri" w:hAnsi="Cambria" w:cs="Times New Roman"/>
          <w:b/>
          <w:sz w:val="24"/>
          <w:szCs w:val="24"/>
          <w:lang w:val="en-GB" w:eastAsia="en-US"/>
        </w:rPr>
        <w:t xml:space="preserve"> is of </w:t>
      </w:r>
      <w:r w:rsidRPr="0037604E">
        <w:rPr>
          <w:rFonts w:ascii="Cambria" w:eastAsia="Calibri" w:hAnsi="Cambria" w:cs="Times New Roman"/>
          <w:b/>
          <w:color w:val="000000"/>
          <w:sz w:val="24"/>
          <w:szCs w:val="24"/>
          <w:lang w:val="en-GB" w:eastAsia="en-US"/>
        </w:rPr>
        <w:t>79,85%</w:t>
      </w:r>
      <w:r w:rsidRPr="0037604E">
        <w:rPr>
          <w:rFonts w:ascii="Cambria" w:eastAsia="Calibri" w:hAnsi="Cambria" w:cs="Times New Roman"/>
          <w:color w:val="000000"/>
          <w:sz w:val="24"/>
          <w:szCs w:val="24"/>
          <w:lang w:val="en-GB" w:eastAsia="en-US"/>
        </w:rPr>
        <w:t xml:space="preserve">, </w:t>
      </w:r>
      <w:r w:rsidRPr="0037604E">
        <w:rPr>
          <w:rFonts w:ascii="Cambria" w:eastAsia="Calibri" w:hAnsi="Cambria" w:cs="Times New Roman"/>
          <w:sz w:val="24"/>
          <w:szCs w:val="24"/>
          <w:lang w:val="en-GB" w:eastAsia="en-US"/>
        </w:rPr>
        <w:t xml:space="preserve">and </w:t>
      </w:r>
      <w:r w:rsidRPr="0037604E">
        <w:rPr>
          <w:rFonts w:ascii="Cambria" w:eastAsia="Calibri" w:hAnsi="Cambria" w:cs="Times New Roman"/>
          <w:b/>
          <w:sz w:val="24"/>
          <w:szCs w:val="24"/>
          <w:lang w:val="en-GB" w:eastAsia="en-US"/>
        </w:rPr>
        <w:t>the value is of 37</w:t>
      </w:r>
      <w:r w:rsidRPr="0037604E">
        <w:rPr>
          <w:rFonts w:ascii="Cambria" w:eastAsia="Calibri" w:hAnsi="Cambria" w:cs="Times New Roman"/>
          <w:b/>
          <w:color w:val="000000"/>
          <w:sz w:val="24"/>
          <w:szCs w:val="24"/>
          <w:lang w:val="en-GB" w:eastAsia="en-US"/>
        </w:rPr>
        <w:t xml:space="preserve">,75% </w:t>
      </w:r>
      <w:r w:rsidRPr="0037604E">
        <w:rPr>
          <w:rFonts w:ascii="Cambria" w:eastAsia="Calibri" w:hAnsi="Cambria" w:cs="Times New Roman"/>
          <w:color w:val="000000"/>
          <w:sz w:val="24"/>
          <w:szCs w:val="24"/>
          <w:lang w:val="en-GB" w:eastAsia="en-US"/>
        </w:rPr>
        <w:t>(achieved value vs. total estimated value)</w:t>
      </w:r>
      <w:r w:rsidRPr="0037604E">
        <w:rPr>
          <w:rFonts w:ascii="Cambria" w:eastAsia="Calibri" w:hAnsi="Cambria" w:cs="Times New Roman"/>
          <w:b/>
          <w:color w:val="000000"/>
          <w:sz w:val="24"/>
          <w:szCs w:val="24"/>
          <w:lang w:val="en-GB" w:eastAsia="en-US"/>
        </w:rPr>
        <w:t>.</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tbl>
      <w:tblPr>
        <w:tblW w:w="500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426"/>
        <w:gridCol w:w="790"/>
        <w:gridCol w:w="3805"/>
      </w:tblGrid>
      <w:tr w:rsidR="0037604E" w:rsidRPr="0037604E" w:rsidTr="0037604E">
        <w:trPr>
          <w:trHeight w:val="315"/>
          <w:tblCellSpacing w:w="20" w:type="dxa"/>
          <w:jc w:val="center"/>
        </w:trPr>
        <w:tc>
          <w:tcPr>
            <w:tcW w:w="4957" w:type="pct"/>
            <w:gridSpan w:val="3"/>
            <w:shd w:val="clear" w:color="auto" w:fill="D1DEEE" w:themeFill="accent2" w:themeFillTint="33"/>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b/>
                <w:bCs/>
                <w:sz w:val="20"/>
                <w:szCs w:val="20"/>
                <w:lang w:val="en-GB" w:eastAsia="ro-RO"/>
              </w:rPr>
              <w:t>Direct purchases summary (physical)</w:t>
            </w:r>
          </w:p>
        </w:tc>
      </w:tr>
      <w:tr w:rsidR="0037604E" w:rsidRPr="0037604E" w:rsidTr="0037604E">
        <w:trPr>
          <w:trHeight w:val="306"/>
          <w:tblCellSpacing w:w="20" w:type="dxa"/>
          <w:jc w:val="center"/>
        </w:trPr>
        <w:tc>
          <w:tcPr>
            <w:tcW w:w="2443" w:type="pct"/>
            <w:shd w:val="clear" w:color="auto" w:fill="auto"/>
            <w:vAlign w:val="bottom"/>
            <w:hideMark/>
          </w:tcPr>
          <w:p w:rsidR="0037604E" w:rsidRPr="0037604E" w:rsidRDefault="0037604E" w:rsidP="0037604E">
            <w:pPr>
              <w:spacing w:after="0" w:line="240" w:lineRule="auto"/>
              <w:ind w:firstLine="0"/>
              <w:jc w:val="both"/>
              <w:rPr>
                <w:rFonts w:ascii="Cambria" w:eastAsia="Times New Roman" w:hAnsi="Cambria" w:cs="Times New Roman"/>
                <w:b/>
                <w:bCs/>
                <w:color w:val="000000"/>
                <w:sz w:val="20"/>
                <w:szCs w:val="20"/>
                <w:lang w:val="en-GB" w:eastAsia="ro-RO"/>
              </w:rPr>
            </w:pPr>
            <w:r w:rsidRPr="0037604E">
              <w:rPr>
                <w:rFonts w:ascii="Cambria" w:eastAsia="Times New Roman" w:hAnsi="Cambria" w:cs="Times New Roman"/>
                <w:b/>
                <w:bCs/>
                <w:sz w:val="20"/>
                <w:szCs w:val="20"/>
                <w:lang w:val="en-GB" w:eastAsia="ro-RO"/>
              </w:rPr>
              <w:t>Total positions at 31.12.2016, of which:</w:t>
            </w:r>
          </w:p>
        </w:tc>
        <w:tc>
          <w:tcPr>
            <w:tcW w:w="41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551</w:t>
            </w:r>
          </w:p>
        </w:tc>
        <w:tc>
          <w:tcPr>
            <w:tcW w:w="2052" w:type="pct"/>
            <w:shd w:val="clear" w:color="auto" w:fill="auto"/>
            <w:noWrap/>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achieved direct purchases</w:t>
            </w:r>
          </w:p>
        </w:tc>
      </w:tr>
      <w:tr w:rsidR="0037604E" w:rsidRPr="0037604E" w:rsidTr="0037604E">
        <w:trPr>
          <w:trHeight w:val="315"/>
          <w:tblCellSpacing w:w="20" w:type="dxa"/>
          <w:jc w:val="center"/>
        </w:trPr>
        <w:tc>
          <w:tcPr>
            <w:tcW w:w="2443"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started</w:t>
            </w:r>
          </w:p>
        </w:tc>
        <w:tc>
          <w:tcPr>
            <w:tcW w:w="41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12</w:t>
            </w:r>
          </w:p>
        </w:tc>
        <w:tc>
          <w:tcPr>
            <w:tcW w:w="2052" w:type="pct"/>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2,18%</w:t>
            </w:r>
          </w:p>
        </w:tc>
      </w:tr>
      <w:tr w:rsidR="0037604E" w:rsidRPr="0037604E" w:rsidTr="0037604E">
        <w:trPr>
          <w:trHeight w:val="315"/>
          <w:tblCellSpacing w:w="20" w:type="dxa"/>
          <w:jc w:val="center"/>
        </w:trPr>
        <w:tc>
          <w:tcPr>
            <w:tcW w:w="2443"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achieved</w:t>
            </w:r>
          </w:p>
        </w:tc>
        <w:tc>
          <w:tcPr>
            <w:tcW w:w="41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440</w:t>
            </w:r>
          </w:p>
        </w:tc>
        <w:tc>
          <w:tcPr>
            <w:tcW w:w="2052" w:type="pct"/>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79,85%</w:t>
            </w:r>
          </w:p>
        </w:tc>
      </w:tr>
      <w:tr w:rsidR="0037604E" w:rsidRPr="0037604E" w:rsidTr="0037604E">
        <w:trPr>
          <w:trHeight w:val="315"/>
          <w:tblCellSpacing w:w="20" w:type="dxa"/>
          <w:jc w:val="center"/>
        </w:trPr>
        <w:tc>
          <w:tcPr>
            <w:tcW w:w="2443"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xml:space="preserve">- not started </w:t>
            </w:r>
          </w:p>
        </w:tc>
        <w:tc>
          <w:tcPr>
            <w:tcW w:w="41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w:t>
            </w:r>
          </w:p>
        </w:tc>
        <w:tc>
          <w:tcPr>
            <w:tcW w:w="2052" w:type="pct"/>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0,73%</w:t>
            </w:r>
          </w:p>
        </w:tc>
      </w:tr>
      <w:tr w:rsidR="0037604E" w:rsidRPr="0037604E" w:rsidTr="0037604E">
        <w:trPr>
          <w:trHeight w:val="315"/>
          <w:tblCellSpacing w:w="20" w:type="dxa"/>
          <w:jc w:val="center"/>
        </w:trPr>
        <w:tc>
          <w:tcPr>
            <w:tcW w:w="2443" w:type="pct"/>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requested</w:t>
            </w:r>
          </w:p>
        </w:tc>
        <w:tc>
          <w:tcPr>
            <w:tcW w:w="419" w:type="pct"/>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95</w:t>
            </w:r>
          </w:p>
        </w:tc>
        <w:tc>
          <w:tcPr>
            <w:tcW w:w="2052" w:type="pct"/>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17,24%</w:t>
            </w:r>
          </w:p>
        </w:tc>
      </w:tr>
    </w:tbl>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snapToGrid w:val="0"/>
        <w:spacing w:after="0" w:line="240" w:lineRule="auto"/>
        <w:ind w:firstLine="0"/>
        <w:jc w:val="center"/>
        <w:rPr>
          <w:rFonts w:ascii="Cambria" w:eastAsia="Calibri" w:hAnsi="Cambria" w:cs="Times New Roman"/>
          <w:color w:val="000000"/>
          <w:sz w:val="24"/>
          <w:szCs w:val="24"/>
          <w:lang w:val="en-GB" w:eastAsia="en-US"/>
        </w:rPr>
      </w:pPr>
      <w:r w:rsidRPr="0037604E">
        <w:rPr>
          <w:noProof/>
          <w:lang w:val="ro-RO" w:eastAsia="ro-RO"/>
        </w:rPr>
        <w:drawing>
          <wp:inline distT="0" distB="0" distL="0" distR="0" wp14:anchorId="312383E2" wp14:editId="3A8740B4">
            <wp:extent cx="4010025" cy="2190750"/>
            <wp:effectExtent l="0" t="0" r="0" b="0"/>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7604E" w:rsidRPr="0037604E" w:rsidRDefault="0037604E" w:rsidP="0037604E">
      <w:pPr>
        <w:snapToGrid w:val="0"/>
        <w:spacing w:after="0" w:line="240" w:lineRule="auto"/>
        <w:ind w:firstLine="0"/>
        <w:jc w:val="center"/>
        <w:rPr>
          <w:rFonts w:ascii="Cambria" w:eastAsia="Calibri" w:hAnsi="Cambria" w:cs="Times New Roman"/>
          <w:color w:val="000000"/>
          <w:sz w:val="24"/>
          <w:szCs w:val="24"/>
          <w:lang w:val="en-GB" w:eastAsia="en-US"/>
        </w:rPr>
      </w:pPr>
    </w:p>
    <w:p w:rsidR="0037604E" w:rsidRPr="0037604E" w:rsidRDefault="0037604E" w:rsidP="0037604E">
      <w:pPr>
        <w:tabs>
          <w:tab w:val="decimal" w:pos="-142"/>
        </w:tabs>
        <w:snapToGrid w:val="0"/>
        <w:spacing w:after="0" w:line="240" w:lineRule="auto"/>
        <w:ind w:firstLine="0"/>
        <w:jc w:val="center"/>
        <w:rPr>
          <w:rFonts w:ascii="Cambria" w:eastAsia="Calibri" w:hAnsi="Cambria" w:cs="Times New Roman"/>
          <w:b/>
          <w:color w:val="000000"/>
          <w:sz w:val="24"/>
          <w:szCs w:val="24"/>
          <w:lang w:val="en-GB" w:eastAsia="en-US"/>
        </w:rPr>
      </w:pPr>
      <w:r w:rsidRPr="0037604E">
        <w:rPr>
          <w:rFonts w:ascii="Cambria" w:eastAsia="Times New Roman" w:hAnsi="Cambria" w:cs="Times New Roman"/>
          <w:b/>
          <w:i/>
          <w:color w:val="000000"/>
          <w:sz w:val="16"/>
          <w:szCs w:val="16"/>
          <w:lang w:val="en-GB" w:eastAsia="ro-RO"/>
        </w:rPr>
        <w:t>Chart 41- Direct procurement status on 31.12.2016</w:t>
      </w:r>
    </w:p>
    <w:p w:rsidR="0037604E" w:rsidRPr="0037604E" w:rsidRDefault="0037604E" w:rsidP="0037604E">
      <w:pPr>
        <w:snapToGrid w:val="0"/>
        <w:spacing w:after="0" w:line="240" w:lineRule="auto"/>
        <w:ind w:firstLine="0"/>
        <w:jc w:val="center"/>
        <w:rPr>
          <w:rFonts w:ascii="Cambria" w:eastAsia="Calibri" w:hAnsi="Cambria" w:cs="Times New Roman"/>
          <w:color w:val="000000"/>
          <w:sz w:val="24"/>
          <w:szCs w:val="24"/>
          <w:lang w:val="en-GB" w:eastAsia="en-US"/>
        </w:rPr>
      </w:pPr>
    </w:p>
    <w:tbl>
      <w:tblPr>
        <w:tblW w:w="0" w:type="auto"/>
        <w:tblCellSpacing w:w="20" w:type="dxa"/>
        <w:tblInd w:w="-27"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000"/>
        <w:gridCol w:w="2258"/>
        <w:gridCol w:w="2790"/>
      </w:tblGrid>
      <w:tr w:rsidR="0037604E" w:rsidRPr="0037604E" w:rsidTr="0037604E">
        <w:trPr>
          <w:trHeight w:val="315"/>
          <w:tblCellSpacing w:w="20" w:type="dxa"/>
        </w:trPr>
        <w:tc>
          <w:tcPr>
            <w:tcW w:w="9028" w:type="dxa"/>
            <w:gridSpan w:val="3"/>
            <w:shd w:val="clear" w:color="auto" w:fill="D1DEEE" w:themeFill="accent2" w:themeFillTint="33"/>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b/>
                <w:bCs/>
                <w:sz w:val="20"/>
                <w:szCs w:val="20"/>
                <w:lang w:val="en-GB" w:eastAsia="ro-RO"/>
              </w:rPr>
              <w:t>Direct purchases summary (value)</w:t>
            </w:r>
          </w:p>
        </w:tc>
      </w:tr>
      <w:tr w:rsidR="0037604E" w:rsidRPr="0037604E" w:rsidTr="0037604E">
        <w:trPr>
          <w:trHeight w:val="378"/>
          <w:tblCellSpacing w:w="20" w:type="dxa"/>
        </w:trPr>
        <w:tc>
          <w:tcPr>
            <w:tcW w:w="3971" w:type="dxa"/>
            <w:shd w:val="clear" w:color="auto" w:fill="auto"/>
            <w:vAlign w:val="bottom"/>
            <w:hideMark/>
          </w:tcPr>
          <w:p w:rsidR="0037604E" w:rsidRPr="0037604E" w:rsidRDefault="0037604E" w:rsidP="0037604E">
            <w:pPr>
              <w:spacing w:after="0" w:line="240" w:lineRule="auto"/>
              <w:ind w:firstLine="0"/>
              <w:jc w:val="both"/>
              <w:rPr>
                <w:rFonts w:ascii="Cambria" w:eastAsia="Times New Roman" w:hAnsi="Cambria" w:cs="Times New Roman"/>
                <w:b/>
                <w:bCs/>
                <w:color w:val="000000"/>
                <w:sz w:val="20"/>
                <w:szCs w:val="20"/>
                <w:lang w:val="en-GB" w:eastAsia="ro-RO"/>
              </w:rPr>
            </w:pPr>
            <w:r w:rsidRPr="0037604E">
              <w:rPr>
                <w:rFonts w:ascii="Cambria" w:eastAsia="Times New Roman" w:hAnsi="Cambria" w:cs="Times New Roman"/>
                <w:b/>
                <w:bCs/>
                <w:sz w:val="20"/>
                <w:szCs w:val="20"/>
                <w:lang w:val="en-GB" w:eastAsia="ro-RO"/>
              </w:rPr>
              <w:t>Total value at 31.12.2016, of which:</w:t>
            </w:r>
          </w:p>
        </w:tc>
        <w:tc>
          <w:tcPr>
            <w:tcW w:w="2230" w:type="dxa"/>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29.518.061,69</w:t>
            </w:r>
          </w:p>
        </w:tc>
        <w:tc>
          <w:tcPr>
            <w:tcW w:w="2747" w:type="dxa"/>
            <w:shd w:val="clear" w:color="auto" w:fill="auto"/>
            <w:noWrap/>
            <w:vAlign w:val="center"/>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 achieved direct purchases</w:t>
            </w:r>
          </w:p>
        </w:tc>
      </w:tr>
      <w:tr w:rsidR="0037604E" w:rsidRPr="0037604E" w:rsidTr="0037604E">
        <w:trPr>
          <w:trHeight w:val="330"/>
          <w:tblCellSpacing w:w="20" w:type="dxa"/>
        </w:trPr>
        <w:tc>
          <w:tcPr>
            <w:tcW w:w="3971"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started</w:t>
            </w:r>
          </w:p>
        </w:tc>
        <w:tc>
          <w:tcPr>
            <w:tcW w:w="2230" w:type="dxa"/>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997.647,68</w:t>
            </w:r>
          </w:p>
        </w:tc>
        <w:tc>
          <w:tcPr>
            <w:tcW w:w="2747"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3,38%</w:t>
            </w:r>
          </w:p>
        </w:tc>
      </w:tr>
      <w:tr w:rsidR="0037604E" w:rsidRPr="0037604E" w:rsidTr="0037604E">
        <w:trPr>
          <w:trHeight w:val="330"/>
          <w:tblCellSpacing w:w="20" w:type="dxa"/>
        </w:trPr>
        <w:tc>
          <w:tcPr>
            <w:tcW w:w="3971"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partly achieved</w:t>
            </w:r>
          </w:p>
        </w:tc>
        <w:tc>
          <w:tcPr>
            <w:tcW w:w="2230" w:type="dxa"/>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11.142.638,76</w:t>
            </w:r>
          </w:p>
        </w:tc>
        <w:tc>
          <w:tcPr>
            <w:tcW w:w="2747"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37,75%</w:t>
            </w:r>
          </w:p>
        </w:tc>
      </w:tr>
      <w:tr w:rsidR="0037604E" w:rsidRPr="0037604E" w:rsidTr="0037604E">
        <w:trPr>
          <w:trHeight w:val="330"/>
          <w:tblCellSpacing w:w="20" w:type="dxa"/>
        </w:trPr>
        <w:tc>
          <w:tcPr>
            <w:tcW w:w="3971"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started</w:t>
            </w:r>
          </w:p>
        </w:tc>
        <w:tc>
          <w:tcPr>
            <w:tcW w:w="2230" w:type="dxa"/>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388.037,26</w:t>
            </w:r>
          </w:p>
        </w:tc>
        <w:tc>
          <w:tcPr>
            <w:tcW w:w="2747"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1,31%</w:t>
            </w:r>
          </w:p>
        </w:tc>
      </w:tr>
      <w:tr w:rsidR="0037604E" w:rsidRPr="0037604E" w:rsidTr="0037604E">
        <w:trPr>
          <w:trHeight w:val="330"/>
          <w:tblCellSpacing w:w="20" w:type="dxa"/>
        </w:trPr>
        <w:tc>
          <w:tcPr>
            <w:tcW w:w="3971" w:type="dxa"/>
            <w:shd w:val="clear" w:color="auto" w:fill="auto"/>
            <w:noWrap/>
            <w:vAlign w:val="bottom"/>
            <w:hideMark/>
          </w:tcPr>
          <w:p w:rsidR="0037604E" w:rsidRPr="0037604E" w:rsidRDefault="0037604E" w:rsidP="0037604E">
            <w:pPr>
              <w:spacing w:after="0" w:line="240" w:lineRule="auto"/>
              <w:ind w:firstLine="0"/>
              <w:jc w:val="both"/>
              <w:rPr>
                <w:rFonts w:ascii="Cambria" w:eastAsia="Times New Roman" w:hAnsi="Cambria" w:cs="Times New Roman"/>
                <w:color w:val="000000"/>
                <w:sz w:val="20"/>
                <w:szCs w:val="20"/>
                <w:lang w:val="en-GB" w:eastAsia="ro-RO"/>
              </w:rPr>
            </w:pPr>
            <w:r w:rsidRPr="0037604E">
              <w:rPr>
                <w:rFonts w:ascii="Cambria" w:eastAsia="Times New Roman" w:hAnsi="Cambria" w:cs="Times New Roman"/>
                <w:color w:val="000000"/>
                <w:sz w:val="20"/>
                <w:szCs w:val="20"/>
                <w:lang w:val="en-GB" w:eastAsia="ro-RO"/>
              </w:rPr>
              <w:t>- not requested</w:t>
            </w:r>
          </w:p>
        </w:tc>
        <w:tc>
          <w:tcPr>
            <w:tcW w:w="2230" w:type="dxa"/>
            <w:shd w:val="clear" w:color="auto" w:fill="auto"/>
            <w:noWrap/>
            <w:vAlign w:val="center"/>
            <w:hideMark/>
          </w:tcPr>
          <w:p w:rsidR="0037604E" w:rsidRPr="0037604E" w:rsidRDefault="0037604E" w:rsidP="0037604E">
            <w:pPr>
              <w:spacing w:after="0" w:line="240" w:lineRule="auto"/>
              <w:ind w:firstLine="0"/>
              <w:jc w:val="right"/>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6.637.653,78</w:t>
            </w:r>
          </w:p>
        </w:tc>
        <w:tc>
          <w:tcPr>
            <w:tcW w:w="2747"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22,49%</w:t>
            </w:r>
          </w:p>
        </w:tc>
      </w:tr>
    </w:tbl>
    <w:p w:rsidR="0037604E" w:rsidRPr="0037604E" w:rsidRDefault="0037604E" w:rsidP="0037604E">
      <w:pPr>
        <w:snapToGrid w:val="0"/>
        <w:spacing w:after="0" w:line="240" w:lineRule="auto"/>
        <w:ind w:firstLine="0"/>
        <w:jc w:val="both"/>
        <w:rPr>
          <w:rFonts w:ascii="Cambria" w:eastAsia="Calibri" w:hAnsi="Cambria" w:cs="Times New Roman"/>
          <w:i/>
          <w:color w:val="000000"/>
          <w:sz w:val="24"/>
          <w:szCs w:val="24"/>
          <w:lang w:val="en-GB" w:eastAsia="en-US"/>
        </w:rPr>
      </w:pPr>
    </w:p>
    <w:p w:rsidR="0037604E" w:rsidRPr="0037604E" w:rsidRDefault="0037604E" w:rsidP="0037604E">
      <w:pPr>
        <w:snapToGrid w:val="0"/>
        <w:spacing w:after="0" w:line="240" w:lineRule="auto"/>
        <w:ind w:firstLine="0"/>
        <w:jc w:val="both"/>
        <w:rPr>
          <w:rFonts w:asciiTheme="majorHAnsi" w:eastAsia="Calibri" w:hAnsiTheme="majorHAnsi" w:cs="Times New Roman"/>
          <w:i/>
          <w:color w:val="000000"/>
          <w:sz w:val="18"/>
          <w:szCs w:val="18"/>
          <w:lang w:val="en-GB" w:eastAsia="en-US"/>
        </w:rPr>
      </w:pPr>
      <w:r w:rsidRPr="0037604E">
        <w:rPr>
          <w:rFonts w:asciiTheme="majorHAnsi" w:eastAsia="Calibri" w:hAnsiTheme="majorHAnsi" w:cs="Times New Roman"/>
          <w:i/>
          <w:color w:val="000000"/>
          <w:sz w:val="18"/>
          <w:szCs w:val="18"/>
          <w:lang w:val="en-GB" w:eastAsia="en-US"/>
        </w:rPr>
        <w:t>NOTE.</w:t>
      </w:r>
      <w:r w:rsidRPr="0037604E">
        <w:rPr>
          <w:rFonts w:asciiTheme="majorHAnsi" w:eastAsia="Times New Roman" w:hAnsiTheme="majorHAnsi" w:cs="Arial"/>
          <w:i/>
          <w:color w:val="222222"/>
          <w:lang w:val="en-GB"/>
        </w:rPr>
        <w:t xml:space="preserve"> </w:t>
      </w:r>
      <w:r w:rsidRPr="0037604E">
        <w:rPr>
          <w:rFonts w:asciiTheme="majorHAnsi" w:eastAsia="Times New Roman" w:hAnsiTheme="majorHAnsi" w:cs="Arial"/>
          <w:i/>
          <w:color w:val="222222"/>
          <w:sz w:val="18"/>
          <w:szCs w:val="18"/>
          <w:lang w:val="en-GB"/>
        </w:rPr>
        <w:t>The percentage of direct purchases is the final value related to the total estimated value; and for the initiated but not completed ones their estimated value reported to the total estimated value (therefore the sum of percentages is less than 100% related to the differences in values from estimated to awarded)</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r w:rsidRPr="0037604E">
        <w:rPr>
          <w:rFonts w:ascii="Cambria" w:eastAsia="Calibri" w:hAnsi="Cambria" w:cs="Times New Roman"/>
          <w:color w:val="000000"/>
          <w:sz w:val="24"/>
          <w:szCs w:val="24"/>
          <w:lang w:val="en-GB" w:eastAsia="en-US"/>
        </w:rPr>
        <w:t>For the 440 positions in PAAS Direct Procurements, the situation of the achievements as compared to the estimated values is as follows:</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tbl>
      <w:tblPr>
        <w:tblW w:w="9205" w:type="dxa"/>
        <w:tblCellSpacing w:w="20" w:type="dxa"/>
        <w:tblInd w:w="128"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595"/>
        <w:gridCol w:w="2460"/>
        <w:gridCol w:w="2530"/>
        <w:gridCol w:w="1620"/>
      </w:tblGrid>
      <w:tr w:rsidR="0037604E" w:rsidRPr="0037604E" w:rsidTr="0037604E">
        <w:trPr>
          <w:trHeight w:val="263"/>
          <w:tblCellSpacing w:w="20" w:type="dxa"/>
        </w:trPr>
        <w:tc>
          <w:tcPr>
            <w:tcW w:w="2525" w:type="dxa"/>
            <w:shd w:val="clear" w:color="auto" w:fill="D6E0F4"/>
            <w:noWrap/>
            <w:vAlign w:val="center"/>
            <w:hideMark/>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No. of PAAS positions</w:t>
            </w:r>
          </w:p>
        </w:tc>
        <w:tc>
          <w:tcPr>
            <w:tcW w:w="2410" w:type="dxa"/>
            <w:shd w:val="clear" w:color="auto" w:fill="D6E0F4"/>
            <w:noWrap/>
            <w:vAlign w:val="center"/>
            <w:hideMark/>
          </w:tcPr>
          <w:p w:rsidR="0037604E" w:rsidRPr="0037604E" w:rsidRDefault="0037604E" w:rsidP="0037604E">
            <w:pPr>
              <w:spacing w:after="0" w:line="240" w:lineRule="auto"/>
              <w:ind w:firstLine="0"/>
              <w:jc w:val="center"/>
              <w:rPr>
                <w:rFonts w:ascii="Cambria" w:eastAsia="Times New Roman" w:hAnsi="Cambria" w:cs="Times New Roman"/>
                <w:i/>
                <w:sz w:val="20"/>
                <w:szCs w:val="20"/>
                <w:lang w:val="en-GB" w:eastAsia="ro-RO"/>
              </w:rPr>
            </w:pPr>
            <w:r w:rsidRPr="0037604E">
              <w:rPr>
                <w:rFonts w:ascii="Cambria" w:eastAsia="Calibri" w:hAnsi="Cambria" w:cs="Times New Roman"/>
                <w:b/>
                <w:i/>
                <w:color w:val="000000"/>
                <w:sz w:val="20"/>
                <w:szCs w:val="20"/>
                <w:lang w:val="en-GB"/>
              </w:rPr>
              <w:t xml:space="preserve">Estimated value </w:t>
            </w:r>
          </w:p>
        </w:tc>
        <w:tc>
          <w:tcPr>
            <w:tcW w:w="2480" w:type="dxa"/>
            <w:shd w:val="clear" w:color="auto" w:fill="D6E0F4"/>
            <w:noWrap/>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Calibri" w:hAnsi="Cambria" w:cs="Times New Roman"/>
                <w:b/>
                <w:i/>
                <w:sz w:val="20"/>
                <w:szCs w:val="20"/>
                <w:lang w:val="en-GB" w:eastAsia="en-US"/>
              </w:rPr>
              <w:t>Achieved value</w:t>
            </w:r>
          </w:p>
        </w:tc>
        <w:tc>
          <w:tcPr>
            <w:tcW w:w="1590" w:type="dxa"/>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w:t>
            </w:r>
          </w:p>
        </w:tc>
      </w:tr>
      <w:tr w:rsidR="0037604E" w:rsidRPr="0037604E" w:rsidTr="0037604E">
        <w:trPr>
          <w:trHeight w:val="137"/>
          <w:tblCellSpacing w:w="20" w:type="dxa"/>
        </w:trPr>
        <w:tc>
          <w:tcPr>
            <w:tcW w:w="2525"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440</w:t>
            </w:r>
          </w:p>
        </w:tc>
        <w:tc>
          <w:tcPr>
            <w:tcW w:w="2410"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21.494.723,02</w:t>
            </w:r>
          </w:p>
        </w:tc>
        <w:tc>
          <w:tcPr>
            <w:tcW w:w="2480" w:type="dxa"/>
            <w:shd w:val="clear" w:color="auto" w:fill="auto"/>
            <w:noWrap/>
            <w:vAlign w:val="center"/>
            <w:hideMark/>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11.142.638,76</w:t>
            </w:r>
          </w:p>
        </w:tc>
        <w:tc>
          <w:tcPr>
            <w:tcW w:w="1590"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51,84</w:t>
            </w:r>
          </w:p>
        </w:tc>
      </w:tr>
    </w:tbl>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tabs>
          <w:tab w:val="decimal" w:pos="-142"/>
        </w:tabs>
        <w:snapToGrid w:val="0"/>
        <w:spacing w:after="0" w:line="240" w:lineRule="auto"/>
        <w:ind w:firstLine="0"/>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 xml:space="preserve">The summary of the direct procurements </w:t>
      </w:r>
    </w:p>
    <w:p w:rsidR="0037604E" w:rsidRPr="0037604E" w:rsidRDefault="0037604E" w:rsidP="0037604E">
      <w:pPr>
        <w:tabs>
          <w:tab w:val="decimal" w:pos="-142"/>
        </w:tabs>
        <w:snapToGri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Based on the provisions in P.A.A.S. updated, and upon the requests of the interested departments/directions/services in the period 04.01-31.12.2016 is briefly presented in the next table:</w:t>
      </w:r>
    </w:p>
    <w:tbl>
      <w:tblPr>
        <w:tblW w:w="6102"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1293"/>
        <w:gridCol w:w="1213"/>
        <w:gridCol w:w="1033"/>
        <w:gridCol w:w="1135"/>
        <w:gridCol w:w="993"/>
        <w:gridCol w:w="1021"/>
        <w:gridCol w:w="1118"/>
        <w:gridCol w:w="839"/>
        <w:gridCol w:w="1116"/>
        <w:gridCol w:w="1248"/>
      </w:tblGrid>
      <w:tr w:rsidR="0037604E" w:rsidRPr="0037604E" w:rsidTr="0037604E">
        <w:trPr>
          <w:trHeight w:val="1163"/>
          <w:tblCellSpacing w:w="20" w:type="dxa"/>
          <w:jc w:val="center"/>
        </w:trPr>
        <w:tc>
          <w:tcPr>
            <w:tcW w:w="561" w:type="pct"/>
            <w:vMerge w:val="restart"/>
            <w:shd w:val="clear" w:color="auto" w:fill="D6E0F4"/>
            <w:noWrap/>
            <w:vAlign w:val="center"/>
            <w:hideMark/>
          </w:tcPr>
          <w:p w:rsidR="0037604E" w:rsidRPr="0037604E" w:rsidRDefault="0037604E" w:rsidP="0037604E">
            <w:pPr>
              <w:spacing w:after="0" w:line="240" w:lineRule="auto"/>
              <w:ind w:hanging="235"/>
              <w:jc w:val="center"/>
              <w:rPr>
                <w:rFonts w:ascii="Cambria" w:eastAsia="Times New Roman" w:hAnsi="Cambria" w:cs="Times New Roman"/>
                <w:b/>
                <w:bCs/>
                <w:sz w:val="14"/>
                <w:szCs w:val="14"/>
                <w:lang w:val="en-GB" w:eastAsia="ro-RO"/>
              </w:rPr>
            </w:pPr>
          </w:p>
          <w:p w:rsidR="0037604E" w:rsidRPr="0037604E" w:rsidRDefault="0037604E" w:rsidP="0037604E">
            <w:pPr>
              <w:spacing w:after="0" w:line="240" w:lineRule="auto"/>
              <w:ind w:hanging="235"/>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 xml:space="preserve">Contract </w:t>
            </w:r>
          </w:p>
          <w:p w:rsidR="0037604E" w:rsidRPr="0037604E" w:rsidRDefault="0037604E" w:rsidP="0037604E">
            <w:pPr>
              <w:spacing w:after="0" w:line="240" w:lineRule="auto"/>
              <w:ind w:hanging="235"/>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type</w:t>
            </w:r>
          </w:p>
        </w:tc>
        <w:tc>
          <w:tcPr>
            <w:tcW w:w="534" w:type="pct"/>
            <w:shd w:val="clear" w:color="auto" w:fill="D6E0F4"/>
            <w:vAlign w:val="center"/>
            <w:hideMark/>
          </w:tcPr>
          <w:p w:rsidR="0037604E" w:rsidRPr="0037604E" w:rsidRDefault="0037604E" w:rsidP="0037604E">
            <w:pPr>
              <w:spacing w:after="0" w:line="240" w:lineRule="auto"/>
              <w:ind w:right="175"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Total value contracts/</w:t>
            </w:r>
          </w:p>
          <w:p w:rsidR="0037604E" w:rsidRPr="0037604E" w:rsidRDefault="0037604E" w:rsidP="0037604E">
            <w:pPr>
              <w:spacing w:after="0" w:line="240" w:lineRule="auto"/>
              <w:ind w:right="175"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Orders</w:t>
            </w:r>
          </w:p>
        </w:tc>
        <w:tc>
          <w:tcPr>
            <w:tcW w:w="452"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Number of public procurement contracts</w:t>
            </w:r>
          </w:p>
        </w:tc>
        <w:tc>
          <w:tcPr>
            <w:tcW w:w="498"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Value of direct procurement contract</w:t>
            </w:r>
          </w:p>
        </w:tc>
        <w:tc>
          <w:tcPr>
            <w:tcW w:w="434"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No. of direct proc. orders</w:t>
            </w:r>
          </w:p>
        </w:tc>
        <w:tc>
          <w:tcPr>
            <w:tcW w:w="446"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Value of direct procurement contract</w:t>
            </w:r>
          </w:p>
        </w:tc>
        <w:tc>
          <w:tcPr>
            <w:tcW w:w="490"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Proc. value not included in Annex 1-AD</w:t>
            </w:r>
          </w:p>
        </w:tc>
        <w:tc>
          <w:tcPr>
            <w:tcW w:w="363"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 xml:space="preserve">No. of orders in the Supply Programme </w:t>
            </w:r>
          </w:p>
        </w:tc>
        <w:tc>
          <w:tcPr>
            <w:tcW w:w="489"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Value in the Supply Programme</w:t>
            </w:r>
          </w:p>
        </w:tc>
        <w:tc>
          <w:tcPr>
            <w:tcW w:w="540"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 xml:space="preserve">Value of achievements in Annex </w:t>
            </w:r>
          </w:p>
          <w:p w:rsidR="0037604E" w:rsidRPr="0037604E" w:rsidRDefault="0037604E" w:rsidP="0037604E">
            <w:pPr>
              <w:spacing w:after="0" w:line="240" w:lineRule="auto"/>
              <w:ind w:firstLine="0"/>
              <w:jc w:val="center"/>
              <w:rPr>
                <w:rFonts w:ascii="Cambria" w:eastAsia="Times New Roman" w:hAnsi="Cambria" w:cs="Times New Roman"/>
                <w:b/>
                <w:bCs/>
                <w:sz w:val="14"/>
                <w:szCs w:val="14"/>
                <w:lang w:val="en-GB" w:eastAsia="ro-RO"/>
              </w:rPr>
            </w:pPr>
            <w:r w:rsidRPr="0037604E">
              <w:rPr>
                <w:rFonts w:ascii="Cambria" w:eastAsia="Times New Roman" w:hAnsi="Cambria" w:cs="Times New Roman"/>
                <w:b/>
                <w:bCs/>
                <w:sz w:val="14"/>
                <w:szCs w:val="14"/>
                <w:lang w:val="en-GB" w:eastAsia="ro-RO"/>
              </w:rPr>
              <w:t>1-AD</w:t>
            </w:r>
          </w:p>
        </w:tc>
      </w:tr>
      <w:tr w:rsidR="0037604E" w:rsidRPr="0037604E" w:rsidTr="0037604E">
        <w:trPr>
          <w:trHeight w:val="267"/>
          <w:tblCellSpacing w:w="20" w:type="dxa"/>
          <w:jc w:val="center"/>
        </w:trPr>
        <w:tc>
          <w:tcPr>
            <w:tcW w:w="561" w:type="pct"/>
            <w:vMerge/>
            <w:shd w:val="clear" w:color="auto" w:fill="F2F2F2"/>
            <w:vAlign w:val="center"/>
            <w:hideMark/>
          </w:tcPr>
          <w:p w:rsidR="0037604E" w:rsidRPr="0037604E" w:rsidRDefault="0037604E" w:rsidP="0037604E">
            <w:pPr>
              <w:spacing w:after="0" w:line="240" w:lineRule="auto"/>
              <w:ind w:firstLine="0"/>
              <w:jc w:val="both"/>
              <w:rPr>
                <w:rFonts w:ascii="Cambria" w:eastAsia="Times New Roman" w:hAnsi="Cambria" w:cs="Times New Roman"/>
                <w:b/>
                <w:bCs/>
                <w:sz w:val="14"/>
                <w:szCs w:val="14"/>
                <w:lang w:val="en-GB" w:eastAsia="ro-RO"/>
              </w:rPr>
            </w:pPr>
          </w:p>
        </w:tc>
        <w:tc>
          <w:tcPr>
            <w:tcW w:w="534"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c>
          <w:tcPr>
            <w:tcW w:w="452" w:type="pct"/>
            <w:shd w:val="clear" w:color="auto" w:fill="D6E0F4"/>
            <w:vAlign w:val="bottom"/>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p>
        </w:tc>
        <w:tc>
          <w:tcPr>
            <w:tcW w:w="498"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c>
          <w:tcPr>
            <w:tcW w:w="434" w:type="pct"/>
            <w:shd w:val="clear" w:color="auto" w:fill="D6E0F4"/>
            <w:vAlign w:val="bottom"/>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p>
        </w:tc>
        <w:tc>
          <w:tcPr>
            <w:tcW w:w="446"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c>
          <w:tcPr>
            <w:tcW w:w="490"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c>
          <w:tcPr>
            <w:tcW w:w="363"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p>
        </w:tc>
        <w:tc>
          <w:tcPr>
            <w:tcW w:w="489" w:type="pct"/>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c>
          <w:tcPr>
            <w:tcW w:w="540"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sz w:val="14"/>
                <w:szCs w:val="14"/>
                <w:lang w:val="en-GB" w:eastAsia="ro-RO"/>
              </w:rPr>
            </w:pPr>
            <w:r w:rsidRPr="0037604E">
              <w:rPr>
                <w:rFonts w:ascii="Cambria" w:eastAsia="Times New Roman" w:hAnsi="Cambria" w:cs="Times New Roman"/>
                <w:sz w:val="14"/>
                <w:szCs w:val="14"/>
                <w:lang w:val="en-GB" w:eastAsia="ro-RO"/>
              </w:rPr>
              <w:t>(RON without the VAT)</w:t>
            </w:r>
          </w:p>
        </w:tc>
      </w:tr>
      <w:tr w:rsidR="0037604E" w:rsidRPr="0037604E" w:rsidTr="0037604E">
        <w:trPr>
          <w:trHeight w:val="350"/>
          <w:tblCellSpacing w:w="20" w:type="dxa"/>
          <w:jc w:val="center"/>
        </w:trPr>
        <w:tc>
          <w:tcPr>
            <w:tcW w:w="561" w:type="pct"/>
            <w:shd w:val="clear" w:color="auto" w:fill="auto"/>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Works</w:t>
            </w:r>
          </w:p>
        </w:tc>
        <w:tc>
          <w:tcPr>
            <w:tcW w:w="5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3.480.336,71</w:t>
            </w:r>
          </w:p>
        </w:tc>
        <w:tc>
          <w:tcPr>
            <w:tcW w:w="452"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31</w:t>
            </w:r>
          </w:p>
        </w:tc>
        <w:tc>
          <w:tcPr>
            <w:tcW w:w="498"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3.479.002,61</w:t>
            </w:r>
          </w:p>
        </w:tc>
        <w:tc>
          <w:tcPr>
            <w:tcW w:w="4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w:t>
            </w:r>
          </w:p>
        </w:tc>
        <w:tc>
          <w:tcPr>
            <w:tcW w:w="446"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1.334,10</w:t>
            </w:r>
          </w:p>
        </w:tc>
        <w:tc>
          <w:tcPr>
            <w:tcW w:w="49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0,00</w:t>
            </w:r>
          </w:p>
        </w:tc>
        <w:tc>
          <w:tcPr>
            <w:tcW w:w="36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w:t>
            </w:r>
          </w:p>
        </w:tc>
        <w:tc>
          <w:tcPr>
            <w:tcW w:w="48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0,00</w:t>
            </w:r>
          </w:p>
        </w:tc>
        <w:tc>
          <w:tcPr>
            <w:tcW w:w="54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3.480.336,71</w:t>
            </w:r>
          </w:p>
        </w:tc>
      </w:tr>
      <w:tr w:rsidR="0037604E" w:rsidRPr="0037604E" w:rsidTr="0037604E">
        <w:trPr>
          <w:trHeight w:val="343"/>
          <w:tblCellSpacing w:w="20" w:type="dxa"/>
          <w:jc w:val="center"/>
        </w:trPr>
        <w:tc>
          <w:tcPr>
            <w:tcW w:w="561" w:type="pct"/>
            <w:shd w:val="clear" w:color="auto" w:fill="auto"/>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Services</w:t>
            </w:r>
          </w:p>
        </w:tc>
        <w:tc>
          <w:tcPr>
            <w:tcW w:w="5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3.549.024,53</w:t>
            </w:r>
          </w:p>
        </w:tc>
        <w:tc>
          <w:tcPr>
            <w:tcW w:w="452"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73</w:t>
            </w:r>
          </w:p>
        </w:tc>
        <w:tc>
          <w:tcPr>
            <w:tcW w:w="498"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3.120.938,91</w:t>
            </w:r>
          </w:p>
        </w:tc>
        <w:tc>
          <w:tcPr>
            <w:tcW w:w="4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69</w:t>
            </w:r>
          </w:p>
        </w:tc>
        <w:tc>
          <w:tcPr>
            <w:tcW w:w="446"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428.085,62</w:t>
            </w:r>
          </w:p>
        </w:tc>
        <w:tc>
          <w:tcPr>
            <w:tcW w:w="49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675.733,00</w:t>
            </w:r>
          </w:p>
        </w:tc>
        <w:tc>
          <w:tcPr>
            <w:tcW w:w="36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w:t>
            </w:r>
          </w:p>
        </w:tc>
        <w:tc>
          <w:tcPr>
            <w:tcW w:w="48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0,00</w:t>
            </w:r>
          </w:p>
        </w:tc>
        <w:tc>
          <w:tcPr>
            <w:tcW w:w="54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2.873.291,53</w:t>
            </w:r>
          </w:p>
        </w:tc>
      </w:tr>
      <w:tr w:rsidR="0037604E" w:rsidRPr="0037604E" w:rsidTr="0037604E">
        <w:trPr>
          <w:trHeight w:val="447"/>
          <w:tblCellSpacing w:w="20" w:type="dxa"/>
          <w:jc w:val="center"/>
        </w:trPr>
        <w:tc>
          <w:tcPr>
            <w:tcW w:w="561" w:type="pct"/>
            <w:shd w:val="clear" w:color="auto" w:fill="auto"/>
            <w:noWrap/>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Products</w:t>
            </w:r>
          </w:p>
        </w:tc>
        <w:tc>
          <w:tcPr>
            <w:tcW w:w="5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4.789.010,52</w:t>
            </w:r>
          </w:p>
        </w:tc>
        <w:tc>
          <w:tcPr>
            <w:tcW w:w="452"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2</w:t>
            </w:r>
          </w:p>
        </w:tc>
        <w:tc>
          <w:tcPr>
            <w:tcW w:w="498"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169.517,00</w:t>
            </w:r>
          </w:p>
        </w:tc>
        <w:tc>
          <w:tcPr>
            <w:tcW w:w="434"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174</w:t>
            </w:r>
          </w:p>
        </w:tc>
        <w:tc>
          <w:tcPr>
            <w:tcW w:w="446"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5"/>
                <w:szCs w:val="15"/>
                <w:lang w:eastAsia="en-US"/>
              </w:rPr>
            </w:pPr>
            <w:r w:rsidRPr="0037604E">
              <w:rPr>
                <w:rFonts w:asciiTheme="majorHAnsi" w:eastAsia="Calibri" w:hAnsiTheme="majorHAnsi" w:cs="DokChampa"/>
                <w:sz w:val="15"/>
                <w:szCs w:val="15"/>
                <w:lang w:eastAsia="en-US"/>
              </w:rPr>
              <w:t>2.447.741,88</w:t>
            </w:r>
          </w:p>
        </w:tc>
        <w:tc>
          <w:tcPr>
            <w:tcW w:w="49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0,00</w:t>
            </w:r>
          </w:p>
        </w:tc>
        <w:tc>
          <w:tcPr>
            <w:tcW w:w="363"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268</w:t>
            </w:r>
          </w:p>
        </w:tc>
        <w:tc>
          <w:tcPr>
            <w:tcW w:w="489" w:type="pct"/>
            <w:shd w:val="clear" w:color="auto" w:fill="auto"/>
            <w:vAlign w:val="center"/>
          </w:tcPr>
          <w:p w:rsidR="0037604E" w:rsidRPr="0037604E" w:rsidRDefault="0037604E" w:rsidP="0037604E">
            <w:pPr>
              <w:spacing w:after="0" w:line="240" w:lineRule="auto"/>
              <w:ind w:firstLine="0"/>
              <w:jc w:val="right"/>
              <w:rPr>
                <w:rFonts w:asciiTheme="majorHAnsi" w:eastAsia="Calibri" w:hAnsiTheme="majorHAnsi" w:cs="DokChampa"/>
                <w:sz w:val="15"/>
                <w:szCs w:val="15"/>
                <w:lang w:eastAsia="en-US"/>
              </w:rPr>
            </w:pPr>
            <w:r w:rsidRPr="0037604E">
              <w:rPr>
                <w:rFonts w:asciiTheme="majorHAnsi" w:eastAsia="Calibri" w:hAnsiTheme="majorHAnsi" w:cs="DokChampa"/>
                <w:sz w:val="15"/>
                <w:szCs w:val="15"/>
                <w:lang w:eastAsia="en-US"/>
              </w:rPr>
              <w:t>2.171.751,64</w:t>
            </w:r>
          </w:p>
        </w:tc>
        <w:tc>
          <w:tcPr>
            <w:tcW w:w="540" w:type="pct"/>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4.789.010,52</w:t>
            </w:r>
          </w:p>
        </w:tc>
      </w:tr>
      <w:tr w:rsidR="0037604E" w:rsidRPr="0037604E" w:rsidTr="0037604E">
        <w:trPr>
          <w:trHeight w:val="442"/>
          <w:tblCellSpacing w:w="20" w:type="dxa"/>
          <w:jc w:val="center"/>
        </w:trPr>
        <w:tc>
          <w:tcPr>
            <w:tcW w:w="561" w:type="pct"/>
            <w:shd w:val="clear" w:color="auto" w:fill="D6E0F4"/>
            <w:vAlign w:val="center"/>
            <w:hideMark/>
          </w:tcPr>
          <w:p w:rsidR="0037604E" w:rsidRPr="0037604E" w:rsidRDefault="0037604E" w:rsidP="0037604E">
            <w:pPr>
              <w:spacing w:after="0" w:line="240" w:lineRule="auto"/>
              <w:ind w:firstLine="0"/>
              <w:rPr>
                <w:rFonts w:ascii="Cambria" w:eastAsia="Times New Roman" w:hAnsi="Cambria" w:cs="Times New Roman"/>
                <w:b/>
                <w:bCs/>
                <w:sz w:val="16"/>
                <w:szCs w:val="16"/>
                <w:lang w:val="en-GB" w:eastAsia="ro-RO"/>
              </w:rPr>
            </w:pPr>
            <w:r w:rsidRPr="0037604E">
              <w:rPr>
                <w:rFonts w:ascii="Cambria" w:eastAsia="Times New Roman" w:hAnsi="Cambria" w:cs="Times New Roman"/>
                <w:b/>
                <w:bCs/>
                <w:sz w:val="16"/>
                <w:szCs w:val="16"/>
                <w:lang w:val="en-GB" w:eastAsia="ro-RO"/>
              </w:rPr>
              <w:t>TOTAL CONTRACTS</w:t>
            </w:r>
          </w:p>
        </w:tc>
        <w:tc>
          <w:tcPr>
            <w:tcW w:w="534"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11.818.371,76</w:t>
            </w:r>
          </w:p>
        </w:tc>
        <w:tc>
          <w:tcPr>
            <w:tcW w:w="452"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106</w:t>
            </w:r>
          </w:p>
        </w:tc>
        <w:tc>
          <w:tcPr>
            <w:tcW w:w="498"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6.769.458,52</w:t>
            </w:r>
          </w:p>
        </w:tc>
        <w:tc>
          <w:tcPr>
            <w:tcW w:w="434"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244</w:t>
            </w:r>
          </w:p>
        </w:tc>
        <w:tc>
          <w:tcPr>
            <w:tcW w:w="446"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5"/>
                <w:szCs w:val="15"/>
                <w:lang w:eastAsia="en-US"/>
              </w:rPr>
            </w:pPr>
            <w:r w:rsidRPr="0037604E">
              <w:rPr>
                <w:rFonts w:asciiTheme="majorHAnsi" w:eastAsia="Calibri" w:hAnsiTheme="majorHAnsi" w:cs="DokChampa"/>
                <w:sz w:val="15"/>
                <w:szCs w:val="15"/>
                <w:lang w:eastAsia="en-US"/>
              </w:rPr>
              <w:t>2.877.161,60</w:t>
            </w:r>
          </w:p>
        </w:tc>
        <w:tc>
          <w:tcPr>
            <w:tcW w:w="490"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675.733,00</w:t>
            </w:r>
          </w:p>
        </w:tc>
        <w:tc>
          <w:tcPr>
            <w:tcW w:w="363"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268</w:t>
            </w:r>
          </w:p>
        </w:tc>
        <w:tc>
          <w:tcPr>
            <w:tcW w:w="489"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5"/>
                <w:szCs w:val="15"/>
                <w:lang w:eastAsia="en-US"/>
              </w:rPr>
            </w:pPr>
            <w:r w:rsidRPr="0037604E">
              <w:rPr>
                <w:rFonts w:asciiTheme="majorHAnsi" w:eastAsia="Calibri" w:hAnsiTheme="majorHAnsi" w:cs="DokChampa"/>
                <w:sz w:val="15"/>
                <w:szCs w:val="15"/>
                <w:lang w:eastAsia="en-US"/>
              </w:rPr>
              <w:t>2.171.751,64</w:t>
            </w:r>
          </w:p>
        </w:tc>
        <w:tc>
          <w:tcPr>
            <w:tcW w:w="540" w:type="pct"/>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sz w:val="16"/>
                <w:szCs w:val="16"/>
                <w:lang w:eastAsia="en-US"/>
              </w:rPr>
            </w:pPr>
            <w:r w:rsidRPr="0037604E">
              <w:rPr>
                <w:rFonts w:asciiTheme="majorHAnsi" w:eastAsia="Calibri" w:hAnsiTheme="majorHAnsi" w:cs="DokChampa"/>
                <w:sz w:val="16"/>
                <w:szCs w:val="16"/>
                <w:lang w:eastAsia="en-US"/>
              </w:rPr>
              <w:t>11.142.638,76</w:t>
            </w:r>
          </w:p>
        </w:tc>
      </w:tr>
    </w:tbl>
    <w:p w:rsidR="0037604E" w:rsidRPr="0037604E" w:rsidRDefault="0037604E" w:rsidP="0037604E">
      <w:pPr>
        <w:snapToGrid w:val="0"/>
        <w:spacing w:after="0" w:line="240" w:lineRule="auto"/>
        <w:ind w:firstLine="0"/>
        <w:jc w:val="center"/>
        <w:rPr>
          <w:rFonts w:ascii="Cambria" w:eastAsia="Calibri" w:hAnsi="Cambria" w:cs="Times New Roman"/>
          <w:b/>
          <w:i/>
          <w:color w:val="000000"/>
          <w:sz w:val="16"/>
          <w:szCs w:val="16"/>
          <w:lang w:val="en-GB" w:eastAsia="en-US"/>
        </w:rPr>
      </w:pPr>
      <w:r w:rsidRPr="0037604E">
        <w:rPr>
          <w:rFonts w:ascii="Cambria" w:eastAsia="Calibri" w:hAnsi="Cambria" w:cs="Times New Roman"/>
          <w:b/>
          <w:i/>
          <w:color w:val="000000"/>
          <w:sz w:val="16"/>
          <w:szCs w:val="16"/>
          <w:lang w:val="en-GB" w:eastAsia="en-US"/>
        </w:rPr>
        <w:t>Table 30</w:t>
      </w:r>
      <w:r w:rsidRPr="0037604E">
        <w:rPr>
          <w:rFonts w:ascii="Cambria" w:eastAsia="Times New Roman" w:hAnsi="Cambria" w:cs="Times New Roman"/>
          <w:b/>
          <w:bCs/>
          <w:i/>
          <w:color w:val="000000"/>
          <w:sz w:val="16"/>
          <w:szCs w:val="16"/>
          <w:lang w:val="en-GB" w:eastAsia="ro-RO"/>
        </w:rPr>
        <w:t xml:space="preserve"> - </w:t>
      </w:r>
      <w:r w:rsidRPr="0037604E">
        <w:rPr>
          <w:rFonts w:ascii="Cambria" w:eastAsia="Times New Roman" w:hAnsi="Cambria" w:cs="Times New Roman"/>
          <w:b/>
          <w:bCs/>
          <w:i/>
          <w:sz w:val="16"/>
          <w:szCs w:val="16"/>
          <w:lang w:val="en-GB" w:eastAsia="ro-RO"/>
        </w:rPr>
        <w:t>Situation of the contracts concluded through direct procurement between</w:t>
      </w:r>
      <w:r w:rsidRPr="0037604E">
        <w:rPr>
          <w:rFonts w:ascii="Cambria" w:eastAsia="Times New Roman" w:hAnsi="Cambria" w:cs="Times New Roman"/>
          <w:b/>
          <w:bCs/>
          <w:i/>
          <w:color w:val="000000"/>
          <w:sz w:val="18"/>
          <w:szCs w:val="18"/>
          <w:lang w:val="en-GB" w:eastAsia="ro-RO"/>
        </w:rPr>
        <w:t xml:space="preserve"> 04.01 - 31.12.2016</w:t>
      </w: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p>
    <w:p w:rsidR="0037604E" w:rsidRPr="0037604E" w:rsidRDefault="0037604E" w:rsidP="0037604E">
      <w:pPr>
        <w:snapToGrid w:val="0"/>
        <w:spacing w:after="0" w:line="240" w:lineRule="auto"/>
        <w:ind w:firstLine="0"/>
        <w:jc w:val="both"/>
        <w:rPr>
          <w:rFonts w:ascii="Cambria" w:eastAsia="Calibri" w:hAnsi="Cambria" w:cs="Times New Roman"/>
          <w:color w:val="000000"/>
          <w:sz w:val="24"/>
          <w:szCs w:val="24"/>
          <w:lang w:val="en-GB" w:eastAsia="en-US"/>
        </w:rPr>
      </w:pPr>
      <w:r w:rsidRPr="0037604E">
        <w:rPr>
          <w:rFonts w:ascii="Cambria" w:eastAsia="Calibri" w:hAnsi="Cambria" w:cs="Times New Roman"/>
          <w:color w:val="000000"/>
          <w:sz w:val="24"/>
          <w:szCs w:val="24"/>
          <w:lang w:val="en-GB" w:eastAsia="en-US"/>
        </w:rPr>
        <w:t xml:space="preserve">Direct Procurements reported by the Supply Department in amount of </w:t>
      </w:r>
      <w:r w:rsidRPr="0037604E">
        <w:rPr>
          <w:rFonts w:ascii="Cambria" w:eastAsia="Calibri" w:hAnsi="Cambria" w:cs="Times New Roman"/>
          <w:b/>
          <w:color w:val="000000"/>
          <w:sz w:val="24"/>
          <w:szCs w:val="24"/>
          <w:lang w:val="en-GB" w:eastAsia="en-US"/>
        </w:rPr>
        <w:t xml:space="preserve">RON </w:t>
      </w:r>
      <w:r w:rsidRPr="0037604E">
        <w:rPr>
          <w:rFonts w:asciiTheme="majorHAnsi" w:hAnsiTheme="majorHAnsi"/>
          <w:b/>
          <w:sz w:val="24"/>
          <w:lang w:val="ro-RO"/>
        </w:rPr>
        <w:t>2.</w:t>
      </w:r>
      <w:r w:rsidRPr="0037604E">
        <w:rPr>
          <w:rFonts w:asciiTheme="majorHAnsi" w:eastAsia="Calibri" w:hAnsiTheme="majorHAnsi" w:cs="DokChampa"/>
          <w:b/>
          <w:sz w:val="24"/>
          <w:szCs w:val="24"/>
          <w:lang w:val="ro-RO" w:eastAsia="en-US"/>
        </w:rPr>
        <w:t>171.751,64</w:t>
      </w:r>
      <w:r w:rsidRPr="0037604E">
        <w:rPr>
          <w:rFonts w:asciiTheme="majorHAnsi" w:hAnsiTheme="majorHAnsi"/>
          <w:b/>
          <w:sz w:val="24"/>
          <w:lang w:val="ro-RO"/>
        </w:rPr>
        <w:t xml:space="preserve"> </w:t>
      </w:r>
      <w:r w:rsidRPr="0037604E">
        <w:rPr>
          <w:rFonts w:ascii="Cambria" w:eastAsia="Calibri" w:hAnsi="Cambria" w:cs="Times New Roman"/>
          <w:color w:val="000000"/>
          <w:sz w:val="24"/>
          <w:szCs w:val="24"/>
          <w:lang w:val="en-GB" w:eastAsia="en-US"/>
        </w:rPr>
        <w:t xml:space="preserve">for 268 positions in PAAS 2016 were achieved under the delegation of powers to regional offices approved with Report </w:t>
      </w:r>
      <w:r w:rsidRPr="0037604E">
        <w:rPr>
          <w:rFonts w:ascii="Cambria" w:eastAsia="Calibri" w:hAnsi="Cambria" w:cs="Times New Roman"/>
          <w:sz w:val="24"/>
          <w:szCs w:val="24"/>
          <w:lang w:val="en-GB" w:eastAsia="en-US"/>
        </w:rPr>
        <w:t>2019/18.01.2016 and Decision 91</w:t>
      </w:r>
      <w:r w:rsidRPr="0037604E">
        <w:rPr>
          <w:rFonts w:ascii="Cambria" w:hAnsi="Cambria"/>
          <w:sz w:val="24"/>
          <w:lang w:val="en-GB"/>
        </w:rPr>
        <w:t>/10.</w:t>
      </w:r>
      <w:r w:rsidRPr="0037604E">
        <w:rPr>
          <w:rFonts w:ascii="Cambria" w:eastAsia="Calibri" w:hAnsi="Cambria" w:cs="Times New Roman"/>
          <w:sz w:val="24"/>
          <w:szCs w:val="24"/>
          <w:lang w:val="en-GB" w:eastAsia="en-US"/>
        </w:rPr>
        <w:t xml:space="preserve">02.2016 </w:t>
      </w:r>
      <w:r w:rsidRPr="0037604E">
        <w:rPr>
          <w:rFonts w:asciiTheme="majorHAnsi" w:eastAsia="Calibri" w:hAnsiTheme="majorHAnsi" w:cs="DokChampa"/>
          <w:sz w:val="24"/>
          <w:szCs w:val="24"/>
          <w:lang w:val="ro-RO" w:eastAsia="en-US"/>
        </w:rPr>
        <w:t>valid until 26.05.2016 and with Report  29766/30.06.2016 and Decision 600/11.08.2016 amended by Decision 661/26.08.2016 and by Decision  688/11.10.2016</w:t>
      </w:r>
      <w:r w:rsidRPr="0037604E">
        <w:rPr>
          <w:rFonts w:ascii="Cambria" w:eastAsia="Calibri" w:hAnsi="Cambria" w:cs="Times New Roman"/>
          <w:color w:val="000000"/>
          <w:sz w:val="24"/>
          <w:szCs w:val="24"/>
          <w:lang w:val="en-GB" w:eastAsia="en-US"/>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tabs>
          <w:tab w:val="left" w:pos="5310"/>
        </w:tabs>
        <w:spacing w:before="320" w:after="0" w:line="360" w:lineRule="auto"/>
        <w:ind w:firstLine="0"/>
        <w:outlineLvl w:val="2"/>
        <w:rPr>
          <w:rFonts w:asciiTheme="majorHAnsi" w:eastAsia="Times New Roman" w:hAnsiTheme="majorHAnsi" w:cs="Times New Roman"/>
          <w:b/>
          <w:bCs/>
          <w:i/>
          <w:iCs/>
          <w:sz w:val="26"/>
          <w:szCs w:val="26"/>
          <w:lang w:val="en-GB" w:eastAsia="ro-RO"/>
        </w:rPr>
      </w:pPr>
      <w:bookmarkStart w:id="37" w:name="_Toc414263627"/>
      <w:bookmarkStart w:id="38" w:name="_Toc446310825"/>
      <w:r w:rsidRPr="0037604E">
        <w:rPr>
          <w:rFonts w:asciiTheme="majorHAnsi" w:eastAsia="Times New Roman" w:hAnsiTheme="majorHAnsi" w:cs="Times New Roman"/>
          <w:b/>
          <w:bCs/>
          <w:i/>
          <w:iCs/>
          <w:sz w:val="26"/>
          <w:szCs w:val="26"/>
          <w:shd w:val="clear" w:color="auto" w:fill="DBE5F1" w:themeFill="accent1" w:themeFillTint="33"/>
          <w:lang w:val="en-GB" w:eastAsia="ro-RO"/>
        </w:rPr>
        <w:t xml:space="preserve">3.1.8 </w:t>
      </w:r>
      <w:bookmarkEnd w:id="37"/>
      <w:r w:rsidRPr="0037604E">
        <w:rPr>
          <w:rFonts w:asciiTheme="majorHAnsi" w:eastAsia="Times New Roman" w:hAnsiTheme="majorHAnsi" w:cstheme="majorBidi"/>
          <w:b/>
          <w:bCs/>
          <w:i/>
          <w:iCs/>
          <w:sz w:val="26"/>
          <w:szCs w:val="26"/>
          <w:shd w:val="clear" w:color="auto" w:fill="DBE5F1" w:themeFill="accent1" w:themeFillTint="33"/>
          <w:lang w:val="en-GB"/>
        </w:rPr>
        <w:t>Procurement and disposals of assets</w:t>
      </w:r>
      <w:bookmarkEnd w:id="38"/>
      <w:r w:rsidRPr="0037604E">
        <w:rPr>
          <w:rFonts w:asciiTheme="majorHAnsi" w:eastAsia="Times New Roman" w:hAnsiTheme="majorHAnsi" w:cstheme="majorBidi"/>
          <w:b/>
          <w:bCs/>
          <w:i/>
          <w:iCs/>
          <w:sz w:val="26"/>
          <w:szCs w:val="26"/>
          <w:shd w:val="clear" w:color="auto" w:fill="DBE5F1" w:themeFill="accent1" w:themeFillTint="33"/>
          <w:lang w:val="en-GB"/>
        </w:rPr>
        <w:tab/>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D21737" w:rsidRDefault="00D21737" w:rsidP="0037604E">
      <w:pPr>
        <w:spacing w:line="240" w:lineRule="auto"/>
        <w:ind w:firstLine="0"/>
        <w:jc w:val="both"/>
        <w:rPr>
          <w:rFonts w:ascii="Cambria" w:eastAsia="Times New Roman" w:hAnsi="Cambria" w:cs="Times New Roman"/>
          <w:sz w:val="24"/>
          <w:szCs w:val="24"/>
          <w:lang w:val="en-GB" w:eastAsia="ro-RO"/>
        </w:rPr>
      </w:pPr>
      <w:r>
        <w:rPr>
          <w:rFonts w:ascii="Cambria" w:eastAsia="Times New Roman" w:hAnsi="Cambria" w:cs="Cambria"/>
          <w:sz w:val="24"/>
          <w:szCs w:val="24"/>
          <w:lang w:val="en-GB"/>
        </w:rPr>
        <w:t>Except for the procurement</w:t>
      </w:r>
      <w:r w:rsidR="0037604E" w:rsidRPr="00D21737">
        <w:rPr>
          <w:rFonts w:ascii="Cambria" w:eastAsia="Times New Roman" w:hAnsi="Cambria" w:cs="Cambria"/>
          <w:sz w:val="24"/>
          <w:szCs w:val="24"/>
          <w:lang w:val="en-GB"/>
        </w:rPr>
        <w:t xml:space="preserve"> of assets necessary to carry out and develop the activity, as well as for the assets taken out of service under the law, the Company recorded no other similar operations in</w:t>
      </w:r>
      <w:r>
        <w:rPr>
          <w:rFonts w:ascii="Cambria" w:eastAsia="Times New Roman" w:hAnsi="Cambria" w:cs="Times New Roman"/>
          <w:sz w:val="24"/>
          <w:szCs w:val="24"/>
          <w:lang w:val="en-GB" w:eastAsia="ro-RO"/>
        </w:rPr>
        <w:t xml:space="preserve"> 2016</w:t>
      </w:r>
      <w:r w:rsidR="0037604E" w:rsidRPr="00D21737">
        <w:rPr>
          <w:rFonts w:ascii="Cambria" w:eastAsia="Times New Roman" w:hAnsi="Cambria" w:cs="Times New Roman"/>
          <w:sz w:val="24"/>
          <w:szCs w:val="24"/>
          <w:lang w:val="en-GB" w:eastAsia="ro-RO"/>
        </w:rPr>
        <w:t>.</w:t>
      </w:r>
    </w:p>
    <w:p w:rsidR="0037604E" w:rsidRPr="0037604E" w:rsidRDefault="0037604E" w:rsidP="0037604E">
      <w:pPr>
        <w:shd w:val="clear" w:color="auto" w:fill="DBE5F1" w:themeFill="accent1" w:themeFillTint="33"/>
        <w:spacing w:before="320" w:after="0" w:line="360" w:lineRule="auto"/>
        <w:ind w:firstLine="0"/>
        <w:outlineLvl w:val="2"/>
        <w:rPr>
          <w:rFonts w:asciiTheme="majorHAnsi" w:eastAsia="Times New Roman" w:hAnsiTheme="majorHAnsi" w:cs="Times New Roman"/>
          <w:b/>
          <w:bCs/>
          <w:i/>
          <w:iCs/>
          <w:sz w:val="26"/>
          <w:szCs w:val="26"/>
          <w:lang w:val="en-GB" w:eastAsia="ro-RO"/>
        </w:rPr>
      </w:pPr>
      <w:bookmarkStart w:id="39" w:name="_Toc414263628"/>
      <w:bookmarkStart w:id="40" w:name="_Toc446310826"/>
      <w:r w:rsidRPr="0037604E">
        <w:rPr>
          <w:rFonts w:asciiTheme="majorHAnsi" w:eastAsia="Times New Roman" w:hAnsiTheme="majorHAnsi" w:cs="Times New Roman"/>
          <w:b/>
          <w:bCs/>
          <w:i/>
          <w:iCs/>
          <w:sz w:val="26"/>
          <w:szCs w:val="26"/>
          <w:lang w:val="en-GB" w:eastAsia="ro-RO"/>
        </w:rPr>
        <w:t xml:space="preserve">3.1.9 </w:t>
      </w:r>
      <w:bookmarkEnd w:id="39"/>
      <w:r w:rsidRPr="0037604E">
        <w:rPr>
          <w:rFonts w:asciiTheme="majorHAnsi" w:eastAsia="Times New Roman" w:hAnsiTheme="majorHAnsi" w:cstheme="majorBidi"/>
          <w:b/>
          <w:bCs/>
          <w:i/>
          <w:iCs/>
          <w:sz w:val="26"/>
          <w:szCs w:val="26"/>
          <w:lang w:val="en-GB"/>
        </w:rPr>
        <w:t>Internal and external audit of the Company's activity</w:t>
      </w:r>
      <w:bookmarkEnd w:id="40"/>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Cambria"/>
          <w:sz w:val="24"/>
          <w:szCs w:val="24"/>
          <w:lang w:val="en-GB"/>
        </w:rPr>
        <w:t>The internal public audit activity was set up at the level of Transgaz at the end of 2007 by the creation of the Internal Audit Office</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lastRenderedPageBreak/>
        <w:t xml:space="preserve">The internal audit activity </w:t>
      </w:r>
      <w:r w:rsidRPr="0037604E">
        <w:rPr>
          <w:rFonts w:asciiTheme="majorHAnsi" w:hAnsiTheme="majorHAnsi" w:cs="Arial"/>
          <w:b/>
          <w:sz w:val="24"/>
          <w:szCs w:val="24"/>
          <w:lang w:val="en"/>
        </w:rPr>
        <w:t>in 2016</w:t>
      </w:r>
      <w:r w:rsidRPr="0037604E">
        <w:rPr>
          <w:rFonts w:asciiTheme="majorHAnsi" w:hAnsiTheme="majorHAnsi" w:cs="Arial"/>
          <w:sz w:val="24"/>
          <w:szCs w:val="24"/>
          <w:lang w:val="en"/>
        </w:rPr>
        <w:t xml:space="preserve"> was carried out under the Annual Plan approved by the Director - General of Transgaz SA, the tasks contained in it being both to insurance and informal counseling</w:t>
      </w:r>
      <w:r w:rsidRPr="0037604E">
        <w:rPr>
          <w:rFonts w:asciiTheme="majorHAnsi" w:eastAsia="Times New Roman" w:hAnsiTheme="majorHAnsi" w:cs="Times New Roman"/>
          <w:sz w:val="24"/>
          <w:szCs w:val="24"/>
          <w:lang w:val="ro-RO" w:eastAsia="en-US"/>
        </w:rPr>
        <w:t>.</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en-GB" w:eastAsia="ro-RO"/>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In 2016 a total of </w:t>
      </w:r>
      <w:r w:rsidRPr="0037604E">
        <w:rPr>
          <w:rFonts w:asciiTheme="majorHAnsi" w:hAnsiTheme="majorHAnsi" w:cs="Arial"/>
          <w:b/>
          <w:sz w:val="24"/>
          <w:szCs w:val="24"/>
          <w:lang w:val="en"/>
        </w:rPr>
        <w:t>10 public internal audit assignments</w:t>
      </w:r>
      <w:r w:rsidRPr="0037604E">
        <w:rPr>
          <w:rFonts w:asciiTheme="majorHAnsi" w:hAnsiTheme="majorHAnsi" w:cs="Arial"/>
          <w:sz w:val="24"/>
          <w:szCs w:val="24"/>
          <w:lang w:val="en"/>
        </w:rPr>
        <w:t xml:space="preserve"> were carried out, within them </w:t>
      </w:r>
      <w:r w:rsidRPr="0037604E">
        <w:rPr>
          <w:rFonts w:asciiTheme="majorHAnsi" w:hAnsiTheme="majorHAnsi" w:cs="Arial"/>
          <w:b/>
          <w:sz w:val="24"/>
          <w:szCs w:val="24"/>
          <w:lang w:val="en"/>
        </w:rPr>
        <w:t>114 recommendations</w:t>
      </w:r>
      <w:r w:rsidRPr="0037604E">
        <w:rPr>
          <w:rFonts w:asciiTheme="majorHAnsi" w:eastAsia="Times New Roman" w:hAnsiTheme="majorHAnsi" w:cs="Times New Roman"/>
          <w:sz w:val="24"/>
          <w:szCs w:val="24"/>
          <w:lang w:val="ro-RO" w:eastAsia="en-US"/>
        </w:rPr>
        <w:t xml:space="preserve">.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Times New Roman" w:hAnsiTheme="majorHAnsi" w:cs="Times New Roman"/>
          <w:color w:val="000000"/>
          <w:sz w:val="24"/>
          <w:szCs w:val="24"/>
          <w:lang w:val="ro-RO" w:eastAsia="en-US"/>
        </w:rPr>
      </w:pPr>
      <w:r w:rsidRPr="0037604E">
        <w:rPr>
          <w:rFonts w:asciiTheme="majorHAnsi" w:hAnsiTheme="majorHAnsi" w:cs="Arial"/>
          <w:sz w:val="24"/>
          <w:szCs w:val="24"/>
          <w:lang w:val="en"/>
        </w:rPr>
        <w:t xml:space="preserve">The Internal Audit Department through the Information and Recommendations Tracking Office, continuously monitors the implementation status of the recommendations formulated within the public internal audit. The situation regarding implementation of recommendations at the end of </w:t>
      </w:r>
      <w:r w:rsidRPr="0037604E">
        <w:rPr>
          <w:rFonts w:asciiTheme="majorHAnsi" w:eastAsia="Times New Roman" w:hAnsiTheme="majorHAnsi" w:cs="Times New Roman"/>
          <w:sz w:val="24"/>
          <w:szCs w:val="24"/>
          <w:lang w:val="ro-RO" w:eastAsia="en-US"/>
        </w:rPr>
        <w:t xml:space="preserve">2016, including from missions </w:t>
      </w:r>
      <w:r w:rsidRPr="0037604E">
        <w:rPr>
          <w:rFonts w:asciiTheme="majorHAnsi" w:eastAsia="Times New Roman" w:hAnsiTheme="majorHAnsi" w:cs="Times New Roman"/>
          <w:color w:val="000000"/>
          <w:sz w:val="24"/>
          <w:szCs w:val="24"/>
          <w:lang w:val="ro-RO" w:eastAsia="en-US"/>
        </w:rPr>
        <w:t>executed in the previous years is as follows: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Theme="majorHAnsi" w:eastAsia="Times New Roman" w:hAnsiTheme="majorHAnsi" w:cs="Times New Roman"/>
          <w:b/>
          <w:bCs/>
          <w:noProof/>
          <w:sz w:val="20"/>
          <w:szCs w:val="20"/>
          <w:lang w:val="ro-RO" w:eastAsia="ro-RO"/>
        </w:rPr>
        <w:drawing>
          <wp:inline distT="0" distB="0" distL="0" distR="0" wp14:anchorId="71CA1DCB" wp14:editId="71E5DDDE">
            <wp:extent cx="4829175" cy="1857375"/>
            <wp:effectExtent l="0" t="0" r="0"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7604E" w:rsidRPr="0037604E" w:rsidRDefault="0037604E" w:rsidP="0037604E">
      <w:pPr>
        <w:spacing w:after="0" w:line="240" w:lineRule="auto"/>
        <w:ind w:firstLine="720"/>
        <w:jc w:val="center"/>
        <w:rPr>
          <w:rFonts w:asciiTheme="majorHAnsi" w:eastAsia="Times New Roman" w:hAnsiTheme="majorHAnsi" w:cs="Times New Roman"/>
          <w:b/>
          <w:bCs/>
          <w:i/>
          <w:iCs/>
          <w:color w:val="000000"/>
          <w:sz w:val="16"/>
          <w:szCs w:val="16"/>
          <w:lang w:val="ro-RO" w:eastAsia="en-US"/>
        </w:rPr>
      </w:pPr>
      <w:r w:rsidRPr="0037604E">
        <w:rPr>
          <w:rFonts w:asciiTheme="majorHAnsi" w:eastAsia="Times New Roman" w:hAnsiTheme="majorHAnsi" w:cs="Times New Roman"/>
          <w:b/>
          <w:bCs/>
          <w:i/>
          <w:iCs/>
          <w:color w:val="000000"/>
          <w:sz w:val="16"/>
          <w:szCs w:val="16"/>
          <w:lang w:val="ro-RO" w:eastAsia="en-US"/>
        </w:rPr>
        <w:t>Ghart 42 – Implementation of recommendations monitored in 2016</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audit of the financial situations was performed by the Deloitte Audit SRL auditors.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DBE5F1" w:themeFill="accent1" w:themeFillTint="33"/>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41" w:name="_Toc446310827"/>
      <w:r w:rsidRPr="0037604E">
        <w:rPr>
          <w:rFonts w:asciiTheme="majorHAnsi" w:eastAsia="Times New Roman" w:hAnsiTheme="majorHAnsi" w:cstheme="majorBidi"/>
          <w:b/>
          <w:bCs/>
          <w:i/>
          <w:iCs/>
          <w:sz w:val="26"/>
          <w:szCs w:val="26"/>
          <w:lang w:val="en-GB" w:eastAsia="ro-RO"/>
        </w:rPr>
        <w:t>3.1.10 Evaluation of the human resources and social</w:t>
      </w:r>
      <w:bookmarkEnd w:id="34"/>
      <w:r w:rsidRPr="0037604E">
        <w:rPr>
          <w:rFonts w:asciiTheme="majorHAnsi" w:eastAsia="Times New Roman" w:hAnsiTheme="majorHAnsi" w:cstheme="majorBidi"/>
          <w:b/>
          <w:bCs/>
          <w:i/>
          <w:iCs/>
          <w:sz w:val="26"/>
          <w:szCs w:val="26"/>
          <w:lang w:val="en-GB" w:eastAsia="ro-RO"/>
        </w:rPr>
        <w:t xml:space="preserve"> dialogue activity</w:t>
      </w:r>
      <w:bookmarkEnd w:id="41"/>
    </w:p>
    <w:p w:rsidR="0037604E" w:rsidRPr="0037604E" w:rsidRDefault="0037604E" w:rsidP="0037604E">
      <w:pPr>
        <w:spacing w:after="120" w:line="25" w:lineRule="atLeast"/>
        <w:ind w:firstLine="0"/>
        <w:jc w:val="both"/>
        <w:rPr>
          <w:rFonts w:ascii="Cambria" w:eastAsia="Times New Roman" w:hAnsi="Cambria" w:cs="Times New Roman"/>
          <w:sz w:val="12"/>
          <w:szCs w:val="12"/>
          <w:lang w:val="en-GB"/>
        </w:rPr>
      </w:pPr>
    </w:p>
    <w:p w:rsidR="0037604E" w:rsidRPr="0037604E" w:rsidRDefault="0037604E" w:rsidP="0037604E">
      <w:pPr>
        <w:spacing w:after="120" w:line="25" w:lineRule="atLeast"/>
        <w:ind w:firstLine="0"/>
        <w:jc w:val="both"/>
        <w:rPr>
          <w:rFonts w:ascii="Cambria" w:eastAsia="Times New Roman" w:hAnsi="Cambria" w:cs="Arial"/>
          <w:sz w:val="24"/>
          <w:szCs w:val="24"/>
          <w:lang w:val="en-GB"/>
        </w:rPr>
      </w:pPr>
      <w:r w:rsidRPr="0037604E">
        <w:rPr>
          <w:rFonts w:ascii="Cambria" w:eastAsia="Calibri" w:hAnsi="Cambria" w:cs="Arial"/>
          <w:sz w:val="24"/>
          <w:szCs w:val="24"/>
          <w:lang w:val="en-GB" w:eastAsia="en-US"/>
        </w:rPr>
        <w:t xml:space="preserve">On </w:t>
      </w:r>
      <w:r w:rsidRPr="0037604E">
        <w:rPr>
          <w:rFonts w:ascii="Cambria" w:eastAsia="Calibri" w:hAnsi="Cambria" w:cs="Arial"/>
          <w:b/>
          <w:sz w:val="24"/>
          <w:szCs w:val="24"/>
          <w:lang w:val="en-GB" w:eastAsia="en-US"/>
        </w:rPr>
        <w:t>31 December 2016</w:t>
      </w:r>
      <w:r w:rsidRPr="0037604E">
        <w:rPr>
          <w:rFonts w:ascii="Cambria" w:eastAsia="Calibri" w:hAnsi="Cambria" w:cs="Arial"/>
          <w:sz w:val="24"/>
          <w:szCs w:val="24"/>
          <w:lang w:val="en-GB" w:eastAsia="en-US"/>
        </w:rPr>
        <w:t xml:space="preserve">, SNTGN Transgaz SA recorded </w:t>
      </w:r>
      <w:r w:rsidRPr="0037604E">
        <w:rPr>
          <w:rFonts w:ascii="Cambria" w:hAnsi="Cambria"/>
          <w:color w:val="000000"/>
          <w:sz w:val="24"/>
          <w:lang w:val="en-GB"/>
        </w:rPr>
        <w:t>4.</w:t>
      </w:r>
      <w:r w:rsidRPr="0037604E">
        <w:rPr>
          <w:rFonts w:ascii="Cambria" w:eastAsia="Times New Roman" w:hAnsi="Cambria" w:cs="Arial"/>
          <w:color w:val="000000"/>
          <w:sz w:val="24"/>
          <w:szCs w:val="24"/>
          <w:lang w:val="en-GB" w:eastAsia="en-US"/>
        </w:rPr>
        <w:t xml:space="preserve">607 </w:t>
      </w:r>
      <w:r w:rsidRPr="0037604E">
        <w:rPr>
          <w:rFonts w:ascii="Cambria" w:eastAsia="Calibri" w:hAnsi="Cambria" w:cs="Arial"/>
          <w:sz w:val="24"/>
          <w:szCs w:val="24"/>
          <w:lang w:val="en-GB" w:eastAsia="en-US"/>
        </w:rPr>
        <w:t xml:space="preserve">employees with individual employment contracts, of which </w:t>
      </w:r>
      <w:r w:rsidRPr="0037604E">
        <w:rPr>
          <w:rFonts w:ascii="Cambria" w:hAnsi="Cambria"/>
          <w:color w:val="000000"/>
          <w:sz w:val="24"/>
          <w:lang w:val="en-GB"/>
        </w:rPr>
        <w:t xml:space="preserve">4.549 </w:t>
      </w:r>
      <w:r w:rsidRPr="0037604E">
        <w:rPr>
          <w:rFonts w:ascii="Cambria" w:eastAsia="Calibri" w:hAnsi="Cambria" w:cs="Arial"/>
          <w:sz w:val="24"/>
          <w:szCs w:val="24"/>
          <w:lang w:val="en-GB" w:eastAsia="en-US"/>
        </w:rPr>
        <w:t>for an indefinite period and 58 for a definite period</w:t>
      </w:r>
      <w:r w:rsidRPr="0037604E">
        <w:rPr>
          <w:rFonts w:ascii="Cambria" w:eastAsia="Times New Roman" w:hAnsi="Cambria" w:cs="Arial"/>
          <w:sz w:val="24"/>
          <w:szCs w:val="24"/>
          <w:lang w:val="en-GB"/>
        </w:rPr>
        <w:t>.</w:t>
      </w:r>
    </w:p>
    <w:p w:rsidR="0037604E" w:rsidRPr="0037604E" w:rsidRDefault="0037604E" w:rsidP="0037604E">
      <w:pPr>
        <w:spacing w:after="200" w:line="240" w:lineRule="auto"/>
        <w:ind w:firstLine="0"/>
        <w:jc w:val="both"/>
        <w:rPr>
          <w:rFonts w:ascii="Cambria" w:eastAsia="Times New Roman" w:hAnsi="Cambria" w:cs="Arial"/>
          <w:sz w:val="24"/>
          <w:szCs w:val="24"/>
          <w:lang w:val="en-GB"/>
        </w:rPr>
      </w:pPr>
      <w:r w:rsidRPr="0037604E">
        <w:rPr>
          <w:rFonts w:ascii="Cambria" w:eastAsia="Calibri" w:hAnsi="Cambria" w:cs="Arial"/>
          <w:b/>
          <w:sz w:val="24"/>
          <w:szCs w:val="24"/>
          <w:lang w:val="en-GB" w:eastAsia="en-US"/>
        </w:rPr>
        <w:t>In 2016</w:t>
      </w:r>
      <w:r w:rsidRPr="0037604E">
        <w:rPr>
          <w:rFonts w:ascii="Cambria" w:eastAsia="Calibri" w:hAnsi="Cambria" w:cs="Arial"/>
          <w:sz w:val="24"/>
          <w:szCs w:val="24"/>
          <w:lang w:val="en-GB" w:eastAsia="en-US"/>
        </w:rPr>
        <w:t xml:space="preserve"> the number of employees at 31 December 2016 is lower by 93 than at 31 December 2015, the policy of reducing the number of personnel in line with the retirements being continued in 2016, following the reorganizing of some activities</w:t>
      </w:r>
      <w:r w:rsidRPr="0037604E">
        <w:rPr>
          <w:rFonts w:ascii="Cambria" w:eastAsia="Times New Roman" w:hAnsi="Cambria" w:cs="Arial"/>
          <w:sz w:val="24"/>
          <w:szCs w:val="24"/>
          <w:lang w:val="en-GB"/>
        </w:rPr>
        <w:t xml:space="preserve">. </w:t>
      </w:r>
    </w:p>
    <w:p w:rsidR="0037604E" w:rsidRPr="0037604E" w:rsidRDefault="0037604E" w:rsidP="0037604E">
      <w:pPr>
        <w:spacing w:after="200" w:line="240" w:lineRule="auto"/>
        <w:ind w:firstLine="0"/>
        <w:jc w:val="both"/>
        <w:rPr>
          <w:rFonts w:ascii="Cambria" w:eastAsia="Calibri" w:hAnsi="Cambria" w:cs="Arial"/>
          <w:sz w:val="24"/>
          <w:szCs w:val="24"/>
          <w:lang w:val="en-GB" w:eastAsia="en-US"/>
        </w:rPr>
      </w:pPr>
      <w:r w:rsidRPr="0037604E">
        <w:rPr>
          <w:rFonts w:ascii="Cambria" w:eastAsia="Times New Roman" w:hAnsi="Cambria" w:cs="Arial"/>
          <w:noProof/>
          <w:color w:val="000000"/>
          <w:sz w:val="24"/>
          <w:szCs w:val="24"/>
          <w:lang w:val="ro-RO" w:eastAsia="ro-RO"/>
        </w:rPr>
        <mc:AlternateContent>
          <mc:Choice Requires="wps">
            <w:drawing>
              <wp:anchor distT="0" distB="0" distL="114300" distR="114300" simplePos="0" relativeHeight="251960320" behindDoc="0" locked="0" layoutInCell="1" allowOverlap="1" wp14:anchorId="1A7D87DC" wp14:editId="5CD1C049">
                <wp:simplePos x="0" y="0"/>
                <wp:positionH relativeFrom="margin">
                  <wp:posOffset>151140</wp:posOffset>
                </wp:positionH>
                <wp:positionV relativeFrom="paragraph">
                  <wp:posOffset>1156429</wp:posOffset>
                </wp:positionV>
                <wp:extent cx="5507831" cy="24911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507831" cy="249115"/>
                        </a:xfrm>
                        <a:prstGeom prst="rect">
                          <a:avLst/>
                        </a:prstGeom>
                        <a:solidFill>
                          <a:sysClr val="window" lastClr="FFFFFF"/>
                        </a:solidFill>
                        <a:ln w="6350">
                          <a:noFill/>
                        </a:ln>
                        <a:effectLst/>
                      </wps:spPr>
                      <wps:txbx>
                        <w:txbxContent>
                          <w:p w:rsidR="00CE3BCA" w:rsidRPr="00373827" w:rsidRDefault="00CE3BCA" w:rsidP="0037604E">
                            <w:pPr>
                              <w:ind w:firstLine="0"/>
                              <w:rPr>
                                <w:lang w:val="en-GB"/>
                              </w:rPr>
                            </w:pPr>
                            <w:r w:rsidRPr="00D46940">
                              <w:rPr>
                                <w:sz w:val="18"/>
                                <w:szCs w:val="18"/>
                                <w:lang w:val="en-GB"/>
                              </w:rPr>
                              <w:t>Jan.        Feb.    March     Apr.       May      June      July         Aug.      Sept.      Oct.      Nov.      Dec</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D87DC" id="Text Box 20" o:spid="_x0000_s1043" type="#_x0000_t202" style="position:absolute;left:0;text-align:left;margin-left:11.9pt;margin-top:91.05pt;width:433.7pt;height:19.6pt;z-index:251960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" fillcolor="window" stroked="f" strokeweight=".5pt">
                <v:textbox>
                  <w:txbxContent>
                    <w:p w:rsidR="00CE3BCA" w:rsidRPr="00373827" w:rsidRDefault="00CE3BCA" w:rsidP="0037604E">
                      <w:pPr>
                        <w:ind w:firstLine="0"/>
                        <w:rPr>
                          <w:lang w:val="en-GB"/>
                        </w:rPr>
                      </w:pPr>
                      <w:r w:rsidRPr="00D46940">
                        <w:rPr>
                          <w:sz w:val="18"/>
                          <w:szCs w:val="18"/>
                          <w:lang w:val="en-GB"/>
                        </w:rPr>
                        <w:t>Jan.        Feb.    March     Apr.       May      June      July         Aug.      Sept.      Oct.      Nov.      Dec</w:t>
                      </w:r>
                      <w:r>
                        <w:rPr>
                          <w:lang w:val="en-GB"/>
                        </w:rPr>
                        <w:t>.</w:t>
                      </w:r>
                    </w:p>
                  </w:txbxContent>
                </v:textbox>
                <w10:wrap anchorx="margin"/>
              </v:shape>
            </w:pict>
          </mc:Fallback>
        </mc:AlternateContent>
      </w:r>
      <w:r w:rsidRPr="0037604E">
        <w:rPr>
          <w:rFonts w:asciiTheme="majorHAnsi" w:eastAsia="Calibri" w:hAnsiTheme="majorHAnsi" w:cs="DokChampa"/>
          <w:noProof/>
          <w:lang w:val="ro-RO" w:eastAsia="ro-RO"/>
        </w:rPr>
        <w:drawing>
          <wp:inline distT="0" distB="0" distL="0" distR="0" wp14:anchorId="75CAA7A7" wp14:editId="7A8EAA86">
            <wp:extent cx="5732145" cy="1623180"/>
            <wp:effectExtent l="0" t="0" r="1905"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37604E" w:rsidRPr="0037604E" w:rsidRDefault="0037604E" w:rsidP="0037604E">
      <w:pPr>
        <w:spacing w:after="0" w:line="240" w:lineRule="auto"/>
        <w:ind w:firstLine="0"/>
        <w:jc w:val="center"/>
        <w:rPr>
          <w:rFonts w:ascii="Cambria" w:eastAsia="Calibri" w:hAnsi="Cambria" w:cs="Arial"/>
          <w:sz w:val="24"/>
          <w:szCs w:val="24"/>
          <w:lang w:val="en-GB" w:eastAsia="en-US"/>
        </w:rPr>
      </w:pPr>
      <w:r w:rsidRPr="0037604E">
        <w:rPr>
          <w:rFonts w:ascii="Cambria" w:eastAsia="Times New Roman" w:hAnsi="Cambria" w:cs="Times New Roman"/>
          <w:b/>
          <w:i/>
          <w:color w:val="000000"/>
          <w:sz w:val="16"/>
          <w:szCs w:val="16"/>
          <w:lang w:val="en-GB" w:eastAsia="ro-RO"/>
        </w:rPr>
        <w:t>Chart 43- Evolution of no. of employees in  2016 vs 2015</w:t>
      </w:r>
    </w:p>
    <w:p w:rsidR="0037604E" w:rsidRPr="0037604E" w:rsidRDefault="0037604E" w:rsidP="0037604E">
      <w:pPr>
        <w:spacing w:after="0" w:line="240" w:lineRule="auto"/>
        <w:ind w:firstLine="0"/>
        <w:jc w:val="both"/>
        <w:rPr>
          <w:rFonts w:ascii="Cambria" w:eastAsia="Calibri" w:hAnsi="Cambria" w:cs="Arial"/>
          <w:sz w:val="24"/>
          <w:szCs w:val="24"/>
          <w:lang w:val="en-GB"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eastAsia="en-US"/>
        </w:rPr>
      </w:pPr>
      <w:r w:rsidRPr="0037604E">
        <w:rPr>
          <w:rFonts w:ascii="Cambria" w:eastAsia="Calibri" w:hAnsi="Cambria" w:cs="Arial"/>
          <w:sz w:val="24"/>
          <w:szCs w:val="24"/>
          <w:lang w:val="en-GB" w:eastAsia="en-US"/>
        </w:rPr>
        <w:lastRenderedPageBreak/>
        <w:t xml:space="preserve">In order to improve the use of qualified personnel for performing the duties entirely in the new working conditions, according to the Management Plan of SNTGN TRANSGAZ S.A. 2013-2017 it was prepared the Plan for the norming of technical works within </w:t>
      </w:r>
      <w:r w:rsidRPr="0037604E">
        <w:rPr>
          <w:rFonts w:asciiTheme="majorHAnsi" w:eastAsia="Times New Roman" w:hAnsiTheme="majorHAnsi" w:cs="Times New Roman"/>
          <w:sz w:val="24"/>
          <w:szCs w:val="24"/>
          <w:lang w:eastAsia="en-US"/>
        </w:rPr>
        <w:t>S.N.T.G.N. TRANSGAZ, which was prepared in two stages in 2016:</w:t>
      </w:r>
    </w:p>
    <w:p w:rsidR="0037604E" w:rsidRPr="0037604E" w:rsidRDefault="0037604E" w:rsidP="00FA6EB9">
      <w:pPr>
        <w:numPr>
          <w:ilvl w:val="0"/>
          <w:numId w:val="137"/>
        </w:numPr>
        <w:spacing w:after="0" w:line="240" w:lineRule="auto"/>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bCs/>
          <w:sz w:val="24"/>
          <w:szCs w:val="24"/>
          <w:lang w:val="ro-RO" w:eastAsia="en-US"/>
        </w:rPr>
        <w:t>stage I – technical works identified to be normed with priority;</w:t>
      </w:r>
    </w:p>
    <w:p w:rsidR="0037604E" w:rsidRPr="0037604E" w:rsidRDefault="0037604E" w:rsidP="00FA6EB9">
      <w:pPr>
        <w:numPr>
          <w:ilvl w:val="0"/>
          <w:numId w:val="137"/>
        </w:numPr>
        <w:spacing w:after="0" w:line="240" w:lineRule="auto"/>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bCs/>
          <w:sz w:val="24"/>
          <w:szCs w:val="24"/>
          <w:lang w:val="ro-RO" w:eastAsia="en-US"/>
        </w:rPr>
        <w:t>stage II –  the other technical works identified</w:t>
      </w:r>
      <w:r w:rsidRPr="0037604E">
        <w:rPr>
          <w:rFonts w:asciiTheme="majorHAnsi" w:eastAsia="Times New Roman" w:hAnsiTheme="majorHAnsi" w:cs="Times New Roman"/>
          <w:bCs/>
          <w:sz w:val="24"/>
          <w:szCs w:val="24"/>
          <w:lang w:eastAsia="en-US"/>
        </w:rPr>
        <w:t>.</w:t>
      </w:r>
    </w:p>
    <w:p w:rsidR="0037604E" w:rsidRPr="0037604E" w:rsidRDefault="0037604E" w:rsidP="0037604E">
      <w:pPr>
        <w:spacing w:after="0" w:line="240" w:lineRule="auto"/>
        <w:ind w:firstLine="0"/>
        <w:jc w:val="both"/>
        <w:rPr>
          <w:rFonts w:asciiTheme="majorHAnsi" w:eastAsia="Times New Roman" w:hAnsiTheme="majorHAnsi" w:cs="Times New Roman"/>
          <w:bCs/>
          <w:sz w:val="24"/>
          <w:szCs w:val="24"/>
          <w:lang w:eastAsia="en-US"/>
        </w:rPr>
      </w:pPr>
      <w:r w:rsidRPr="0037604E">
        <w:rPr>
          <w:rFonts w:asciiTheme="majorHAnsi" w:hAnsiTheme="majorHAnsi" w:cs="Arial"/>
          <w:sz w:val="24"/>
          <w:szCs w:val="24"/>
          <w:lang w:val="en"/>
        </w:rPr>
        <w:t>The situation timed technical work to date is presented in the following table</w:t>
      </w:r>
      <w:r w:rsidRPr="0037604E">
        <w:rPr>
          <w:rFonts w:asciiTheme="majorHAnsi" w:eastAsia="Times New Roman" w:hAnsiTheme="majorHAnsi" w:cs="Times New Roman"/>
          <w:bCs/>
          <w:sz w:val="24"/>
          <w:szCs w:val="24"/>
          <w:lang w:eastAsia="en-US"/>
        </w:rPr>
        <w:t>:</w:t>
      </w:r>
    </w:p>
    <w:p w:rsidR="0037604E" w:rsidRPr="0037604E" w:rsidRDefault="0037604E" w:rsidP="0037604E">
      <w:pPr>
        <w:spacing w:after="0" w:line="240" w:lineRule="auto"/>
        <w:ind w:firstLine="0"/>
        <w:jc w:val="both"/>
        <w:rPr>
          <w:rFonts w:asciiTheme="majorHAnsi" w:eastAsia="Times New Roman" w:hAnsiTheme="majorHAnsi" w:cs="Times New Roman"/>
          <w:bCs/>
          <w:sz w:val="24"/>
          <w:szCs w:val="24"/>
          <w:lang w:eastAsia="en-US"/>
        </w:rPr>
      </w:pPr>
    </w:p>
    <w:tbl>
      <w:tblPr>
        <w:tblW w:w="10180"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1498"/>
        <w:gridCol w:w="609"/>
        <w:gridCol w:w="648"/>
        <w:gridCol w:w="685"/>
        <w:gridCol w:w="657"/>
        <w:gridCol w:w="655"/>
        <w:gridCol w:w="670"/>
        <w:gridCol w:w="559"/>
        <w:gridCol w:w="670"/>
        <w:gridCol w:w="643"/>
        <w:gridCol w:w="618"/>
        <w:gridCol w:w="625"/>
        <w:gridCol w:w="655"/>
        <w:gridCol w:w="988"/>
      </w:tblGrid>
      <w:tr w:rsidR="0037604E" w:rsidRPr="0037604E" w:rsidTr="0037604E">
        <w:trPr>
          <w:trHeight w:val="221"/>
          <w:tblCellSpacing w:w="20" w:type="dxa"/>
          <w:jc w:val="center"/>
        </w:trPr>
        <w:tc>
          <w:tcPr>
            <w:tcW w:w="143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2016</w:t>
            </w:r>
          </w:p>
        </w:tc>
        <w:tc>
          <w:tcPr>
            <w:tcW w:w="569"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Jan</w:t>
            </w:r>
          </w:p>
        </w:tc>
        <w:tc>
          <w:tcPr>
            <w:tcW w:w="60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Feb</w:t>
            </w:r>
          </w:p>
        </w:tc>
        <w:tc>
          <w:tcPr>
            <w:tcW w:w="645"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Mar</w:t>
            </w:r>
          </w:p>
        </w:tc>
        <w:tc>
          <w:tcPr>
            <w:tcW w:w="617"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Apr</w:t>
            </w:r>
          </w:p>
        </w:tc>
        <w:tc>
          <w:tcPr>
            <w:tcW w:w="615"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May</w:t>
            </w:r>
          </w:p>
        </w:tc>
        <w:tc>
          <w:tcPr>
            <w:tcW w:w="630"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Jun</w:t>
            </w:r>
          </w:p>
        </w:tc>
        <w:tc>
          <w:tcPr>
            <w:tcW w:w="519"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Jul</w:t>
            </w:r>
          </w:p>
        </w:tc>
        <w:tc>
          <w:tcPr>
            <w:tcW w:w="630"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Aug</w:t>
            </w:r>
          </w:p>
        </w:tc>
        <w:tc>
          <w:tcPr>
            <w:tcW w:w="603"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Sep</w:t>
            </w:r>
          </w:p>
        </w:tc>
        <w:tc>
          <w:tcPr>
            <w:tcW w:w="57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Oct</w:t>
            </w:r>
          </w:p>
        </w:tc>
        <w:tc>
          <w:tcPr>
            <w:tcW w:w="585"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Nov</w:t>
            </w:r>
          </w:p>
        </w:tc>
        <w:tc>
          <w:tcPr>
            <w:tcW w:w="615"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Dec</w:t>
            </w:r>
          </w:p>
        </w:tc>
        <w:tc>
          <w:tcPr>
            <w:tcW w:w="92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 xml:space="preserve">TOTAL </w:t>
            </w:r>
          </w:p>
          <w:p w:rsidR="0037604E" w:rsidRPr="0037604E" w:rsidRDefault="0037604E" w:rsidP="0037604E">
            <w:pPr>
              <w:spacing w:after="0" w:line="240" w:lineRule="auto"/>
              <w:ind w:firstLine="0"/>
              <w:rPr>
                <w:rFonts w:asciiTheme="majorHAnsi" w:eastAsia="Times New Roman" w:hAnsiTheme="majorHAnsi" w:cs="Times New Roman"/>
                <w:b/>
                <w:sz w:val="20"/>
                <w:szCs w:val="20"/>
                <w:lang w:eastAsia="ro-RO"/>
              </w:rPr>
            </w:pPr>
            <w:r w:rsidRPr="0037604E">
              <w:rPr>
                <w:rFonts w:asciiTheme="majorHAnsi" w:eastAsia="Times New Roman" w:hAnsiTheme="majorHAnsi" w:cs="Times New Roman"/>
                <w:b/>
                <w:sz w:val="20"/>
                <w:szCs w:val="20"/>
                <w:lang w:eastAsia="ro-RO"/>
              </w:rPr>
              <w:t xml:space="preserve">  2016</w:t>
            </w:r>
          </w:p>
        </w:tc>
      </w:tr>
      <w:tr w:rsidR="0037604E" w:rsidRPr="0037604E" w:rsidTr="0037604E">
        <w:trPr>
          <w:trHeight w:val="99"/>
          <w:tblCellSpacing w:w="20" w:type="dxa"/>
          <w:jc w:val="center"/>
        </w:trPr>
        <w:tc>
          <w:tcPr>
            <w:tcW w:w="1438" w:type="dxa"/>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ARAD</w:t>
            </w:r>
          </w:p>
        </w:tc>
        <w:tc>
          <w:tcPr>
            <w:tcW w:w="569"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9</w:t>
            </w:r>
          </w:p>
        </w:tc>
        <w:tc>
          <w:tcPr>
            <w:tcW w:w="64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16</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21</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13</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79</w:t>
            </w:r>
          </w:p>
        </w:tc>
      </w:tr>
      <w:tr w:rsidR="0037604E" w:rsidRPr="0037604E" w:rsidTr="0037604E">
        <w:trPr>
          <w:trHeight w:val="161"/>
          <w:tblCellSpacing w:w="20" w:type="dxa"/>
          <w:jc w:val="center"/>
        </w:trPr>
        <w:tc>
          <w:tcPr>
            <w:tcW w:w="1438" w:type="dxa"/>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BACĂU</w:t>
            </w:r>
          </w:p>
        </w:tc>
        <w:tc>
          <w:tcPr>
            <w:tcW w:w="569"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 </w:t>
            </w:r>
          </w:p>
        </w:tc>
        <w:tc>
          <w:tcPr>
            <w:tcW w:w="64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9</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11</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9</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56</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BRAȘOV</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13</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22</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53</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BRĂILA</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13</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9</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25</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7</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13</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10</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87</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BUCUREȘTI</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3</w:t>
            </w: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4</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0</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0</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9</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CLUJ</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w:t>
            </w: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4</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23</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13</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16</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14</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24</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31</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21</w:t>
            </w: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157</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CONSTANȚA</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12</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9</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37</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CRAIOVA</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8</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16</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17</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13</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w:t>
            </w: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67</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R.O. MEDIAȘ</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5</w:t>
            </w: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6</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11</w:t>
            </w: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4</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24</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23</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17</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w:t>
            </w: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w:t>
            </w: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100</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G.C.S.</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26</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0</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0</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28</w:t>
            </w:r>
          </w:p>
        </w:tc>
      </w:tr>
      <w:tr w:rsidR="0037604E" w:rsidRPr="0037604E" w:rsidTr="0037604E">
        <w:trPr>
          <w:trHeight w:val="116"/>
          <w:tblCellSpacing w:w="20" w:type="dxa"/>
          <w:jc w:val="center"/>
        </w:trPr>
        <w:tc>
          <w:tcPr>
            <w:tcW w:w="1438" w:type="dxa"/>
            <w:shd w:val="clear" w:color="auto" w:fill="auto"/>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ro-RO" w:eastAsia="en-US"/>
              </w:rPr>
            </w:pPr>
            <w:r w:rsidRPr="0037604E">
              <w:rPr>
                <w:rFonts w:asciiTheme="majorHAnsi" w:eastAsia="Times New Roman" w:hAnsiTheme="majorHAnsi" w:cs="Times New Roman"/>
                <w:sz w:val="20"/>
                <w:szCs w:val="20"/>
                <w:lang w:val="ro-RO" w:eastAsia="en-US"/>
              </w:rPr>
              <w:t>SUBSIDIARY MEDIAS</w:t>
            </w:r>
          </w:p>
        </w:tc>
        <w:tc>
          <w:tcPr>
            <w:tcW w:w="569"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08"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4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1</w:t>
            </w:r>
          </w:p>
        </w:tc>
        <w:tc>
          <w:tcPr>
            <w:tcW w:w="617"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615"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2</w:t>
            </w:r>
          </w:p>
        </w:tc>
        <w:tc>
          <w:tcPr>
            <w:tcW w:w="630" w:type="dxa"/>
            <w:vAlign w:val="center"/>
          </w:tcPr>
          <w:p w:rsidR="0037604E" w:rsidRPr="0037604E" w:rsidRDefault="0037604E" w:rsidP="0037604E">
            <w:pPr>
              <w:spacing w:after="0" w:line="240" w:lineRule="auto"/>
              <w:ind w:firstLine="0"/>
              <w:jc w:val="center"/>
              <w:rPr>
                <w:rFonts w:asciiTheme="majorHAnsi" w:eastAsia="Calibri" w:hAnsiTheme="majorHAnsi" w:cs="DokChampa"/>
                <w:sz w:val="20"/>
                <w:szCs w:val="20"/>
                <w:lang w:eastAsia="en-US"/>
              </w:rPr>
            </w:pPr>
          </w:p>
        </w:tc>
        <w:tc>
          <w:tcPr>
            <w:tcW w:w="519"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2</w:t>
            </w:r>
          </w:p>
        </w:tc>
        <w:tc>
          <w:tcPr>
            <w:tcW w:w="630"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5</w:t>
            </w:r>
          </w:p>
        </w:tc>
        <w:tc>
          <w:tcPr>
            <w:tcW w:w="603"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0</w:t>
            </w:r>
          </w:p>
        </w:tc>
        <w:tc>
          <w:tcPr>
            <w:tcW w:w="57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w:t>
            </w:r>
          </w:p>
        </w:tc>
        <w:tc>
          <w:tcPr>
            <w:tcW w:w="58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615"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p>
        </w:tc>
        <w:tc>
          <w:tcPr>
            <w:tcW w:w="928" w:type="dxa"/>
            <w:tcBorders>
              <w:top w:val="outset" w:sz="2" w:space="0" w:color="auto"/>
              <w:left w:val="outset" w:sz="2" w:space="0" w:color="auto"/>
              <w:bottom w:val="outset" w:sz="2" w:space="0" w:color="auto"/>
              <w:right w:val="outset" w:sz="2" w:space="0" w:color="auto"/>
            </w:tcBorders>
            <w:vAlign w:val="center"/>
          </w:tcPr>
          <w:p w:rsidR="0037604E" w:rsidRPr="0037604E" w:rsidRDefault="0037604E" w:rsidP="0037604E">
            <w:pPr>
              <w:spacing w:after="0" w:line="240" w:lineRule="auto"/>
              <w:ind w:firstLine="0"/>
              <w:jc w:val="center"/>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112</w:t>
            </w:r>
          </w:p>
        </w:tc>
      </w:tr>
      <w:tr w:rsidR="0037604E" w:rsidRPr="0037604E" w:rsidTr="0037604E">
        <w:trPr>
          <w:trHeight w:val="116"/>
          <w:tblCellSpacing w:w="20" w:type="dxa"/>
          <w:jc w:val="center"/>
        </w:trPr>
        <w:tc>
          <w:tcPr>
            <w:tcW w:w="1438" w:type="dxa"/>
            <w:shd w:val="clear" w:color="auto" w:fill="D6E0F4"/>
            <w:vAlign w:val="center"/>
          </w:tcPr>
          <w:p w:rsidR="0037604E" w:rsidRPr="0037604E" w:rsidRDefault="0037604E" w:rsidP="0037604E">
            <w:pPr>
              <w:spacing w:after="0" w:line="240" w:lineRule="auto"/>
              <w:ind w:firstLine="0"/>
              <w:rPr>
                <w:rFonts w:asciiTheme="majorHAnsi" w:eastAsia="Times New Roman" w:hAnsiTheme="majorHAnsi" w:cs="Times New Roman"/>
                <w:b/>
                <w:sz w:val="20"/>
                <w:szCs w:val="20"/>
                <w:lang w:val="ro-RO" w:eastAsia="en-US"/>
              </w:rPr>
            </w:pPr>
            <w:r w:rsidRPr="0037604E">
              <w:rPr>
                <w:rFonts w:asciiTheme="majorHAnsi" w:eastAsia="Times New Roman" w:hAnsiTheme="majorHAnsi" w:cs="Times New Roman"/>
                <w:b/>
                <w:sz w:val="20"/>
                <w:szCs w:val="20"/>
                <w:lang w:val="ro-RO" w:eastAsia="en-US"/>
              </w:rPr>
              <w:t>Total of standardised works</w:t>
            </w:r>
          </w:p>
        </w:tc>
        <w:tc>
          <w:tcPr>
            <w:tcW w:w="569"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1</w:t>
            </w:r>
          </w:p>
        </w:tc>
        <w:tc>
          <w:tcPr>
            <w:tcW w:w="608"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19</w:t>
            </w:r>
          </w:p>
        </w:tc>
        <w:tc>
          <w:tcPr>
            <w:tcW w:w="645"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42</w:t>
            </w:r>
          </w:p>
        </w:tc>
        <w:tc>
          <w:tcPr>
            <w:tcW w:w="617"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41</w:t>
            </w:r>
          </w:p>
        </w:tc>
        <w:tc>
          <w:tcPr>
            <w:tcW w:w="615"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41</w:t>
            </w:r>
          </w:p>
        </w:tc>
        <w:tc>
          <w:tcPr>
            <w:tcW w:w="630"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DokChampa"/>
                <w:b/>
                <w:sz w:val="20"/>
                <w:szCs w:val="20"/>
                <w:lang w:eastAsia="en-US"/>
              </w:rPr>
            </w:pPr>
            <w:r w:rsidRPr="0037604E">
              <w:rPr>
                <w:rFonts w:asciiTheme="majorHAnsi" w:eastAsia="Calibri" w:hAnsiTheme="majorHAnsi" w:cs="DokChampa"/>
                <w:b/>
                <w:sz w:val="20"/>
                <w:szCs w:val="20"/>
                <w:lang w:eastAsia="en-US"/>
              </w:rPr>
              <w:t>126</w:t>
            </w:r>
          </w:p>
        </w:tc>
        <w:tc>
          <w:tcPr>
            <w:tcW w:w="519"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92</w:t>
            </w:r>
          </w:p>
        </w:tc>
        <w:tc>
          <w:tcPr>
            <w:tcW w:w="630"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102</w:t>
            </w:r>
          </w:p>
        </w:tc>
        <w:tc>
          <w:tcPr>
            <w:tcW w:w="603"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70</w:t>
            </w:r>
          </w:p>
        </w:tc>
        <w:tc>
          <w:tcPr>
            <w:tcW w:w="578"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80</w:t>
            </w:r>
          </w:p>
        </w:tc>
        <w:tc>
          <w:tcPr>
            <w:tcW w:w="585"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47</w:t>
            </w:r>
          </w:p>
        </w:tc>
        <w:tc>
          <w:tcPr>
            <w:tcW w:w="615"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24</w:t>
            </w:r>
          </w:p>
        </w:tc>
        <w:tc>
          <w:tcPr>
            <w:tcW w:w="928" w:type="dxa"/>
            <w:tcBorders>
              <w:top w:val="outset" w:sz="2" w:space="0" w:color="auto"/>
              <w:left w:val="outset" w:sz="2" w:space="0" w:color="auto"/>
              <w:bottom w:val="outset" w:sz="2" w:space="0" w:color="auto"/>
              <w:right w:val="outset" w:sz="2" w:space="0" w:color="auto"/>
            </w:tcBorders>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685</w:t>
            </w:r>
          </w:p>
        </w:tc>
      </w:tr>
    </w:tbl>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eastAsia="en-US"/>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evolution of the staff structure per education category reveals the company's interest to cover staffing needs by employing highly qualified specialists and by the continuous improvement of the existing staff, the trend towards increasing the number of employees with higher education in parallel with the decrease of employees with high school education, general education and internal training is obvious</w:t>
      </w:r>
      <w:r w:rsidRPr="0037604E">
        <w:rPr>
          <w:rFonts w:ascii="Cambria" w:eastAsia="Times New Roman" w:hAnsi="Cambria" w:cs="Times New Roman"/>
          <w:sz w:val="24"/>
          <w:szCs w:val="24"/>
          <w:lang w:val="en-GB"/>
        </w:rPr>
        <w:t>:</w:t>
      </w:r>
    </w:p>
    <w:p w:rsidR="0037604E" w:rsidRPr="0037604E" w:rsidRDefault="0037604E" w:rsidP="0037604E">
      <w:pPr>
        <w:spacing w:after="120" w:line="25" w:lineRule="atLeast"/>
        <w:ind w:firstLine="0"/>
        <w:jc w:val="both"/>
        <w:rPr>
          <w:rFonts w:ascii="Cambria" w:eastAsia="Times New Roman" w:hAnsi="Cambria" w:cs="Times New Roman"/>
          <w:sz w:val="24"/>
          <w:szCs w:val="24"/>
          <w:lang w:val="en-GB"/>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610"/>
        <w:gridCol w:w="4197"/>
        <w:gridCol w:w="771"/>
        <w:gridCol w:w="771"/>
        <w:gridCol w:w="1336"/>
        <w:gridCol w:w="1336"/>
      </w:tblGrid>
      <w:tr w:rsidR="0037604E" w:rsidRPr="0037604E" w:rsidTr="0037604E">
        <w:trPr>
          <w:trHeight w:val="670"/>
          <w:tblCellSpacing w:w="20" w:type="dxa"/>
          <w:jc w:val="center"/>
        </w:trPr>
        <w:tc>
          <w:tcPr>
            <w:tcW w:w="550" w:type="dxa"/>
            <w:shd w:val="clear" w:color="auto" w:fill="DBE5F1" w:themeFill="accent1" w:themeFillTint="33"/>
            <w:vAlign w:val="center"/>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No.</w:t>
            </w:r>
          </w:p>
        </w:tc>
        <w:tc>
          <w:tcPr>
            <w:tcW w:w="0" w:type="auto"/>
            <w:shd w:val="clear" w:color="auto" w:fill="DBE5F1" w:themeFill="accent1" w:themeFillTint="33"/>
            <w:vAlign w:val="center"/>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Category</w:t>
            </w:r>
          </w:p>
        </w:tc>
        <w:tc>
          <w:tcPr>
            <w:tcW w:w="0" w:type="auto"/>
            <w:shd w:val="clear" w:color="auto" w:fill="DBE5F1" w:themeFill="accent1" w:themeFillTint="33"/>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2013</w:t>
            </w:r>
          </w:p>
        </w:tc>
        <w:tc>
          <w:tcPr>
            <w:tcW w:w="0" w:type="auto"/>
            <w:shd w:val="clear" w:color="auto" w:fill="DBE5F1" w:themeFill="accent1" w:themeFillTint="33"/>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2014</w:t>
            </w:r>
          </w:p>
        </w:tc>
        <w:tc>
          <w:tcPr>
            <w:tcW w:w="1296" w:type="dxa"/>
            <w:shd w:val="clear" w:color="auto" w:fill="DBE5F1" w:themeFill="accent1" w:themeFillTint="33"/>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2015</w:t>
            </w:r>
          </w:p>
        </w:tc>
        <w:tc>
          <w:tcPr>
            <w:tcW w:w="1276" w:type="dxa"/>
            <w:shd w:val="clear" w:color="auto" w:fill="DBE5F1" w:themeFill="accent1" w:themeFillTint="33"/>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p>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2016</w:t>
            </w:r>
          </w:p>
        </w:tc>
      </w:tr>
      <w:tr w:rsidR="0037604E" w:rsidRPr="0037604E" w:rsidTr="0037604E">
        <w:trPr>
          <w:tblCellSpacing w:w="20" w:type="dxa"/>
          <w:jc w:val="center"/>
        </w:trPr>
        <w:tc>
          <w:tcPr>
            <w:tcW w:w="550" w:type="dxa"/>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1</w:t>
            </w:r>
          </w:p>
        </w:tc>
        <w:tc>
          <w:tcPr>
            <w:tcW w:w="0" w:type="auto"/>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Higher education graduates</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1.096</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1.169</w:t>
            </w:r>
          </w:p>
        </w:tc>
        <w:tc>
          <w:tcPr>
            <w:tcW w:w="129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1.237</w:t>
            </w:r>
          </w:p>
        </w:tc>
        <w:tc>
          <w:tcPr>
            <w:tcW w:w="1276"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1.291</w:t>
            </w:r>
          </w:p>
        </w:tc>
      </w:tr>
      <w:tr w:rsidR="0037604E" w:rsidRPr="0037604E" w:rsidTr="0037604E">
        <w:trPr>
          <w:tblCellSpacing w:w="20" w:type="dxa"/>
          <w:jc w:val="center"/>
        </w:trPr>
        <w:tc>
          <w:tcPr>
            <w:tcW w:w="550" w:type="dxa"/>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2</w:t>
            </w:r>
          </w:p>
        </w:tc>
        <w:tc>
          <w:tcPr>
            <w:tcW w:w="0" w:type="auto"/>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High school graduates</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1.565</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1.521</w:t>
            </w:r>
          </w:p>
        </w:tc>
        <w:tc>
          <w:tcPr>
            <w:tcW w:w="129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1.446</w:t>
            </w:r>
          </w:p>
        </w:tc>
        <w:tc>
          <w:tcPr>
            <w:tcW w:w="1276"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1.414</w:t>
            </w:r>
          </w:p>
        </w:tc>
      </w:tr>
      <w:tr w:rsidR="0037604E" w:rsidRPr="0037604E" w:rsidTr="0037604E">
        <w:trPr>
          <w:tblCellSpacing w:w="20" w:type="dxa"/>
          <w:jc w:val="center"/>
        </w:trPr>
        <w:tc>
          <w:tcPr>
            <w:tcW w:w="550" w:type="dxa"/>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3</w:t>
            </w:r>
          </w:p>
        </w:tc>
        <w:tc>
          <w:tcPr>
            <w:tcW w:w="0" w:type="auto"/>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Vocational education graduates</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896</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877</w:t>
            </w:r>
          </w:p>
        </w:tc>
        <w:tc>
          <w:tcPr>
            <w:tcW w:w="129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834</w:t>
            </w:r>
          </w:p>
        </w:tc>
        <w:tc>
          <w:tcPr>
            <w:tcW w:w="1276"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792</w:t>
            </w:r>
          </w:p>
        </w:tc>
      </w:tr>
      <w:tr w:rsidR="0037604E" w:rsidRPr="0037604E" w:rsidTr="0037604E">
        <w:trPr>
          <w:trHeight w:val="443"/>
          <w:tblCellSpacing w:w="20" w:type="dxa"/>
          <w:jc w:val="center"/>
        </w:trPr>
        <w:tc>
          <w:tcPr>
            <w:tcW w:w="550" w:type="dxa"/>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4</w:t>
            </w:r>
          </w:p>
        </w:tc>
        <w:tc>
          <w:tcPr>
            <w:tcW w:w="0" w:type="auto"/>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General education graduates + training course</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1.344</w:t>
            </w:r>
          </w:p>
        </w:tc>
        <w:tc>
          <w:tcPr>
            <w:tcW w:w="0" w:type="auto"/>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1.253</w:t>
            </w:r>
          </w:p>
        </w:tc>
        <w:tc>
          <w:tcPr>
            <w:tcW w:w="129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1.183</w:t>
            </w:r>
          </w:p>
        </w:tc>
        <w:tc>
          <w:tcPr>
            <w:tcW w:w="1276"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1.110</w:t>
            </w:r>
          </w:p>
        </w:tc>
      </w:tr>
      <w:tr w:rsidR="0037604E" w:rsidRPr="0037604E" w:rsidTr="0037604E">
        <w:trPr>
          <w:tblCellSpacing w:w="20" w:type="dxa"/>
          <w:jc w:val="center"/>
        </w:trPr>
        <w:tc>
          <w:tcPr>
            <w:tcW w:w="550" w:type="dxa"/>
            <w:shd w:val="clear" w:color="auto" w:fill="DBE5F1" w:themeFill="accent1" w:themeFillTint="33"/>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w:t>
            </w:r>
          </w:p>
        </w:tc>
        <w:tc>
          <w:tcPr>
            <w:tcW w:w="0" w:type="auto"/>
            <w:shd w:val="clear" w:color="auto" w:fill="DBE5F1" w:themeFill="accent1" w:themeFillTint="33"/>
          </w:tcPr>
          <w:p w:rsidR="0037604E" w:rsidRPr="0037604E" w:rsidRDefault="0037604E" w:rsidP="0037604E">
            <w:pPr>
              <w:spacing w:after="0" w:line="240" w:lineRule="auto"/>
              <w:ind w:firstLine="0"/>
              <w:jc w:val="both"/>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TOTAL employees</w:t>
            </w:r>
          </w:p>
        </w:tc>
        <w:tc>
          <w:tcPr>
            <w:tcW w:w="0" w:type="auto"/>
            <w:shd w:val="clear" w:color="auto" w:fill="DBE5F1" w:themeFill="accent1" w:themeFillTint="33"/>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4.901</w:t>
            </w:r>
          </w:p>
        </w:tc>
        <w:tc>
          <w:tcPr>
            <w:tcW w:w="0" w:type="auto"/>
            <w:shd w:val="clear" w:color="auto" w:fill="DBE5F1" w:themeFill="accent1" w:themeFillTint="33"/>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4.820</w:t>
            </w:r>
          </w:p>
        </w:tc>
        <w:tc>
          <w:tcPr>
            <w:tcW w:w="1296" w:type="dxa"/>
            <w:shd w:val="clear" w:color="auto" w:fill="DBE5F1" w:themeFill="accent1" w:themeFillTint="33"/>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4.700</w:t>
            </w:r>
          </w:p>
        </w:tc>
        <w:tc>
          <w:tcPr>
            <w:tcW w:w="1276" w:type="dxa"/>
            <w:shd w:val="clear" w:color="auto" w:fill="DBE5F1" w:themeFill="accent1" w:themeFillTint="33"/>
            <w:vAlign w:val="center"/>
          </w:tcPr>
          <w:p w:rsidR="0037604E" w:rsidRPr="0037604E" w:rsidRDefault="0037604E" w:rsidP="0037604E">
            <w:pPr>
              <w:spacing w:after="0" w:line="240" w:lineRule="auto"/>
              <w:ind w:firstLine="0"/>
              <w:jc w:val="right"/>
              <w:rPr>
                <w:rFonts w:asciiTheme="majorHAnsi" w:eastAsia="Calibri" w:hAnsiTheme="majorHAnsi" w:cs="DokChampa"/>
                <w:b/>
                <w:lang w:eastAsia="en-US"/>
              </w:rPr>
            </w:pPr>
            <w:r w:rsidRPr="0037604E">
              <w:rPr>
                <w:rFonts w:asciiTheme="majorHAnsi" w:eastAsia="Calibri" w:hAnsiTheme="majorHAnsi" w:cs="DokChampa"/>
                <w:b/>
                <w:lang w:eastAsia="en-US"/>
              </w:rPr>
              <w:t>4.607</w:t>
            </w:r>
          </w:p>
        </w:tc>
      </w:tr>
    </w:tbl>
    <w:p w:rsidR="0037604E" w:rsidRPr="0037604E" w:rsidRDefault="0037604E" w:rsidP="0037604E">
      <w:pPr>
        <w:spacing w:after="0" w:line="240" w:lineRule="auto"/>
        <w:ind w:firstLine="0"/>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Table 31 – </w:t>
      </w:r>
      <w:r w:rsidRPr="0037604E">
        <w:rPr>
          <w:rFonts w:ascii="Cambria" w:eastAsia="Calibri" w:hAnsi="Cambria" w:cs="Times New Roman"/>
          <w:b/>
          <w:i/>
          <w:sz w:val="16"/>
          <w:lang w:val="en-GB" w:eastAsia="en-US"/>
        </w:rPr>
        <w:t>The evolution of the personnel per education category between</w:t>
      </w:r>
      <w:r w:rsidRPr="0037604E">
        <w:rPr>
          <w:rFonts w:ascii="Cambria" w:eastAsia="Times New Roman" w:hAnsi="Cambria" w:cs="Times New Roman"/>
          <w:b/>
          <w:i/>
          <w:sz w:val="10"/>
          <w:szCs w:val="16"/>
          <w:lang w:val="en-GB" w:eastAsia="ro-RO"/>
        </w:rPr>
        <w:t xml:space="preserve"> </w:t>
      </w:r>
      <w:r w:rsidRPr="0037604E">
        <w:rPr>
          <w:rFonts w:ascii="Cambria" w:eastAsia="Times New Roman" w:hAnsi="Cambria" w:cs="Times New Roman"/>
          <w:b/>
          <w:i/>
          <w:sz w:val="16"/>
          <w:szCs w:val="16"/>
          <w:lang w:val="en-GB" w:eastAsia="ro-RO"/>
        </w:rPr>
        <w:t>2013- 2016</w:t>
      </w:r>
    </w:p>
    <w:p w:rsidR="0037604E" w:rsidRPr="0037604E" w:rsidRDefault="0037604E" w:rsidP="0037604E">
      <w:pPr>
        <w:spacing w:after="0" w:line="240" w:lineRule="auto"/>
        <w:ind w:hanging="720"/>
        <w:jc w:val="center"/>
        <w:rPr>
          <w:rFonts w:ascii="Cambria" w:eastAsia="Times New Roman" w:hAnsi="Cambria" w:cs="Times New Roman"/>
          <w:b/>
          <w:i/>
          <w:sz w:val="16"/>
          <w:szCs w:val="16"/>
          <w:lang w:val="en-GB" w:eastAsia="ro-RO"/>
        </w:rPr>
      </w:pPr>
      <w:r w:rsidRPr="0037604E">
        <w:rPr>
          <w:noProof/>
          <w:lang w:val="ro-RO" w:eastAsia="ro-RO"/>
        </w:rPr>
        <w:lastRenderedPageBreak/>
        <w:drawing>
          <wp:inline distT="0" distB="0" distL="0" distR="0" wp14:anchorId="4E30D66F" wp14:editId="429F2EA0">
            <wp:extent cx="6359703" cy="2342508"/>
            <wp:effectExtent l="0" t="0" r="3175" b="127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Chart 44- </w:t>
      </w:r>
      <w:r w:rsidRPr="0037604E">
        <w:rPr>
          <w:rFonts w:ascii="Cambria" w:eastAsia="Calibri" w:hAnsi="Cambria" w:cs="Times New Roman"/>
          <w:b/>
          <w:i/>
          <w:sz w:val="16"/>
          <w:lang w:val="en-GB" w:eastAsia="en-US"/>
        </w:rPr>
        <w:t>The evolution of staff per category of study between</w:t>
      </w:r>
      <w:r w:rsidRPr="0037604E">
        <w:rPr>
          <w:rFonts w:ascii="Cambria" w:eastAsia="Times New Roman" w:hAnsi="Cambria" w:cs="Times New Roman"/>
          <w:b/>
          <w:i/>
          <w:sz w:val="10"/>
          <w:szCs w:val="16"/>
          <w:lang w:val="en-GB" w:eastAsia="ro-RO"/>
        </w:rPr>
        <w:t xml:space="preserve"> </w:t>
      </w:r>
      <w:r w:rsidRPr="0037604E">
        <w:rPr>
          <w:rFonts w:ascii="Cambria" w:eastAsia="Times New Roman" w:hAnsi="Cambria" w:cs="Times New Roman"/>
          <w:b/>
          <w:i/>
          <w:sz w:val="16"/>
          <w:szCs w:val="16"/>
          <w:lang w:val="en-GB" w:eastAsia="ro-RO"/>
        </w:rPr>
        <w:t>2013- 2016</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Within the Company the training of personnel is performed continuously and planned by courses with external trainers in the country or abroad or with internal trainers through the Professional Training Centre.</w:t>
      </w:r>
    </w:p>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br/>
        <w:t>The training has two components: a professional one (technical, economic and other specialties) necessary to perform job duties and a general one in various fields.</w:t>
      </w:r>
      <w:r w:rsidRPr="0037604E">
        <w:rPr>
          <w:rFonts w:asciiTheme="majorHAnsi" w:hAnsiTheme="majorHAnsi" w:cs="Arial"/>
          <w:sz w:val="24"/>
          <w:szCs w:val="24"/>
          <w:lang w:val="en-GB"/>
        </w:rPr>
        <w:br/>
      </w:r>
      <w:r w:rsidRPr="0037604E">
        <w:rPr>
          <w:rFonts w:asciiTheme="majorHAnsi" w:hAnsiTheme="majorHAnsi" w:cs="Arial"/>
          <w:sz w:val="24"/>
          <w:szCs w:val="24"/>
          <w:lang w:val="en-GB"/>
        </w:rPr>
        <w:br/>
        <w:t>Professional training of employees aims at:</w:t>
      </w:r>
    </w:p>
    <w:p w:rsidR="0037604E" w:rsidRPr="0037604E" w:rsidRDefault="0037604E" w:rsidP="00FA6EB9">
      <w:pPr>
        <w:numPr>
          <w:ilvl w:val="0"/>
          <w:numId w:val="48"/>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employee adaptation to job requirements by updating knowledge and skills specific to the job;</w:t>
      </w:r>
    </w:p>
    <w:p w:rsidR="0037604E" w:rsidRPr="0037604E" w:rsidRDefault="0037604E" w:rsidP="00FA6EB9">
      <w:pPr>
        <w:numPr>
          <w:ilvl w:val="0"/>
          <w:numId w:val="48"/>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professional training for basic occupation;</w:t>
      </w:r>
    </w:p>
    <w:p w:rsidR="0037604E" w:rsidRPr="0037604E" w:rsidRDefault="0037604E" w:rsidP="00FA6EB9">
      <w:pPr>
        <w:numPr>
          <w:ilvl w:val="0"/>
          <w:numId w:val="48"/>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acquiring advanced knowledge, modern methods and processes needed to achieve the higher level of professional activities;</w:t>
      </w:r>
    </w:p>
    <w:p w:rsidR="0037604E" w:rsidRPr="0037604E" w:rsidRDefault="0037604E" w:rsidP="00FA6EB9">
      <w:pPr>
        <w:numPr>
          <w:ilvl w:val="0"/>
          <w:numId w:val="48"/>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retraining determined by socio-economic restructuring, reorganizing or retrofitting;</w:t>
      </w:r>
    </w:p>
    <w:p w:rsidR="0037604E" w:rsidRPr="0037604E" w:rsidRDefault="0037604E" w:rsidP="00FA6EB9">
      <w:pPr>
        <w:numPr>
          <w:ilvl w:val="0"/>
          <w:numId w:val="48"/>
        </w:numPr>
        <w:spacing w:after="0" w:line="240" w:lineRule="auto"/>
        <w:contextualSpacing/>
        <w:jc w:val="both"/>
        <w:rPr>
          <w:rFonts w:asciiTheme="majorHAnsi" w:hAnsiTheme="majorHAnsi" w:cs="Arial"/>
          <w:sz w:val="24"/>
          <w:szCs w:val="24"/>
          <w:lang w:val="en-GB"/>
        </w:rPr>
      </w:pPr>
      <w:r w:rsidRPr="0037604E">
        <w:rPr>
          <w:rFonts w:asciiTheme="majorHAnsi" w:hAnsiTheme="majorHAnsi" w:cs="Arial"/>
          <w:sz w:val="24"/>
          <w:szCs w:val="24"/>
          <w:lang w:val="en-GB"/>
        </w:rPr>
        <w:t>preventing the risk of unemployment.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Arial"/>
          <w:sz w:val="24"/>
          <w:szCs w:val="24"/>
          <w:lang w:val="en-GB"/>
        </w:rPr>
      </w:pPr>
      <w:r w:rsidRPr="0037604E">
        <w:rPr>
          <w:rFonts w:ascii="Cambria" w:eastAsia="Calibri" w:hAnsi="Cambria" w:cs="Arial"/>
          <w:sz w:val="24"/>
          <w:szCs w:val="24"/>
          <w:lang w:val="en-GB" w:eastAsia="en-US"/>
        </w:rPr>
        <w:t>The training, re-training and professional development of the employees within the Company is based on the Training Plan developed at company level, in line with the provisions of the Collective Labour Contract in force at this level</w:t>
      </w:r>
      <w:r w:rsidRPr="0037604E">
        <w:rPr>
          <w:rFonts w:ascii="Cambria" w:eastAsia="Times New Roman" w:hAnsi="Cambria" w:cs="Arial"/>
          <w:sz w:val="24"/>
          <w:szCs w:val="24"/>
          <w:lang w:val="en-GB"/>
        </w:rPr>
        <w:t>.</w:t>
      </w:r>
    </w:p>
    <w:p w:rsidR="0037604E" w:rsidRPr="0037604E" w:rsidRDefault="0037604E" w:rsidP="0037604E">
      <w:pPr>
        <w:spacing w:after="0" w:line="240" w:lineRule="auto"/>
        <w:ind w:firstLine="0"/>
        <w:jc w:val="both"/>
        <w:rPr>
          <w:rFonts w:ascii="Cambria" w:eastAsia="Times New Roman" w:hAnsi="Cambria" w:cs="Arial"/>
          <w:sz w:val="24"/>
          <w:szCs w:val="24"/>
          <w:lang w:val="en-GB"/>
        </w:rPr>
      </w:pPr>
    </w:p>
    <w:p w:rsidR="0037604E" w:rsidRPr="0037604E" w:rsidRDefault="0037604E" w:rsidP="0037604E">
      <w:pPr>
        <w:spacing w:after="0" w:line="240" w:lineRule="auto"/>
        <w:ind w:firstLine="0"/>
        <w:rPr>
          <w:rFonts w:ascii="Cambria" w:eastAsia="Calibri" w:hAnsi="Cambria" w:cs="Times New Roman"/>
          <w:color w:val="FF0000"/>
          <w:sz w:val="24"/>
          <w:lang w:val="en-GB" w:eastAsia="en-US"/>
        </w:rPr>
      </w:pPr>
    </w:p>
    <w:tbl>
      <w:tblPr>
        <w:tblW w:w="933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922"/>
        <w:gridCol w:w="3259"/>
        <w:gridCol w:w="1306"/>
        <w:gridCol w:w="1424"/>
        <w:gridCol w:w="1248"/>
        <w:gridCol w:w="1174"/>
      </w:tblGrid>
      <w:tr w:rsidR="0037604E" w:rsidRPr="0037604E" w:rsidTr="0037604E">
        <w:trPr>
          <w:trHeight w:val="215"/>
          <w:tblCellSpacing w:w="20" w:type="dxa"/>
          <w:jc w:val="center"/>
        </w:trPr>
        <w:tc>
          <w:tcPr>
            <w:tcW w:w="862"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No.</w:t>
            </w:r>
          </w:p>
        </w:tc>
        <w:tc>
          <w:tcPr>
            <w:tcW w:w="3219"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Category</w:t>
            </w:r>
          </w:p>
        </w:tc>
        <w:tc>
          <w:tcPr>
            <w:tcW w:w="1266"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2013</w:t>
            </w:r>
          </w:p>
        </w:tc>
        <w:tc>
          <w:tcPr>
            <w:tcW w:w="1384"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2014</w:t>
            </w:r>
          </w:p>
        </w:tc>
        <w:tc>
          <w:tcPr>
            <w:tcW w:w="1208"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2015</w:t>
            </w:r>
          </w:p>
        </w:tc>
        <w:tc>
          <w:tcPr>
            <w:tcW w:w="1114"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2016</w:t>
            </w:r>
          </w:p>
        </w:tc>
      </w:tr>
      <w:tr w:rsidR="0037604E" w:rsidRPr="0037604E" w:rsidTr="0037604E">
        <w:trPr>
          <w:trHeight w:val="245"/>
          <w:tblCellSpacing w:w="20" w:type="dxa"/>
          <w:jc w:val="center"/>
        </w:trPr>
        <w:tc>
          <w:tcPr>
            <w:tcW w:w="862" w:type="dxa"/>
            <w:vAlign w:val="center"/>
          </w:tcPr>
          <w:p w:rsidR="0037604E" w:rsidRPr="0037604E" w:rsidRDefault="0037604E" w:rsidP="0037604E">
            <w:pPr>
              <w:spacing w:after="0" w:line="240" w:lineRule="auto"/>
              <w:ind w:firstLine="0"/>
              <w:jc w:val="center"/>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1</w:t>
            </w:r>
          </w:p>
        </w:tc>
        <w:tc>
          <w:tcPr>
            <w:tcW w:w="3219" w:type="dxa"/>
            <w:vAlign w:val="center"/>
          </w:tcPr>
          <w:p w:rsidR="0037604E" w:rsidRPr="0037604E" w:rsidRDefault="0037604E" w:rsidP="0037604E">
            <w:pPr>
              <w:spacing w:after="0" w:line="240" w:lineRule="auto"/>
              <w:ind w:firstLine="0"/>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No. of courses with internal trainers</w:t>
            </w:r>
          </w:p>
        </w:tc>
        <w:tc>
          <w:tcPr>
            <w:tcW w:w="126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11</w:t>
            </w:r>
          </w:p>
        </w:tc>
        <w:tc>
          <w:tcPr>
            <w:tcW w:w="138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13</w:t>
            </w:r>
          </w:p>
        </w:tc>
        <w:tc>
          <w:tcPr>
            <w:tcW w:w="1208"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11</w:t>
            </w:r>
          </w:p>
        </w:tc>
        <w:tc>
          <w:tcPr>
            <w:tcW w:w="1114"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8</w:t>
            </w:r>
          </w:p>
        </w:tc>
      </w:tr>
      <w:tr w:rsidR="0037604E" w:rsidRPr="0037604E" w:rsidTr="0037604E">
        <w:trPr>
          <w:tblCellSpacing w:w="20" w:type="dxa"/>
          <w:jc w:val="center"/>
        </w:trPr>
        <w:tc>
          <w:tcPr>
            <w:tcW w:w="862" w:type="dxa"/>
            <w:vAlign w:val="center"/>
          </w:tcPr>
          <w:p w:rsidR="0037604E" w:rsidRPr="0037604E" w:rsidRDefault="0037604E" w:rsidP="0037604E">
            <w:pPr>
              <w:spacing w:after="0" w:line="240" w:lineRule="auto"/>
              <w:ind w:firstLine="0"/>
              <w:jc w:val="center"/>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2</w:t>
            </w:r>
          </w:p>
        </w:tc>
        <w:tc>
          <w:tcPr>
            <w:tcW w:w="3219" w:type="dxa"/>
            <w:vAlign w:val="center"/>
          </w:tcPr>
          <w:p w:rsidR="0037604E" w:rsidRPr="0037604E" w:rsidRDefault="0037604E" w:rsidP="0037604E">
            <w:pPr>
              <w:spacing w:after="0" w:line="240" w:lineRule="auto"/>
              <w:ind w:firstLine="0"/>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No. of courses with external trainers</w:t>
            </w:r>
          </w:p>
        </w:tc>
        <w:tc>
          <w:tcPr>
            <w:tcW w:w="1266"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106</w:t>
            </w:r>
          </w:p>
        </w:tc>
        <w:tc>
          <w:tcPr>
            <w:tcW w:w="138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124</w:t>
            </w:r>
          </w:p>
        </w:tc>
        <w:tc>
          <w:tcPr>
            <w:tcW w:w="1208"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135</w:t>
            </w:r>
          </w:p>
        </w:tc>
        <w:tc>
          <w:tcPr>
            <w:tcW w:w="1114"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147</w:t>
            </w:r>
          </w:p>
        </w:tc>
      </w:tr>
      <w:tr w:rsidR="0037604E" w:rsidRPr="0037604E" w:rsidTr="0037604E">
        <w:trPr>
          <w:trHeight w:val="272"/>
          <w:tblCellSpacing w:w="20" w:type="dxa"/>
          <w:jc w:val="center"/>
        </w:trPr>
        <w:tc>
          <w:tcPr>
            <w:tcW w:w="862" w:type="dxa"/>
            <w:shd w:val="clear" w:color="auto" w:fill="D6E0F4"/>
          </w:tcPr>
          <w:p w:rsidR="0037604E" w:rsidRPr="0037604E" w:rsidRDefault="0037604E" w:rsidP="0037604E">
            <w:pPr>
              <w:spacing w:after="0" w:line="240" w:lineRule="auto"/>
              <w:ind w:firstLine="0"/>
              <w:jc w:val="both"/>
              <w:rPr>
                <w:rFonts w:ascii="Cambria" w:eastAsia="Calibri" w:hAnsi="Cambria" w:cs="Times New Roman"/>
                <w:b/>
                <w:color w:val="000000"/>
                <w:sz w:val="20"/>
                <w:szCs w:val="20"/>
                <w:lang w:val="en-GB" w:eastAsia="en-US"/>
              </w:rPr>
            </w:pPr>
          </w:p>
        </w:tc>
        <w:tc>
          <w:tcPr>
            <w:tcW w:w="3219" w:type="dxa"/>
            <w:shd w:val="clear" w:color="auto" w:fill="D6E0F4"/>
            <w:vAlign w:val="center"/>
          </w:tcPr>
          <w:p w:rsidR="0037604E" w:rsidRPr="0037604E" w:rsidRDefault="0037604E" w:rsidP="0037604E">
            <w:pPr>
              <w:spacing w:after="0" w:line="240" w:lineRule="auto"/>
              <w:ind w:firstLine="0"/>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 xml:space="preserve">TOTAL </w:t>
            </w:r>
          </w:p>
        </w:tc>
        <w:tc>
          <w:tcPr>
            <w:tcW w:w="1266"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117</w:t>
            </w:r>
          </w:p>
        </w:tc>
        <w:tc>
          <w:tcPr>
            <w:tcW w:w="1384"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137</w:t>
            </w:r>
          </w:p>
        </w:tc>
        <w:tc>
          <w:tcPr>
            <w:tcW w:w="1208"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146</w:t>
            </w:r>
          </w:p>
        </w:tc>
        <w:tc>
          <w:tcPr>
            <w:tcW w:w="1114" w:type="dxa"/>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lang w:eastAsia="en-US"/>
              </w:rPr>
            </w:pPr>
            <w:r w:rsidRPr="0037604E">
              <w:rPr>
                <w:rFonts w:asciiTheme="majorHAnsi" w:eastAsia="Calibri" w:hAnsiTheme="majorHAnsi" w:cs="DokChampa"/>
                <w:b/>
                <w:lang w:eastAsia="en-US"/>
              </w:rPr>
              <w:t>155</w:t>
            </w:r>
          </w:p>
        </w:tc>
      </w:tr>
    </w:tbl>
    <w:p w:rsidR="0037604E" w:rsidRPr="0037604E" w:rsidRDefault="0037604E" w:rsidP="0037604E">
      <w:pPr>
        <w:spacing w:after="0" w:line="240" w:lineRule="auto"/>
        <w:ind w:firstLine="0"/>
        <w:jc w:val="both"/>
        <w:rPr>
          <w:rFonts w:ascii="Cambria" w:eastAsia="Calibri" w:hAnsi="Cambria" w:cs="Times New Roman"/>
          <w:color w:val="FF0000"/>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Theme="majorHAnsi" w:hAnsiTheme="majorHAnsi" w:cs="Arial"/>
          <w:sz w:val="24"/>
          <w:szCs w:val="24"/>
          <w:lang w:val="en-GB"/>
        </w:rPr>
        <w:t xml:space="preserve">Through the Professional Training Centre there were conducted programmes for the training of the employees as operators for gas extraction, processing, transmission and distribution, locksmith and welder, for which we have </w:t>
      </w:r>
      <w:r w:rsidRPr="0037604E">
        <w:rPr>
          <w:rFonts w:asciiTheme="majorHAnsi" w:eastAsia="Calibri" w:hAnsiTheme="majorHAnsi" w:cs="Times New Roman"/>
          <w:sz w:val="24"/>
          <w:szCs w:val="24"/>
          <w:lang w:val="en-GB" w:eastAsia="en-US"/>
        </w:rPr>
        <w:t>CNFPA</w:t>
      </w:r>
      <w:r w:rsidRPr="0037604E">
        <w:rPr>
          <w:rFonts w:asciiTheme="majorHAnsi" w:hAnsiTheme="majorHAnsi" w:cs="Arial"/>
          <w:sz w:val="24"/>
          <w:szCs w:val="24"/>
          <w:lang w:val="en-GB"/>
        </w:rPr>
        <w:t xml:space="preserve"> authorizations.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no. of employees com</w:t>
      </w:r>
      <w:r w:rsidR="00D21737">
        <w:rPr>
          <w:rFonts w:ascii="Cambria" w:eastAsia="Calibri" w:hAnsi="Cambria" w:cs="Times New Roman"/>
          <w:sz w:val="24"/>
          <w:szCs w:val="24"/>
          <w:lang w:val="en-GB" w:eastAsia="en-US"/>
        </w:rPr>
        <w:t>pleting training courses during</w:t>
      </w:r>
      <w:r w:rsidRPr="0037604E">
        <w:rPr>
          <w:rFonts w:ascii="Cambria" w:eastAsia="Calibri" w:hAnsi="Cambria" w:cs="Times New Roman"/>
          <w:sz w:val="24"/>
          <w:szCs w:val="24"/>
          <w:lang w:val="en-GB" w:eastAsia="en-US"/>
        </w:rPr>
        <w:t xml:space="preserve"> 2013 – 2016 is as follows:</w:t>
      </w:r>
    </w:p>
    <w:p w:rsidR="0037604E" w:rsidRPr="0037604E" w:rsidRDefault="0037604E" w:rsidP="0037604E">
      <w:pPr>
        <w:spacing w:after="0" w:line="240" w:lineRule="auto"/>
        <w:ind w:firstLine="0"/>
        <w:jc w:val="both"/>
        <w:rPr>
          <w:rFonts w:ascii="Cambria" w:eastAsia="Calibri" w:hAnsi="Cambria" w:cs="Times New Roman"/>
          <w:color w:val="FF0000"/>
          <w:sz w:val="24"/>
          <w:szCs w:val="24"/>
          <w:lang w:val="en-GB" w:eastAsia="en-US"/>
        </w:rPr>
      </w:pPr>
    </w:p>
    <w:tbl>
      <w:tblPr>
        <w:tblW w:w="933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956"/>
        <w:gridCol w:w="4647"/>
        <w:gridCol w:w="974"/>
        <w:gridCol w:w="974"/>
        <w:gridCol w:w="911"/>
        <w:gridCol w:w="871"/>
      </w:tblGrid>
      <w:tr w:rsidR="0037604E" w:rsidRPr="0037604E" w:rsidTr="0037604E">
        <w:trPr>
          <w:trHeight w:val="341"/>
          <w:tblCellSpacing w:w="20" w:type="dxa"/>
          <w:jc w:val="center"/>
        </w:trPr>
        <w:tc>
          <w:tcPr>
            <w:tcW w:w="896"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lastRenderedPageBreak/>
              <w:t>No.</w:t>
            </w:r>
          </w:p>
        </w:tc>
        <w:tc>
          <w:tcPr>
            <w:tcW w:w="4607"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Category</w:t>
            </w:r>
          </w:p>
        </w:tc>
        <w:tc>
          <w:tcPr>
            <w:tcW w:w="934"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2013</w:t>
            </w:r>
          </w:p>
        </w:tc>
        <w:tc>
          <w:tcPr>
            <w:tcW w:w="934"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2014</w:t>
            </w:r>
          </w:p>
        </w:tc>
        <w:tc>
          <w:tcPr>
            <w:tcW w:w="871" w:type="dxa"/>
            <w:shd w:val="clear" w:color="auto" w:fill="D6E0F4"/>
            <w:vAlign w:val="center"/>
          </w:tcPr>
          <w:p w:rsidR="0037604E" w:rsidRPr="0037604E" w:rsidRDefault="0037604E" w:rsidP="0037604E">
            <w:pPr>
              <w:spacing w:after="0" w:line="240" w:lineRule="auto"/>
              <w:ind w:firstLine="0"/>
              <w:jc w:val="center"/>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2015</w:t>
            </w:r>
          </w:p>
        </w:tc>
        <w:tc>
          <w:tcPr>
            <w:tcW w:w="811" w:type="dxa"/>
            <w:shd w:val="clear" w:color="auto" w:fill="D6E0F4"/>
            <w:vAlign w:val="center"/>
          </w:tcPr>
          <w:p w:rsidR="0037604E" w:rsidRPr="0037604E" w:rsidRDefault="0037604E" w:rsidP="0037604E">
            <w:pPr>
              <w:spacing w:after="0" w:line="240" w:lineRule="auto"/>
              <w:ind w:firstLine="0"/>
              <w:jc w:val="center"/>
              <w:rPr>
                <w:rFonts w:asciiTheme="majorHAnsi" w:eastAsia="Calibri" w:hAnsiTheme="majorHAnsi" w:cs="Times New Roman"/>
                <w:b/>
                <w:sz w:val="20"/>
                <w:szCs w:val="20"/>
                <w:lang w:eastAsia="en-US"/>
              </w:rPr>
            </w:pPr>
            <w:r w:rsidRPr="0037604E">
              <w:rPr>
                <w:rFonts w:asciiTheme="majorHAnsi" w:eastAsia="Calibri" w:hAnsiTheme="majorHAnsi" w:cs="Times New Roman"/>
                <w:b/>
                <w:sz w:val="20"/>
                <w:szCs w:val="20"/>
                <w:lang w:eastAsia="en-US"/>
              </w:rPr>
              <w:t>2016</w:t>
            </w:r>
          </w:p>
        </w:tc>
      </w:tr>
      <w:tr w:rsidR="0037604E" w:rsidRPr="0037604E" w:rsidTr="0037604E">
        <w:trPr>
          <w:trHeight w:val="245"/>
          <w:tblCellSpacing w:w="20" w:type="dxa"/>
          <w:jc w:val="center"/>
        </w:trPr>
        <w:tc>
          <w:tcPr>
            <w:tcW w:w="896" w:type="dxa"/>
            <w:vAlign w:val="center"/>
          </w:tcPr>
          <w:p w:rsidR="0037604E" w:rsidRPr="0037604E" w:rsidRDefault="0037604E" w:rsidP="0037604E">
            <w:pPr>
              <w:spacing w:after="0" w:line="240" w:lineRule="auto"/>
              <w:ind w:firstLine="0"/>
              <w:jc w:val="center"/>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1</w:t>
            </w:r>
          </w:p>
        </w:tc>
        <w:tc>
          <w:tcPr>
            <w:tcW w:w="4607" w:type="dxa"/>
            <w:vAlign w:val="center"/>
          </w:tcPr>
          <w:p w:rsidR="0037604E" w:rsidRPr="0037604E" w:rsidRDefault="0037604E" w:rsidP="0037604E">
            <w:pPr>
              <w:spacing w:after="0" w:line="240" w:lineRule="auto"/>
              <w:ind w:firstLine="0"/>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No. of personnel trained through courses with internal trainers</w:t>
            </w:r>
          </w:p>
        </w:tc>
        <w:tc>
          <w:tcPr>
            <w:tcW w:w="93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1.180</w:t>
            </w:r>
          </w:p>
        </w:tc>
        <w:tc>
          <w:tcPr>
            <w:tcW w:w="93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1.097</w:t>
            </w:r>
          </w:p>
        </w:tc>
        <w:tc>
          <w:tcPr>
            <w:tcW w:w="871"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1.206</w:t>
            </w:r>
          </w:p>
        </w:tc>
        <w:tc>
          <w:tcPr>
            <w:tcW w:w="811"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155</w:t>
            </w:r>
          </w:p>
        </w:tc>
      </w:tr>
      <w:tr w:rsidR="0037604E" w:rsidRPr="0037604E" w:rsidTr="0037604E">
        <w:trPr>
          <w:tblCellSpacing w:w="20" w:type="dxa"/>
          <w:jc w:val="center"/>
        </w:trPr>
        <w:tc>
          <w:tcPr>
            <w:tcW w:w="896" w:type="dxa"/>
            <w:vAlign w:val="center"/>
          </w:tcPr>
          <w:p w:rsidR="0037604E" w:rsidRPr="0037604E" w:rsidRDefault="0037604E" w:rsidP="0037604E">
            <w:pPr>
              <w:spacing w:after="0" w:line="240" w:lineRule="auto"/>
              <w:ind w:firstLine="0"/>
              <w:jc w:val="center"/>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2</w:t>
            </w:r>
          </w:p>
        </w:tc>
        <w:tc>
          <w:tcPr>
            <w:tcW w:w="4607" w:type="dxa"/>
            <w:vAlign w:val="center"/>
          </w:tcPr>
          <w:p w:rsidR="0037604E" w:rsidRPr="0037604E" w:rsidRDefault="0037604E" w:rsidP="0037604E">
            <w:pPr>
              <w:spacing w:after="0" w:line="240" w:lineRule="auto"/>
              <w:ind w:firstLine="0"/>
              <w:rPr>
                <w:rFonts w:ascii="Cambria" w:eastAsia="Calibri" w:hAnsi="Cambria" w:cs="Times New Roman"/>
                <w:color w:val="000000"/>
                <w:sz w:val="20"/>
                <w:szCs w:val="20"/>
                <w:lang w:val="en-GB" w:eastAsia="en-US"/>
              </w:rPr>
            </w:pPr>
            <w:r w:rsidRPr="0037604E">
              <w:rPr>
                <w:rFonts w:ascii="Cambria" w:eastAsia="Calibri" w:hAnsi="Cambria" w:cs="Times New Roman"/>
                <w:color w:val="000000"/>
                <w:sz w:val="20"/>
                <w:szCs w:val="20"/>
                <w:lang w:val="en-GB" w:eastAsia="en-US"/>
              </w:rPr>
              <w:t>No. of personnel trained through courses with external trainers</w:t>
            </w:r>
          </w:p>
        </w:tc>
        <w:tc>
          <w:tcPr>
            <w:tcW w:w="93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833</w:t>
            </w:r>
          </w:p>
        </w:tc>
        <w:tc>
          <w:tcPr>
            <w:tcW w:w="934"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1.213</w:t>
            </w:r>
          </w:p>
        </w:tc>
        <w:tc>
          <w:tcPr>
            <w:tcW w:w="871" w:type="dxa"/>
            <w:vAlign w:val="center"/>
          </w:tcPr>
          <w:p w:rsidR="0037604E" w:rsidRPr="0037604E" w:rsidRDefault="0037604E" w:rsidP="0037604E">
            <w:pPr>
              <w:spacing w:after="0" w:line="240" w:lineRule="auto"/>
              <w:ind w:firstLine="0"/>
              <w:jc w:val="right"/>
              <w:rPr>
                <w:rFonts w:ascii="Calibri" w:eastAsia="Calibri" w:hAnsi="Calibri" w:cs="Times New Roman"/>
                <w:lang w:val="en-GB" w:eastAsia="en-US"/>
              </w:rPr>
            </w:pPr>
            <w:r w:rsidRPr="0037604E">
              <w:rPr>
                <w:rFonts w:ascii="Calibri" w:eastAsia="Calibri" w:hAnsi="Calibri" w:cs="Times New Roman"/>
                <w:lang w:val="en-GB" w:eastAsia="en-US"/>
              </w:rPr>
              <w:t>912</w:t>
            </w:r>
          </w:p>
        </w:tc>
        <w:tc>
          <w:tcPr>
            <w:tcW w:w="811" w:type="dxa"/>
            <w:vAlign w:val="center"/>
          </w:tcPr>
          <w:p w:rsidR="0037604E" w:rsidRPr="0037604E" w:rsidRDefault="0037604E" w:rsidP="0037604E">
            <w:pPr>
              <w:spacing w:after="0" w:line="240" w:lineRule="auto"/>
              <w:ind w:firstLine="0"/>
              <w:jc w:val="right"/>
              <w:rPr>
                <w:rFonts w:asciiTheme="majorHAnsi" w:eastAsia="Calibri" w:hAnsiTheme="majorHAnsi" w:cs="DokChampa"/>
                <w:lang w:eastAsia="en-US"/>
              </w:rPr>
            </w:pPr>
            <w:r w:rsidRPr="0037604E">
              <w:rPr>
                <w:rFonts w:asciiTheme="majorHAnsi" w:eastAsia="Calibri" w:hAnsiTheme="majorHAnsi" w:cs="DokChampa"/>
                <w:lang w:eastAsia="en-US"/>
              </w:rPr>
              <w:t>953</w:t>
            </w:r>
          </w:p>
        </w:tc>
      </w:tr>
      <w:tr w:rsidR="0037604E" w:rsidRPr="0037604E" w:rsidTr="0037604E">
        <w:trPr>
          <w:trHeight w:val="272"/>
          <w:tblCellSpacing w:w="20" w:type="dxa"/>
          <w:jc w:val="center"/>
        </w:trPr>
        <w:tc>
          <w:tcPr>
            <w:tcW w:w="896" w:type="dxa"/>
            <w:shd w:val="clear" w:color="auto" w:fill="D6E0F4"/>
          </w:tcPr>
          <w:p w:rsidR="0037604E" w:rsidRPr="0037604E" w:rsidRDefault="0037604E" w:rsidP="0037604E">
            <w:pPr>
              <w:spacing w:after="0" w:line="240" w:lineRule="auto"/>
              <w:ind w:firstLine="0"/>
              <w:jc w:val="both"/>
              <w:rPr>
                <w:rFonts w:ascii="Cambria" w:eastAsia="Calibri" w:hAnsi="Cambria" w:cs="Times New Roman"/>
                <w:b/>
                <w:color w:val="000000"/>
                <w:sz w:val="20"/>
                <w:szCs w:val="20"/>
                <w:lang w:val="en-GB" w:eastAsia="en-US"/>
              </w:rPr>
            </w:pPr>
          </w:p>
        </w:tc>
        <w:tc>
          <w:tcPr>
            <w:tcW w:w="4607" w:type="dxa"/>
            <w:shd w:val="clear" w:color="auto" w:fill="D6E0F4"/>
            <w:vAlign w:val="center"/>
          </w:tcPr>
          <w:p w:rsidR="0037604E" w:rsidRPr="0037604E" w:rsidRDefault="0037604E" w:rsidP="0037604E">
            <w:pPr>
              <w:spacing w:after="0" w:line="240" w:lineRule="auto"/>
              <w:ind w:firstLine="0"/>
              <w:rPr>
                <w:rFonts w:ascii="Cambria" w:eastAsia="Calibri" w:hAnsi="Cambria" w:cs="Times New Roman"/>
                <w:b/>
                <w:color w:val="000000"/>
                <w:sz w:val="20"/>
                <w:szCs w:val="20"/>
                <w:lang w:val="en-GB" w:eastAsia="en-US"/>
              </w:rPr>
            </w:pPr>
            <w:r w:rsidRPr="0037604E">
              <w:rPr>
                <w:rFonts w:ascii="Cambria" w:eastAsia="Calibri" w:hAnsi="Cambria" w:cs="Times New Roman"/>
                <w:b/>
                <w:color w:val="000000"/>
                <w:sz w:val="20"/>
                <w:szCs w:val="20"/>
                <w:lang w:val="en-GB" w:eastAsia="en-US"/>
              </w:rPr>
              <w:t xml:space="preserve">TOTAL </w:t>
            </w:r>
          </w:p>
        </w:tc>
        <w:tc>
          <w:tcPr>
            <w:tcW w:w="934"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2.013</w:t>
            </w:r>
          </w:p>
        </w:tc>
        <w:tc>
          <w:tcPr>
            <w:tcW w:w="934"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2.310</w:t>
            </w:r>
          </w:p>
        </w:tc>
        <w:tc>
          <w:tcPr>
            <w:tcW w:w="871" w:type="dxa"/>
            <w:shd w:val="clear" w:color="auto" w:fill="D6E0F4"/>
            <w:vAlign w:val="center"/>
          </w:tcPr>
          <w:p w:rsidR="0037604E" w:rsidRPr="0037604E" w:rsidRDefault="0037604E" w:rsidP="0037604E">
            <w:pPr>
              <w:spacing w:after="0" w:line="240" w:lineRule="auto"/>
              <w:ind w:firstLine="0"/>
              <w:jc w:val="right"/>
              <w:rPr>
                <w:rFonts w:ascii="Calibri" w:eastAsia="Calibri" w:hAnsi="Calibri" w:cs="Times New Roman"/>
                <w:b/>
                <w:lang w:val="en-GB" w:eastAsia="en-US"/>
              </w:rPr>
            </w:pPr>
            <w:r w:rsidRPr="0037604E">
              <w:rPr>
                <w:rFonts w:ascii="Calibri" w:eastAsia="Calibri" w:hAnsi="Calibri" w:cs="Times New Roman"/>
                <w:b/>
                <w:lang w:val="en-GB" w:eastAsia="en-US"/>
              </w:rPr>
              <w:t>2.118</w:t>
            </w:r>
          </w:p>
        </w:tc>
        <w:tc>
          <w:tcPr>
            <w:tcW w:w="811" w:type="dxa"/>
            <w:shd w:val="clear" w:color="auto" w:fill="D6E0F4"/>
            <w:vAlign w:val="center"/>
          </w:tcPr>
          <w:p w:rsidR="0037604E" w:rsidRPr="0037604E" w:rsidRDefault="0037604E" w:rsidP="0037604E">
            <w:pPr>
              <w:spacing w:after="0" w:line="240" w:lineRule="auto"/>
              <w:ind w:firstLine="0"/>
              <w:jc w:val="right"/>
              <w:rPr>
                <w:rFonts w:asciiTheme="majorHAnsi" w:eastAsia="Calibri" w:hAnsiTheme="majorHAnsi" w:cs="DokChampa"/>
                <w:b/>
                <w:lang w:eastAsia="en-US"/>
              </w:rPr>
            </w:pPr>
            <w:r w:rsidRPr="0037604E">
              <w:rPr>
                <w:rFonts w:asciiTheme="majorHAnsi" w:eastAsia="Calibri" w:hAnsiTheme="majorHAnsi" w:cs="DokChampa"/>
                <w:b/>
                <w:lang w:eastAsia="en-US"/>
              </w:rPr>
              <w:t>1.108</w:t>
            </w:r>
          </w:p>
        </w:tc>
      </w:tr>
    </w:tbl>
    <w:p w:rsidR="0037604E" w:rsidRPr="0037604E" w:rsidRDefault="0037604E" w:rsidP="0037604E">
      <w:pPr>
        <w:spacing w:after="0" w:line="240" w:lineRule="auto"/>
        <w:ind w:firstLine="0"/>
        <w:jc w:val="both"/>
        <w:rPr>
          <w:rFonts w:ascii="Cambria" w:eastAsia="Calibri" w:hAnsi="Cambria" w:cs="Arial"/>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Arial"/>
          <w:sz w:val="24"/>
          <w:szCs w:val="24"/>
          <w:lang w:val="en-GB"/>
        </w:rPr>
      </w:pPr>
      <w:r w:rsidRPr="0037604E">
        <w:rPr>
          <w:rFonts w:ascii="Cambria" w:eastAsia="Calibri" w:hAnsi="Cambria" w:cs="Arial"/>
          <w:sz w:val="24"/>
          <w:szCs w:val="24"/>
          <w:lang w:val="en-GB" w:eastAsia="en-US"/>
        </w:rPr>
        <w:t xml:space="preserve">On </w:t>
      </w:r>
      <w:r w:rsidRPr="00D21737">
        <w:rPr>
          <w:rFonts w:ascii="Cambria" w:eastAsia="Calibri" w:hAnsi="Cambria" w:cs="Arial"/>
          <w:b/>
          <w:sz w:val="24"/>
          <w:szCs w:val="24"/>
          <w:lang w:val="en-GB" w:eastAsia="en-US"/>
        </w:rPr>
        <w:t>31 December 2016</w:t>
      </w:r>
      <w:r w:rsidRPr="0037604E">
        <w:rPr>
          <w:rFonts w:ascii="Cambria" w:eastAsia="Calibri" w:hAnsi="Cambria" w:cs="Arial"/>
          <w:sz w:val="24"/>
          <w:szCs w:val="24"/>
          <w:lang w:val="en-GB" w:eastAsia="en-US"/>
        </w:rPr>
        <w:t xml:space="preserve">, the degree of unionization of the workforce was 97.50% of the total </w:t>
      </w:r>
      <w:r w:rsidRPr="0037604E">
        <w:rPr>
          <w:rFonts w:asciiTheme="majorHAnsi" w:hAnsiTheme="majorHAnsi" w:cs="Times New Roman"/>
          <w:color w:val="000000" w:themeColor="text1"/>
          <w:sz w:val="24"/>
          <w:szCs w:val="24"/>
          <w:lang w:val="en-GB"/>
        </w:rPr>
        <w:t xml:space="preserve">4.607 </w:t>
      </w:r>
      <w:r w:rsidRPr="0037604E">
        <w:rPr>
          <w:rFonts w:ascii="Cambria" w:eastAsia="Calibri" w:hAnsi="Cambria" w:cs="Arial"/>
          <w:sz w:val="24"/>
          <w:szCs w:val="24"/>
          <w:lang w:val="en-GB" w:eastAsia="en-US"/>
        </w:rPr>
        <w:t xml:space="preserve">employees </w:t>
      </w:r>
      <w:r w:rsidRPr="0037604E">
        <w:rPr>
          <w:rFonts w:asciiTheme="majorHAnsi" w:hAnsiTheme="majorHAnsi" w:cs="Times New Roman"/>
          <w:color w:val="000000" w:themeColor="text1"/>
          <w:sz w:val="24"/>
          <w:szCs w:val="24"/>
          <w:lang w:val="en-GB"/>
        </w:rPr>
        <w:t>4.492</w:t>
      </w:r>
      <w:r w:rsidRPr="0037604E">
        <w:rPr>
          <w:rFonts w:ascii="Cambria" w:eastAsia="Calibri" w:hAnsi="Cambria" w:cs="Arial"/>
          <w:sz w:val="24"/>
          <w:szCs w:val="24"/>
          <w:lang w:val="en-GB" w:eastAsia="en-US"/>
        </w:rPr>
        <w:t xml:space="preserve"> being union members.</w:t>
      </w:r>
    </w:p>
    <w:p w:rsidR="0037604E" w:rsidRPr="0037604E" w:rsidRDefault="0037604E" w:rsidP="0037604E">
      <w:pPr>
        <w:spacing w:after="0" w:line="240" w:lineRule="auto"/>
        <w:ind w:firstLine="0"/>
        <w:jc w:val="both"/>
        <w:rPr>
          <w:rFonts w:ascii="Cambria" w:eastAsia="Calibri" w:hAnsi="Cambria" w:cs="Arial"/>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Arial"/>
          <w:sz w:val="24"/>
          <w:szCs w:val="24"/>
          <w:lang w:val="en-GB"/>
        </w:rPr>
      </w:pPr>
      <w:r w:rsidRPr="0037604E">
        <w:rPr>
          <w:rFonts w:ascii="Cambria" w:eastAsia="Calibri" w:hAnsi="Cambria" w:cs="Arial"/>
          <w:sz w:val="24"/>
          <w:szCs w:val="24"/>
          <w:lang w:val="en-GB" w:eastAsia="en-US"/>
        </w:rPr>
        <w:t>There are four trade unions in which Transgaz employees are enrolled namely</w:t>
      </w:r>
      <w:r w:rsidRPr="0037604E">
        <w:rPr>
          <w:rFonts w:ascii="Cambria" w:eastAsia="Times New Roman" w:hAnsi="Cambria" w:cs="Arial"/>
          <w:sz w:val="24"/>
          <w:szCs w:val="24"/>
          <w:lang w:val="en-GB"/>
        </w:rPr>
        <w:t>:</w:t>
      </w:r>
    </w:p>
    <w:p w:rsidR="0037604E" w:rsidRPr="0037604E" w:rsidRDefault="0037604E" w:rsidP="00FA6EB9">
      <w:pPr>
        <w:numPr>
          <w:ilvl w:val="0"/>
          <w:numId w:val="10"/>
        </w:numPr>
        <w:spacing w:after="0" w:line="240" w:lineRule="auto"/>
        <w:ind w:left="714" w:hanging="357"/>
        <w:jc w:val="both"/>
        <w:rPr>
          <w:rFonts w:ascii="Cambria" w:eastAsia="Times New Roman" w:hAnsi="Cambria" w:cs="Arial"/>
          <w:sz w:val="24"/>
          <w:szCs w:val="24"/>
          <w:lang w:val="en-GB"/>
        </w:rPr>
      </w:pPr>
      <w:r w:rsidRPr="0037604E">
        <w:rPr>
          <w:rFonts w:ascii="Cambria" w:eastAsia="Times New Roman" w:hAnsi="Cambria" w:cs="Arial"/>
          <w:sz w:val="24"/>
          <w:szCs w:val="24"/>
          <w:lang w:val="en-GB"/>
        </w:rPr>
        <w:t>The `Transport Gaz Medias` Trade Union;</w:t>
      </w:r>
    </w:p>
    <w:p w:rsidR="0037604E" w:rsidRPr="0037604E" w:rsidRDefault="0037604E" w:rsidP="00FA6EB9">
      <w:pPr>
        <w:numPr>
          <w:ilvl w:val="0"/>
          <w:numId w:val="10"/>
        </w:numPr>
        <w:spacing w:after="0" w:line="240" w:lineRule="auto"/>
        <w:ind w:left="714" w:hanging="357"/>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The Free SNTGN TRANSGAZ SA Medias Trade Union;</w:t>
      </w:r>
    </w:p>
    <w:p w:rsidR="0037604E" w:rsidRPr="0037604E" w:rsidRDefault="0037604E" w:rsidP="00FA6EB9">
      <w:pPr>
        <w:numPr>
          <w:ilvl w:val="0"/>
          <w:numId w:val="10"/>
        </w:numPr>
        <w:spacing w:after="0" w:line="240" w:lineRule="auto"/>
        <w:ind w:left="714" w:hanging="357"/>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The `CERTEH` Medias Technological Research Trade Union;</w:t>
      </w:r>
    </w:p>
    <w:p w:rsidR="0037604E" w:rsidRPr="0037604E" w:rsidRDefault="0037604E" w:rsidP="00FA6EB9">
      <w:pPr>
        <w:numPr>
          <w:ilvl w:val="0"/>
          <w:numId w:val="10"/>
        </w:numPr>
        <w:spacing w:after="0" w:line="240" w:lineRule="auto"/>
        <w:ind w:left="714" w:hanging="357"/>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The `Metan` Medias Professional Trade Union.</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t>The `Transport Gaz Medias` Trade Union</w:t>
      </w:r>
      <w:r w:rsidRPr="0037604E">
        <w:rPr>
          <w:rFonts w:ascii="Cambria" w:eastAsia="Times New Roman" w:hAnsi="Cambria" w:cs="Times New Roman"/>
          <w:sz w:val="24"/>
          <w:szCs w:val="24"/>
          <w:lang w:val="en-GB"/>
        </w:rPr>
        <w:t xml:space="preserve"> </w:t>
      </w:r>
      <w:r w:rsidRPr="0037604E">
        <w:rPr>
          <w:rFonts w:ascii="Cambria" w:eastAsia="Calibri" w:hAnsi="Cambria" w:cs="Times New Roman"/>
          <w:sz w:val="24"/>
          <w:szCs w:val="24"/>
          <w:lang w:val="en-GB" w:eastAsia="en-US"/>
        </w:rPr>
        <w:t>is the union representative at the unit level, according to Law no. 62/2011 on the Social Dialogue, Art .51 (c) and therefore it represents the employees at the conclusion and performance of the Collective Labour Contract concluded by Transgaz</w:t>
      </w:r>
      <w:r w:rsidRPr="0037604E">
        <w:rPr>
          <w:rFonts w:ascii="Cambria" w:eastAsia="Times New Roman" w:hAnsi="Cambria" w:cs="Times New Roman"/>
          <w:sz w:val="24"/>
          <w:szCs w:val="24"/>
          <w:lang w:val="en-GB"/>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relations between employer and employees are covered by the Collective Labour Contract at Company level, registered at the Regional Labour Inspectorate Sibiu under no. 112/23.06.2015 in the Collective Contracts Register, as well as by the individual employment contracts of the employees.  The Company Collective Labour Contract has a validity of 24 months.</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Theme="majorHAnsi" w:eastAsia="Times New Roman" w:hAnsiTheme="majorHAnsi" w:cs="Times New Roman"/>
          <w:color w:val="000000"/>
          <w:sz w:val="24"/>
          <w:szCs w:val="24"/>
          <w:lang w:val="ro-RO" w:eastAsia="en-US"/>
        </w:rPr>
      </w:pPr>
      <w:r w:rsidRPr="0037604E">
        <w:rPr>
          <w:rFonts w:ascii="Cambria" w:eastAsia="Calibri" w:hAnsi="Cambria" w:cs="Times New Roman"/>
          <w:sz w:val="24"/>
          <w:szCs w:val="24"/>
          <w:lang w:val="en-GB" w:eastAsia="en-US"/>
        </w:rPr>
        <w:t>The relations between employer and employees fall under the legal provisions in force in 2016 with no conflicting elements in relation to these relations</w:t>
      </w:r>
      <w:r w:rsidRPr="0037604E">
        <w:rPr>
          <w:rFonts w:asciiTheme="majorHAnsi" w:eastAsia="Times New Roman" w:hAnsiTheme="majorHAnsi" w:cs="Times New Roman"/>
          <w:color w:val="000000"/>
          <w:sz w:val="24"/>
          <w:szCs w:val="24"/>
          <w:lang w:val="ro-RO" w:eastAsia="en-US"/>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hd w:val="clear" w:color="auto" w:fill="DBE5F1" w:themeFill="accent1" w:themeFillTint="33"/>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42" w:name="_Toc414263630"/>
      <w:bookmarkStart w:id="43" w:name="_Toc446310828"/>
      <w:r w:rsidRPr="0037604E">
        <w:rPr>
          <w:rFonts w:asciiTheme="majorHAnsi" w:eastAsia="Times New Roman" w:hAnsiTheme="majorHAnsi" w:cstheme="majorBidi"/>
          <w:b/>
          <w:bCs/>
          <w:i/>
          <w:iCs/>
          <w:sz w:val="26"/>
          <w:szCs w:val="26"/>
          <w:lang w:val="en-GB" w:eastAsia="ro-RO"/>
        </w:rPr>
        <w:t>3.1.11 Evaluation of the activity of HSSEQ</w:t>
      </w:r>
      <w:bookmarkEnd w:id="42"/>
      <w:bookmarkEnd w:id="43"/>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 xml:space="preserve">In 2016 the </w:t>
      </w:r>
      <w:r w:rsidR="00C10A41" w:rsidRPr="0037604E">
        <w:rPr>
          <w:rFonts w:ascii="Cambria" w:eastAsia="Calibri" w:hAnsi="Cambria" w:cs="Times New Roman"/>
          <w:sz w:val="24"/>
          <w:szCs w:val="24"/>
          <w:lang w:val="en-GB" w:eastAsia="en-US"/>
        </w:rPr>
        <w:t xml:space="preserve">environmental quality, protection and security </w:t>
      </w:r>
      <w:r w:rsidRPr="0037604E">
        <w:rPr>
          <w:rFonts w:ascii="Cambria" w:eastAsia="Calibri" w:hAnsi="Cambria" w:cs="Times New Roman"/>
          <w:sz w:val="24"/>
          <w:szCs w:val="24"/>
          <w:lang w:val="en-GB" w:eastAsia="en-US"/>
        </w:rPr>
        <w:t>actions mainly targeted the implementation of the measures included in the Management Plan, in the Policy Statement, the annual programs approved by the Board of Directors and/or Director - General of SNTGN TRANSGAZ SA and the fulfilment of the responsibilities set by rules for operation and functioning and the legal provisions specific to the areas of activity</w:t>
      </w:r>
      <w:r w:rsidRPr="0037604E">
        <w:rPr>
          <w:rFonts w:ascii="Cambria" w:eastAsia="Times New Roman" w:hAnsi="Cambria" w:cs="Times New Roman"/>
          <w:sz w:val="24"/>
          <w:szCs w:val="24"/>
          <w:lang w:val="en-GB"/>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Times New Roman" w:hAnsi="Cambria" w:cs="Times New Roman"/>
          <w:sz w:val="24"/>
          <w:szCs w:val="24"/>
          <w:lang w:val="en-GB" w:eastAsia="ro-RO"/>
        </w:rPr>
        <w:t xml:space="preserve">The activity of </w:t>
      </w:r>
      <w:r w:rsidRPr="0037604E">
        <w:rPr>
          <w:rFonts w:ascii="Cambria" w:eastAsia="Calibri" w:hAnsi="Cambria" w:cs="Times New Roman"/>
          <w:sz w:val="24"/>
          <w:szCs w:val="24"/>
          <w:lang w:val="en-GB" w:eastAsia="en-US"/>
        </w:rPr>
        <w:t>the Environmental Quality, Protection and Security Department</w:t>
      </w:r>
      <w:r w:rsidRPr="0037604E">
        <w:rPr>
          <w:rFonts w:ascii="Cambria" w:eastAsia="Times New Roman" w:hAnsi="Cambria" w:cs="Times New Roman"/>
          <w:sz w:val="24"/>
          <w:szCs w:val="24"/>
          <w:lang w:val="en-GB" w:eastAsia="ro-RO"/>
        </w:rPr>
        <w:t xml:space="preserve"> </w:t>
      </w:r>
      <w:r w:rsidRPr="0037604E">
        <w:rPr>
          <w:rFonts w:ascii="Cambria" w:eastAsia="Calibri" w:hAnsi="Cambria" w:cs="Times New Roman"/>
          <w:sz w:val="24"/>
          <w:szCs w:val="24"/>
          <w:lang w:val="en-GB" w:eastAsia="en-US"/>
        </w:rPr>
        <w:t>comprises aspects regarding</w:t>
      </w:r>
      <w:r w:rsidRPr="0037604E">
        <w:rPr>
          <w:rFonts w:ascii="Cambria" w:eastAsia="Times New Roman" w:hAnsi="Cambria" w:cs="Times New Roman"/>
          <w:sz w:val="24"/>
          <w:szCs w:val="24"/>
          <w:lang w:val="en-GB" w:eastAsia="ro-RO"/>
        </w:rPr>
        <w:t>:</w:t>
      </w:r>
      <w:r w:rsidRPr="0037604E">
        <w:rPr>
          <w:rFonts w:ascii="Cambria" w:eastAsia="Calibri" w:hAnsi="Cambria" w:cs="Times New Roman"/>
          <w:sz w:val="24"/>
          <w:szCs w:val="24"/>
          <w:lang w:val="en-GB" w:eastAsia="en-US"/>
        </w:rPr>
        <w:t xml:space="preserve"> </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Occupational security and health activities;</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Environmental protection activities;</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Arial"/>
          <w:sz w:val="24"/>
          <w:szCs w:val="24"/>
          <w:lang w:val="en-GB" w:eastAsia="en-US"/>
        </w:rPr>
        <w:t>Environmental quality management activities;</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Security and protection activities;</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Documents administration activities;</w:t>
      </w:r>
    </w:p>
    <w:p w:rsidR="0037604E" w:rsidRPr="0037604E" w:rsidRDefault="0037604E" w:rsidP="00FA6EB9">
      <w:pPr>
        <w:numPr>
          <w:ilvl w:val="0"/>
          <w:numId w:val="49"/>
        </w:numPr>
        <w:spacing w:after="0" w:line="240" w:lineRule="auto"/>
        <w:contextualSpacing/>
        <w:jc w:val="both"/>
        <w:rPr>
          <w:rFonts w:ascii="Cambria" w:eastAsia="Times New Roman" w:hAnsi="Cambria" w:cs="Times New Roman"/>
          <w:sz w:val="24"/>
          <w:szCs w:val="24"/>
          <w:lang w:val="en-GB" w:eastAsia="en-US"/>
        </w:rPr>
      </w:pPr>
      <w:r w:rsidRPr="0037604E">
        <w:rPr>
          <w:rFonts w:ascii="Cambria" w:eastAsia="Times New Roman" w:hAnsi="Cambria" w:cs="Courier New"/>
          <w:sz w:val="24"/>
          <w:szCs w:val="24"/>
          <w:lang w:val="en-GB" w:eastAsia="en-US"/>
        </w:rPr>
        <w:t>Controlling body activities.</w:t>
      </w:r>
    </w:p>
    <w:p w:rsidR="0037604E" w:rsidRPr="0037604E" w:rsidRDefault="0037604E" w:rsidP="0037604E">
      <w:pPr>
        <w:spacing w:after="0" w:line="240" w:lineRule="auto"/>
        <w:ind w:firstLine="0"/>
        <w:jc w:val="both"/>
        <w:rPr>
          <w:rFonts w:ascii="Cambria" w:eastAsia="Times New Roman" w:hAnsi="Cambria" w:cs="Courier New"/>
          <w:sz w:val="24"/>
          <w:szCs w:val="24"/>
          <w:lang w:val="en-GB" w:eastAsia="en-US"/>
        </w:rPr>
      </w:pPr>
    </w:p>
    <w:tbl>
      <w:tblPr>
        <w:tblStyle w:val="TableGrid"/>
        <w:tblW w:w="9630"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287"/>
        <w:gridCol w:w="7343"/>
      </w:tblGrid>
      <w:tr w:rsidR="0037604E" w:rsidRPr="0037604E" w:rsidTr="0037604E">
        <w:trPr>
          <w:tblCellSpacing w:w="20" w:type="dxa"/>
          <w:jc w:val="center"/>
        </w:trPr>
        <w:tc>
          <w:tcPr>
            <w:tcW w:w="2227" w:type="dxa"/>
          </w:tcPr>
          <w:p w:rsidR="0037604E" w:rsidRPr="0037604E" w:rsidRDefault="0037604E" w:rsidP="0037604E">
            <w:pPr>
              <w:spacing w:after="0" w:line="240" w:lineRule="auto"/>
              <w:ind w:firstLine="0"/>
              <w:jc w:val="both"/>
              <w:rPr>
                <w:rFonts w:asciiTheme="majorHAnsi" w:eastAsia="Times New Roman" w:hAnsiTheme="majorHAnsi" w:cs="Courier New"/>
                <w:lang w:val="en-GB" w:eastAsia="en-US"/>
              </w:rPr>
            </w:pPr>
            <w:r w:rsidRPr="0037604E">
              <w:rPr>
                <w:rFonts w:ascii="Cambria" w:eastAsia="Times New Roman" w:hAnsi="Cambria" w:cs="Times New Roman"/>
                <w:lang w:val="en-GB" w:eastAsia="en-US"/>
              </w:rPr>
              <w:lastRenderedPageBreak/>
              <w:t>Occupational security and health activities</w:t>
            </w:r>
            <w:r w:rsidRPr="0037604E">
              <w:rPr>
                <w:rFonts w:asciiTheme="majorHAnsi" w:eastAsia="Times New Roman" w:hAnsiTheme="majorHAnsi" w:cs="Courier New"/>
                <w:lang w:val="en-GB" w:eastAsia="en-US"/>
              </w:rPr>
              <w:t xml:space="preserve"> </w:t>
            </w:r>
          </w:p>
        </w:tc>
        <w:tc>
          <w:tcPr>
            <w:tcW w:w="7283" w:type="dxa"/>
          </w:tcPr>
          <w:p w:rsidR="0037604E" w:rsidRPr="0037604E" w:rsidRDefault="0037604E" w:rsidP="0037604E">
            <w:pPr>
              <w:spacing w:after="0" w:line="240" w:lineRule="auto"/>
              <w:ind w:firstLine="0"/>
              <w:jc w:val="both"/>
              <w:rPr>
                <w:rFonts w:asciiTheme="majorHAnsi" w:hAnsiTheme="majorHAnsi"/>
                <w:b/>
                <w:lang w:val="en-GB"/>
              </w:rPr>
            </w:pPr>
            <w:r w:rsidRPr="0037604E">
              <w:rPr>
                <w:rFonts w:asciiTheme="majorHAnsi" w:hAnsiTheme="majorHAnsi"/>
                <w:lang w:val="en-GB"/>
              </w:rPr>
              <w:t>In 2016</w:t>
            </w:r>
            <w:r w:rsidRPr="0037604E">
              <w:rPr>
                <w:rFonts w:asciiTheme="majorHAnsi" w:hAnsiTheme="majorHAnsi"/>
                <w:b/>
                <w:i/>
                <w:lang w:val="en-GB"/>
              </w:rPr>
              <w:t>,</w:t>
            </w:r>
            <w:r w:rsidRPr="0037604E">
              <w:rPr>
                <w:rFonts w:asciiTheme="majorHAnsi" w:hAnsiTheme="majorHAnsi"/>
                <w:lang w:val="en-GB"/>
              </w:rPr>
              <w:t xml:space="preserve"> the l</w:t>
            </w:r>
            <w:r w:rsidRPr="0037604E">
              <w:rPr>
                <w:rFonts w:ascii="Cambria" w:eastAsia="Times New Roman" w:hAnsi="Cambria" w:cs="Times New Roman"/>
                <w:lang w:val="en-GB" w:eastAsia="en-US"/>
              </w:rPr>
              <w:t>abour security and health activity</w:t>
            </w:r>
            <w:r w:rsidRPr="0037604E">
              <w:rPr>
                <w:rFonts w:asciiTheme="majorHAnsi" w:hAnsiTheme="majorHAnsi"/>
                <w:lang w:val="en-GB"/>
              </w:rPr>
              <w:t xml:space="preserve"> regarded mainly compliance with the laws, </w:t>
            </w:r>
            <w:r w:rsidRPr="0037604E">
              <w:rPr>
                <w:rFonts w:ascii="Cambria" w:hAnsi="Cambria"/>
                <w:lang w:val="en-GB"/>
              </w:rPr>
              <w:t>taking all measures to ensure the safety and health of workers, in particular on the performance of the Prevention and Protection Plan</w:t>
            </w:r>
            <w:r w:rsidRPr="0037604E">
              <w:rPr>
                <w:rFonts w:asciiTheme="majorHAnsi" w:hAnsiTheme="majorHAnsi"/>
                <w:lang w:val="en-GB"/>
              </w:rPr>
              <w:t>.</w:t>
            </w:r>
            <w:r w:rsidRPr="0037604E">
              <w:rPr>
                <w:rFonts w:asciiTheme="majorHAnsi" w:hAnsiTheme="majorHAnsi"/>
                <w:b/>
                <w:lang w:val="en-GB"/>
              </w:rPr>
              <w:t xml:space="preserve"> </w:t>
            </w:r>
            <w:r w:rsidRPr="0037604E">
              <w:rPr>
                <w:rFonts w:ascii="Cambria" w:hAnsi="Cambria"/>
                <w:lang w:val="en-GB"/>
              </w:rPr>
              <w:t>In order to reduce and/or eliminate the risk of occupational accidents and illnesses, the company organized specific actions which contributed to the materialization of the planned measures, with a priority set on technical, organizational and sanitary-medical activities</w:t>
            </w:r>
            <w:r w:rsidRPr="0037604E">
              <w:rPr>
                <w:rFonts w:asciiTheme="majorHAnsi" w:hAnsiTheme="majorHAnsi"/>
                <w:lang w:val="en-GB"/>
              </w:rPr>
              <w:t xml:space="preserve">. </w:t>
            </w:r>
          </w:p>
        </w:tc>
      </w:tr>
      <w:tr w:rsidR="0037604E" w:rsidRPr="0037604E" w:rsidTr="0037604E">
        <w:trPr>
          <w:trHeight w:val="361"/>
          <w:tblCellSpacing w:w="20" w:type="dxa"/>
          <w:jc w:val="center"/>
        </w:trPr>
        <w:tc>
          <w:tcPr>
            <w:tcW w:w="2227" w:type="dxa"/>
          </w:tcPr>
          <w:p w:rsidR="0037604E" w:rsidRPr="0037604E" w:rsidRDefault="0037604E" w:rsidP="0037604E">
            <w:pPr>
              <w:spacing w:after="0" w:line="240" w:lineRule="auto"/>
              <w:ind w:firstLine="0"/>
              <w:jc w:val="both"/>
              <w:rPr>
                <w:rFonts w:asciiTheme="majorHAnsi" w:eastAsia="Times New Roman" w:hAnsiTheme="majorHAnsi" w:cs="Courier New"/>
                <w:lang w:val="en-GB" w:eastAsia="en-US"/>
              </w:rPr>
            </w:pPr>
            <w:r w:rsidRPr="0037604E">
              <w:rPr>
                <w:rFonts w:ascii="Cambria" w:eastAsia="Times New Roman" w:hAnsi="Cambria" w:cs="Times New Roman"/>
                <w:lang w:val="en-GB" w:eastAsia="en-US"/>
              </w:rPr>
              <w:t>Environmental protection activities</w:t>
            </w:r>
            <w:r w:rsidRPr="0037604E">
              <w:rPr>
                <w:rFonts w:asciiTheme="majorHAnsi" w:eastAsia="Times New Roman" w:hAnsiTheme="majorHAnsi" w:cs="Courier New"/>
                <w:lang w:val="en-GB" w:eastAsia="en-US"/>
              </w:rPr>
              <w:t xml:space="preserve"> </w:t>
            </w:r>
          </w:p>
        </w:tc>
        <w:tc>
          <w:tcPr>
            <w:tcW w:w="7283" w:type="dxa"/>
          </w:tcPr>
          <w:p w:rsidR="0037604E" w:rsidRPr="0037604E" w:rsidRDefault="0037604E" w:rsidP="0037604E">
            <w:pPr>
              <w:spacing w:after="0" w:line="240" w:lineRule="auto"/>
              <w:ind w:firstLine="0"/>
              <w:jc w:val="both"/>
              <w:rPr>
                <w:rFonts w:asciiTheme="majorHAnsi" w:hAnsiTheme="majorHAnsi"/>
                <w:i/>
                <w:lang w:val="en-GB"/>
              </w:rPr>
            </w:pPr>
            <w:r w:rsidRPr="0037604E">
              <w:rPr>
                <w:rFonts w:asciiTheme="majorHAnsi" w:hAnsiTheme="majorHAnsi"/>
                <w:lang w:val="en-GB"/>
              </w:rPr>
              <w:t xml:space="preserve">The </w:t>
            </w:r>
            <w:r w:rsidRPr="0037604E">
              <w:rPr>
                <w:rFonts w:ascii="Cambria" w:eastAsia="Times New Roman" w:hAnsi="Cambria" w:cs="Times New Roman"/>
                <w:lang w:val="en-GB" w:eastAsia="en-US"/>
              </w:rPr>
              <w:t>Environmental protection activity</w:t>
            </w:r>
            <w:r w:rsidRPr="0037604E">
              <w:rPr>
                <w:rFonts w:asciiTheme="majorHAnsi" w:hAnsiTheme="majorHAnsi"/>
                <w:lang w:val="en-GB"/>
              </w:rPr>
              <w:t xml:space="preserve"> regarded mainly compliance with the laws and regulations of the environment and water management permits. The Company has </w:t>
            </w:r>
            <w:r w:rsidRPr="00D21737">
              <w:rPr>
                <w:rFonts w:asciiTheme="majorHAnsi" w:hAnsiTheme="majorHAnsi"/>
                <w:i/>
                <w:lang w:val="en-GB"/>
              </w:rPr>
              <w:t>17 environmental permits</w:t>
            </w:r>
            <w:r w:rsidRPr="00D21737">
              <w:rPr>
                <w:rFonts w:asciiTheme="majorHAnsi" w:hAnsiTheme="majorHAnsi"/>
                <w:lang w:val="en-GB"/>
              </w:rPr>
              <w:t xml:space="preserve"> and </w:t>
            </w:r>
            <w:r w:rsidR="00D21737">
              <w:rPr>
                <w:rFonts w:asciiTheme="majorHAnsi" w:hAnsiTheme="majorHAnsi"/>
                <w:i/>
                <w:lang w:val="en-GB"/>
              </w:rPr>
              <w:t>130 water management permits.</w:t>
            </w:r>
          </w:p>
          <w:p w:rsidR="0037604E" w:rsidRPr="0037604E" w:rsidRDefault="0037604E" w:rsidP="0037604E">
            <w:pPr>
              <w:spacing w:after="0" w:line="240" w:lineRule="auto"/>
              <w:ind w:firstLine="0"/>
              <w:jc w:val="both"/>
              <w:rPr>
                <w:rFonts w:asciiTheme="majorHAnsi" w:hAnsiTheme="majorHAnsi"/>
                <w:b/>
                <w:lang w:val="en-GB"/>
              </w:rPr>
            </w:pPr>
            <w:r w:rsidRPr="0037604E">
              <w:rPr>
                <w:rFonts w:asciiTheme="majorHAnsi" w:hAnsiTheme="majorHAnsi"/>
                <w:lang w:val="en-GB"/>
              </w:rPr>
              <w:t>In 2016, following the inspections of the</w:t>
            </w:r>
            <w:r w:rsidRPr="0037604E">
              <w:rPr>
                <w:rFonts w:ascii="Cambria" w:hAnsi="Cambria"/>
                <w:lang w:val="en-GB"/>
              </w:rPr>
              <w:t xml:space="preserve"> National Environmental Guard</w:t>
            </w:r>
            <w:r w:rsidRPr="0037604E">
              <w:rPr>
                <w:rFonts w:asciiTheme="majorHAnsi" w:hAnsiTheme="majorHAnsi"/>
                <w:lang w:val="en-GB"/>
              </w:rPr>
              <w:t xml:space="preserve">, </w:t>
            </w:r>
            <w:r w:rsidRPr="00D21737">
              <w:rPr>
                <w:rFonts w:ascii="Cambria" w:hAnsi="Cambria"/>
                <w:b/>
                <w:lang w:val="en-GB"/>
              </w:rPr>
              <w:t>no contraventional sanctions were applied</w:t>
            </w:r>
            <w:r w:rsidRPr="00D21737">
              <w:rPr>
                <w:rFonts w:asciiTheme="majorHAnsi" w:hAnsiTheme="majorHAnsi"/>
                <w:b/>
                <w:lang w:val="en-GB"/>
              </w:rPr>
              <w:t xml:space="preserve"> to the Company for environmental protection provisions.</w:t>
            </w:r>
          </w:p>
        </w:tc>
      </w:tr>
      <w:tr w:rsidR="0037604E" w:rsidRPr="0037604E" w:rsidTr="0037604E">
        <w:trPr>
          <w:tblCellSpacing w:w="20" w:type="dxa"/>
          <w:jc w:val="center"/>
        </w:trPr>
        <w:tc>
          <w:tcPr>
            <w:tcW w:w="2227" w:type="dxa"/>
          </w:tcPr>
          <w:p w:rsidR="0037604E" w:rsidRPr="0037604E" w:rsidRDefault="0037604E" w:rsidP="0037604E">
            <w:pPr>
              <w:spacing w:after="0" w:line="240" w:lineRule="auto"/>
              <w:ind w:firstLine="0"/>
              <w:jc w:val="both"/>
              <w:rPr>
                <w:rFonts w:asciiTheme="majorHAnsi" w:hAnsiTheme="majorHAnsi"/>
                <w:lang w:val="en-GB"/>
              </w:rPr>
            </w:pPr>
            <w:r w:rsidRPr="0037604E">
              <w:rPr>
                <w:rFonts w:ascii="Cambria" w:eastAsia="Times New Roman" w:hAnsi="Cambria" w:cs="Arial"/>
                <w:lang w:val="en-GB" w:eastAsia="en-US"/>
              </w:rPr>
              <w:t>Environmental quality management activities</w:t>
            </w:r>
          </w:p>
        </w:tc>
        <w:tc>
          <w:tcPr>
            <w:tcW w:w="7283" w:type="dxa"/>
          </w:tcPr>
          <w:p w:rsidR="0037604E" w:rsidRPr="0037604E" w:rsidRDefault="0037604E" w:rsidP="0037604E">
            <w:pPr>
              <w:spacing w:after="0" w:line="240" w:lineRule="auto"/>
              <w:ind w:firstLine="0"/>
              <w:jc w:val="both"/>
              <w:rPr>
                <w:rFonts w:asciiTheme="majorHAnsi" w:hAnsiTheme="majorHAnsi"/>
                <w:lang w:val="en-GB"/>
              </w:rPr>
            </w:pPr>
            <w:r w:rsidRPr="0037604E">
              <w:rPr>
                <w:rFonts w:asciiTheme="majorHAnsi" w:hAnsiTheme="majorHAnsi"/>
                <w:lang w:val="en-GB"/>
              </w:rPr>
              <w:t xml:space="preserve">In 2016 </w:t>
            </w:r>
            <w:r w:rsidRPr="0037604E">
              <w:rPr>
                <w:rFonts w:ascii="Cambria" w:hAnsi="Cambria"/>
                <w:lang w:val="en-GB"/>
              </w:rPr>
              <w:t>the Audit Process of the Integrated Management System for Quality, Environment and Occupational Health and Safety</w:t>
            </w:r>
            <w:r w:rsidRPr="0037604E">
              <w:rPr>
                <w:rFonts w:asciiTheme="majorHAnsi" w:hAnsiTheme="majorHAnsi"/>
                <w:bCs/>
                <w:lang w:val="en-GB"/>
              </w:rPr>
              <w:t xml:space="preserve"> </w:t>
            </w:r>
            <w:r w:rsidRPr="0037604E">
              <w:rPr>
                <w:rFonts w:asciiTheme="majorHAnsi" w:hAnsiTheme="majorHAnsi"/>
                <w:lang w:val="en-GB"/>
              </w:rPr>
              <w:t>was performed as approved.</w:t>
            </w:r>
          </w:p>
        </w:tc>
      </w:tr>
      <w:tr w:rsidR="0037604E" w:rsidRPr="0037604E" w:rsidTr="0037604E">
        <w:trPr>
          <w:trHeight w:val="1466"/>
          <w:tblCellSpacing w:w="20" w:type="dxa"/>
          <w:jc w:val="center"/>
        </w:trPr>
        <w:tc>
          <w:tcPr>
            <w:tcW w:w="2227" w:type="dxa"/>
          </w:tcPr>
          <w:p w:rsidR="0037604E" w:rsidRPr="0037604E" w:rsidRDefault="0037604E" w:rsidP="0037604E">
            <w:pPr>
              <w:spacing w:after="0" w:line="240" w:lineRule="auto"/>
              <w:ind w:firstLine="0"/>
              <w:jc w:val="both"/>
              <w:rPr>
                <w:rFonts w:asciiTheme="majorHAnsi" w:eastAsia="Times New Roman" w:hAnsiTheme="majorHAnsi" w:cs="Courier New"/>
                <w:lang w:val="en-GB" w:eastAsia="en-US"/>
              </w:rPr>
            </w:pPr>
            <w:r w:rsidRPr="0037604E">
              <w:rPr>
                <w:rFonts w:ascii="Cambria" w:eastAsia="Times New Roman" w:hAnsi="Cambria" w:cs="Times New Roman"/>
                <w:lang w:val="en-GB" w:eastAsia="en-US"/>
              </w:rPr>
              <w:t>Security and protection activities</w:t>
            </w:r>
            <w:r w:rsidRPr="0037604E">
              <w:rPr>
                <w:rFonts w:asciiTheme="majorHAnsi" w:eastAsia="Times New Roman" w:hAnsiTheme="majorHAnsi" w:cs="Courier New"/>
                <w:lang w:val="en-GB" w:eastAsia="en-US"/>
              </w:rPr>
              <w:t xml:space="preserve"> </w:t>
            </w:r>
          </w:p>
        </w:tc>
        <w:tc>
          <w:tcPr>
            <w:tcW w:w="7283" w:type="dxa"/>
          </w:tcPr>
          <w:p w:rsidR="0037604E" w:rsidRPr="0037604E" w:rsidRDefault="0037604E" w:rsidP="0037604E">
            <w:pPr>
              <w:spacing w:after="0" w:line="240" w:lineRule="auto"/>
              <w:ind w:firstLine="0"/>
              <w:jc w:val="both"/>
              <w:rPr>
                <w:rFonts w:asciiTheme="majorHAnsi" w:hAnsiTheme="majorHAnsi"/>
                <w:lang w:val="en-GB"/>
              </w:rPr>
            </w:pPr>
            <w:r w:rsidRPr="0037604E">
              <w:rPr>
                <w:rFonts w:asciiTheme="majorHAnsi" w:hAnsiTheme="majorHAnsi"/>
                <w:lang w:val="en-GB"/>
              </w:rPr>
              <w:t>The activity of the Protection, Security and Emergency Situations Department</w:t>
            </w:r>
            <w:r w:rsidRPr="0037604E">
              <w:rPr>
                <w:rFonts w:asciiTheme="majorHAnsi" w:hAnsiTheme="majorHAnsi" w:cs="Tahoma"/>
                <w:lang w:val="en-GB"/>
              </w:rPr>
              <w:t xml:space="preserve"> (SPPSU) is based on assuring the security of the values and assets of Transgaz, the prevention and limitation of the emergency situations which might affect the integrity of the NTS, the record of actions for mobilization of employees at the workplace and their application, and the situation of the assets and vehicles.</w:t>
            </w:r>
          </w:p>
        </w:tc>
      </w:tr>
      <w:tr w:rsidR="0037604E" w:rsidRPr="0037604E" w:rsidTr="0037604E">
        <w:trPr>
          <w:trHeight w:val="993"/>
          <w:tblCellSpacing w:w="20" w:type="dxa"/>
          <w:jc w:val="center"/>
        </w:trPr>
        <w:tc>
          <w:tcPr>
            <w:tcW w:w="2227" w:type="dxa"/>
          </w:tcPr>
          <w:p w:rsidR="0037604E" w:rsidRPr="0037604E" w:rsidRDefault="0037604E" w:rsidP="0037604E">
            <w:pPr>
              <w:spacing w:after="0" w:line="240" w:lineRule="auto"/>
              <w:ind w:firstLine="0"/>
              <w:jc w:val="both"/>
              <w:rPr>
                <w:rFonts w:asciiTheme="majorHAnsi" w:hAnsiTheme="majorHAnsi"/>
                <w:lang w:val="en-GB"/>
              </w:rPr>
            </w:pPr>
            <w:r w:rsidRPr="0037604E">
              <w:rPr>
                <w:rFonts w:ascii="Cambria" w:eastAsia="Times New Roman" w:hAnsi="Cambria" w:cs="Times New Roman"/>
                <w:lang w:val="en-GB" w:eastAsia="en-US"/>
              </w:rPr>
              <w:t>Documents administration activities</w:t>
            </w:r>
          </w:p>
        </w:tc>
        <w:tc>
          <w:tcPr>
            <w:tcW w:w="7283" w:type="dxa"/>
          </w:tcPr>
          <w:p w:rsidR="0037604E" w:rsidRPr="0037604E" w:rsidRDefault="0037604E" w:rsidP="0037604E">
            <w:pPr>
              <w:spacing w:after="0" w:line="240" w:lineRule="auto"/>
              <w:ind w:firstLine="0"/>
              <w:jc w:val="both"/>
              <w:rPr>
                <w:rFonts w:asciiTheme="majorHAnsi" w:hAnsiTheme="majorHAnsi"/>
                <w:lang w:val="en-GB"/>
              </w:rPr>
            </w:pPr>
            <w:r w:rsidRPr="0037604E">
              <w:rPr>
                <w:rFonts w:asciiTheme="majorHAnsi" w:hAnsiTheme="majorHAnsi"/>
                <w:lang w:val="en-GB"/>
              </w:rPr>
              <w:t>In 2016 the documents administration activity regarded mainly compliance with the laws and the effort to improve registration, correspondence and archiving procedures regarding the documents created and held by the Company.</w:t>
            </w:r>
          </w:p>
        </w:tc>
      </w:tr>
      <w:tr w:rsidR="0037604E" w:rsidRPr="0037604E" w:rsidTr="0037604E">
        <w:trPr>
          <w:tblCellSpacing w:w="20" w:type="dxa"/>
          <w:jc w:val="center"/>
        </w:trPr>
        <w:tc>
          <w:tcPr>
            <w:tcW w:w="2227" w:type="dxa"/>
          </w:tcPr>
          <w:p w:rsidR="0037604E" w:rsidRPr="0037604E" w:rsidRDefault="0037604E" w:rsidP="0037604E">
            <w:pPr>
              <w:spacing w:after="0" w:line="240" w:lineRule="auto"/>
              <w:ind w:firstLine="0"/>
              <w:jc w:val="both"/>
              <w:rPr>
                <w:rFonts w:asciiTheme="majorHAnsi" w:eastAsia="Times New Roman" w:hAnsiTheme="majorHAnsi" w:cs="Times New Roman"/>
                <w:lang w:val="en-GB" w:eastAsia="en-US"/>
              </w:rPr>
            </w:pPr>
            <w:r w:rsidRPr="0037604E">
              <w:rPr>
                <w:rFonts w:ascii="Cambria" w:eastAsia="Times New Roman" w:hAnsi="Cambria" w:cs="Courier New"/>
                <w:lang w:val="en-GB" w:eastAsia="en-US"/>
              </w:rPr>
              <w:t>Controlling body activities</w:t>
            </w:r>
          </w:p>
        </w:tc>
        <w:tc>
          <w:tcPr>
            <w:tcW w:w="7283" w:type="dxa"/>
          </w:tcPr>
          <w:p w:rsidR="0037604E" w:rsidRPr="0037604E" w:rsidRDefault="0037604E" w:rsidP="0037604E">
            <w:pPr>
              <w:spacing w:after="0" w:line="240" w:lineRule="auto"/>
              <w:jc w:val="both"/>
              <w:rPr>
                <w:rFonts w:ascii="Cambria" w:hAnsi="Cambria"/>
                <w:lang w:val="en-GB"/>
              </w:rPr>
            </w:pPr>
            <w:r w:rsidRPr="0037604E">
              <w:rPr>
                <w:rFonts w:ascii="Cambria" w:hAnsi="Cambria"/>
                <w:lang w:val="en-GB"/>
              </w:rPr>
              <w:t>The Control Body Service missions (before the change in the structure) were focused on providing an approach to minimize the risk of errors and non-conformities, aimed at achieving performance at all levels of the company. The focus was mainly on:</w:t>
            </w:r>
          </w:p>
          <w:p w:rsidR="0037604E" w:rsidRPr="0037604E" w:rsidRDefault="0037604E" w:rsidP="00FA6EB9">
            <w:pPr>
              <w:numPr>
                <w:ilvl w:val="0"/>
                <w:numId w:val="50"/>
              </w:numPr>
              <w:spacing w:after="0" w:line="240" w:lineRule="auto"/>
              <w:ind w:left="780"/>
              <w:contextualSpacing/>
              <w:jc w:val="both"/>
              <w:rPr>
                <w:rFonts w:ascii="Cambria" w:hAnsi="Cambria"/>
                <w:lang w:val="en-GB"/>
              </w:rPr>
            </w:pPr>
            <w:r w:rsidRPr="0037604E">
              <w:rPr>
                <w:rFonts w:ascii="Cambria" w:eastAsia="Arial" w:hAnsi="Cambria" w:cs="Arial"/>
                <w:shd w:val="clear" w:color="auto" w:fill="FFFFFF"/>
                <w:lang w:val="en-GB"/>
              </w:rPr>
              <w:t>identifying the potential factors that could affect the achievement of the management plan;</w:t>
            </w:r>
          </w:p>
          <w:p w:rsidR="0037604E" w:rsidRPr="0037604E" w:rsidRDefault="0037604E" w:rsidP="00FA6EB9">
            <w:pPr>
              <w:numPr>
                <w:ilvl w:val="0"/>
                <w:numId w:val="50"/>
              </w:numPr>
              <w:spacing w:after="0" w:line="240" w:lineRule="auto"/>
              <w:ind w:left="780"/>
              <w:contextualSpacing/>
              <w:jc w:val="both"/>
              <w:rPr>
                <w:rFonts w:asciiTheme="majorHAnsi" w:hAnsiTheme="majorHAnsi"/>
                <w:lang w:val="en-GB"/>
              </w:rPr>
            </w:pPr>
            <w:r w:rsidRPr="0037604E">
              <w:rPr>
                <w:rFonts w:ascii="Cambria" w:eastAsia="Arial" w:hAnsi="Cambria" w:cs="Arial"/>
                <w:shd w:val="clear" w:color="auto" w:fill="FFFFFF"/>
                <w:lang w:val="en-GB"/>
              </w:rPr>
              <w:t>suggesting viable solutions during the performance of projects, primarily those with European funding.</w:t>
            </w:r>
          </w:p>
        </w:tc>
      </w:tr>
    </w:tbl>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The evaluation of this activity is presented in detail in </w:t>
      </w:r>
      <w:r w:rsidRPr="0037604E">
        <w:rPr>
          <w:rFonts w:ascii="Cambria" w:eastAsia="Calibri" w:hAnsi="Cambria" w:cs="Times New Roman"/>
          <w:b/>
          <w:sz w:val="24"/>
          <w:szCs w:val="24"/>
          <w:lang w:val="en-GB" w:eastAsia="en-US"/>
        </w:rPr>
        <w:t>Annex No. 2</w:t>
      </w:r>
      <w:r w:rsidRPr="0037604E">
        <w:rPr>
          <w:rFonts w:ascii="Cambria" w:eastAsia="Calibri" w:hAnsi="Cambria" w:cs="Times New Roman"/>
          <w:sz w:val="24"/>
          <w:szCs w:val="24"/>
          <w:lang w:val="en-GB" w:eastAsia="en-US"/>
        </w:rPr>
        <w:t xml:space="preserve"> to the Report issued by the Board of Administrators for 2015 and is part thereof</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DBE5F1" w:themeFill="accent1" w:themeFillTint="33"/>
        <w:spacing w:before="320" w:after="0" w:line="360" w:lineRule="auto"/>
        <w:ind w:firstLine="0"/>
        <w:outlineLvl w:val="2"/>
        <w:rPr>
          <w:rFonts w:asciiTheme="majorHAnsi" w:eastAsia="Times New Roman" w:hAnsiTheme="majorHAnsi" w:cstheme="majorBidi"/>
          <w:bCs/>
          <w:i/>
          <w:iCs/>
          <w:sz w:val="26"/>
          <w:szCs w:val="26"/>
          <w:lang w:val="en-GB" w:eastAsia="ro-RO"/>
        </w:rPr>
      </w:pPr>
      <w:bookmarkStart w:id="44" w:name="_Toc414263631"/>
      <w:bookmarkStart w:id="45" w:name="_Toc446310829"/>
      <w:r w:rsidRPr="0037604E">
        <w:rPr>
          <w:rFonts w:asciiTheme="majorHAnsi" w:eastAsia="Times New Roman" w:hAnsiTheme="majorHAnsi" w:cstheme="majorBidi"/>
          <w:b/>
          <w:bCs/>
          <w:i/>
          <w:iCs/>
          <w:sz w:val="26"/>
          <w:szCs w:val="26"/>
          <w:lang w:val="en-GB" w:eastAsia="ro-RO"/>
        </w:rPr>
        <w:t xml:space="preserve">3.1.12 </w:t>
      </w:r>
      <w:bookmarkEnd w:id="44"/>
      <w:r w:rsidRPr="0037604E">
        <w:rPr>
          <w:rFonts w:asciiTheme="majorHAnsi" w:eastAsia="Times New Roman" w:hAnsiTheme="majorHAnsi" w:cstheme="majorBidi"/>
          <w:b/>
          <w:bCs/>
          <w:i/>
          <w:iCs/>
          <w:sz w:val="26"/>
          <w:szCs w:val="26"/>
          <w:lang w:val="en-GB" w:eastAsia="ro-RO"/>
        </w:rPr>
        <w:t>Disputes</w:t>
      </w:r>
      <w:bookmarkEnd w:id="45"/>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According to the Register of cases kept by the Legal and Litigation Division, Legal Endorsemen and Litigation Unit – Legal Division</w:t>
      </w:r>
      <w:r w:rsidRPr="0037604E">
        <w:rPr>
          <w:rFonts w:ascii="Cambria" w:eastAsia="Times New Roman" w:hAnsi="Cambria" w:cs="Times New Roman"/>
          <w:sz w:val="24"/>
          <w:szCs w:val="24"/>
          <w:lang w:val="en-GB" w:eastAsia="ro-RO"/>
        </w:rPr>
        <w:t xml:space="preserve"> in 2016 a number of 146 cases were recorded</w:t>
      </w:r>
      <w:r w:rsidRPr="0037604E">
        <w:rPr>
          <w:rFonts w:ascii="Cambria" w:eastAsia="Calibri" w:hAnsi="Cambria" w:cs="Times New Roman"/>
          <w:sz w:val="24"/>
          <w:szCs w:val="24"/>
          <w:lang w:val="en-GB" w:eastAsia="en-US"/>
        </w:rPr>
        <w:t>, cases in which Transgaz acted both as plaintiff and defendant of which:</w:t>
      </w:r>
    </w:p>
    <w:p w:rsidR="0037604E" w:rsidRPr="0037604E" w:rsidRDefault="0037604E" w:rsidP="00FA6EB9">
      <w:pPr>
        <w:numPr>
          <w:ilvl w:val="0"/>
          <w:numId w:val="11"/>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 xml:space="preserve">69 </w:t>
      </w:r>
      <w:r w:rsidRPr="0037604E">
        <w:rPr>
          <w:rFonts w:ascii="Cambria" w:eastAsia="Calibri" w:hAnsi="Cambria" w:cs="Times New Roman"/>
          <w:sz w:val="24"/>
          <w:szCs w:val="24"/>
          <w:lang w:val="en-GB" w:eastAsia="en-US"/>
        </w:rPr>
        <w:t>cases – as plaintiff;</w:t>
      </w:r>
    </w:p>
    <w:p w:rsidR="0037604E" w:rsidRPr="0037604E" w:rsidRDefault="0037604E" w:rsidP="00FA6EB9">
      <w:pPr>
        <w:numPr>
          <w:ilvl w:val="0"/>
          <w:numId w:val="11"/>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77</w:t>
      </w:r>
      <w:r w:rsidRPr="0037604E">
        <w:rPr>
          <w:rFonts w:ascii="Cambria" w:eastAsia="Calibri" w:hAnsi="Cambria" w:cs="Times New Roman"/>
          <w:sz w:val="24"/>
          <w:szCs w:val="24"/>
          <w:lang w:val="en-GB" w:eastAsia="en-US"/>
        </w:rPr>
        <w:t xml:space="preserve"> cases – as defendant;</w:t>
      </w:r>
    </w:p>
    <w:p w:rsidR="0037604E" w:rsidRPr="0037604E" w:rsidRDefault="0037604E" w:rsidP="0037604E">
      <w:pPr>
        <w:spacing w:after="0" w:line="240" w:lineRule="auto"/>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Resolutions:</w:t>
      </w:r>
    </w:p>
    <w:p w:rsidR="0037604E" w:rsidRPr="0037604E" w:rsidRDefault="0037604E" w:rsidP="00FA6EB9">
      <w:pPr>
        <w:numPr>
          <w:ilvl w:val="0"/>
          <w:numId w:val="12"/>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12 cases with favourable resolutions for Transgaz (the issued solutions are final) ;</w:t>
      </w:r>
    </w:p>
    <w:p w:rsidR="0037604E" w:rsidRPr="0037604E" w:rsidRDefault="0037604E" w:rsidP="00FA6EB9">
      <w:pPr>
        <w:numPr>
          <w:ilvl w:val="0"/>
          <w:numId w:val="12"/>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5 unfavourable (the issued solutions are final);</w:t>
      </w:r>
    </w:p>
    <w:p w:rsidR="0037604E" w:rsidRPr="0037604E" w:rsidRDefault="0037604E" w:rsidP="00FA6EB9">
      <w:pPr>
        <w:numPr>
          <w:ilvl w:val="0"/>
          <w:numId w:val="12"/>
        </w:numPr>
        <w:spacing w:after="0" w:line="240" w:lineRule="auto"/>
        <w:contextualSpacing/>
        <w:jc w:val="both"/>
        <w:rPr>
          <w:rFonts w:ascii="Cambria" w:eastAsia="Calibri" w:hAnsi="Cambria" w:cs="Times New Roman"/>
          <w:sz w:val="24"/>
          <w:szCs w:val="24"/>
          <w:lang w:val="en-GB" w:eastAsia="en-US"/>
        </w:rPr>
      </w:pPr>
      <w:r w:rsidRPr="0037604E">
        <w:rPr>
          <w:rFonts w:ascii="Cambria" w:eastAsia="Times New Roman" w:hAnsi="Cambria" w:cs="Times New Roman"/>
          <w:color w:val="000000"/>
          <w:sz w:val="24"/>
          <w:szCs w:val="24"/>
          <w:lang w:val="en-GB"/>
        </w:rPr>
        <w:t>129 cases pending resolution.</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lastRenderedPageBreak/>
        <w:t>Values:</w:t>
      </w:r>
    </w:p>
    <w:p w:rsidR="0037604E" w:rsidRPr="0037604E" w:rsidRDefault="0037604E" w:rsidP="00FA6EB9">
      <w:pPr>
        <w:numPr>
          <w:ilvl w:val="0"/>
          <w:numId w:val="51"/>
        </w:numPr>
        <w:spacing w:after="0" w:line="240" w:lineRule="auto"/>
        <w:contextualSpacing/>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t xml:space="preserve">Values of cases in which Transgaz acts as plaintiff: RON </w:t>
      </w:r>
      <w:r w:rsidRPr="0037604E">
        <w:rPr>
          <w:rFonts w:asciiTheme="majorHAnsi" w:eastAsia="Calibri" w:hAnsiTheme="majorHAnsi" w:cs="Times New Roman"/>
          <w:b/>
          <w:sz w:val="24"/>
          <w:szCs w:val="24"/>
          <w:lang w:val="ro-RO" w:eastAsia="en-US"/>
        </w:rPr>
        <w:t>484.635.996</w:t>
      </w:r>
      <w:r w:rsidR="00ED4E8C" w:rsidRPr="0037604E">
        <w:rPr>
          <w:rFonts w:asciiTheme="majorHAnsi" w:eastAsia="Calibri" w:hAnsiTheme="majorHAnsi" w:cs="Times New Roman"/>
          <w:b/>
          <w:sz w:val="24"/>
          <w:szCs w:val="24"/>
          <w:lang w:val="ro-RO" w:eastAsia="en-US"/>
        </w:rPr>
        <w:t>, 89</w:t>
      </w:r>
      <w:r w:rsidRPr="0037604E">
        <w:rPr>
          <w:rFonts w:ascii="Cambria" w:eastAsia="Times New Roman" w:hAnsi="Cambria" w:cs="Times New Roman"/>
          <w:color w:val="000000"/>
          <w:sz w:val="24"/>
          <w:szCs w:val="24"/>
          <w:lang w:val="en-GB"/>
        </w:rPr>
        <w:t>.</w:t>
      </w:r>
    </w:p>
    <w:p w:rsidR="0037604E" w:rsidRPr="0037604E" w:rsidRDefault="0037604E" w:rsidP="00FA6EB9">
      <w:pPr>
        <w:numPr>
          <w:ilvl w:val="0"/>
          <w:numId w:val="51"/>
        </w:numPr>
        <w:spacing w:after="0" w:line="240" w:lineRule="auto"/>
        <w:contextualSpacing/>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t xml:space="preserve">Values of causes in which Transgaz acts as defendant: RON </w:t>
      </w:r>
      <w:r w:rsidRPr="0037604E">
        <w:rPr>
          <w:rFonts w:asciiTheme="majorHAnsi" w:eastAsia="Calibri" w:hAnsiTheme="majorHAnsi" w:cs="Calibri"/>
          <w:b/>
          <w:sz w:val="24"/>
          <w:szCs w:val="24"/>
          <w:lang w:val="ro-RO" w:eastAsia="ro-RO"/>
        </w:rPr>
        <w:t>5.383.069,63</w:t>
      </w:r>
      <w:r w:rsidRPr="0037604E">
        <w:rPr>
          <w:rFonts w:asciiTheme="majorHAnsi" w:hAnsiTheme="majorHAnsi"/>
          <w:b/>
          <w:sz w:val="24"/>
          <w:lang w:val="ro-RO"/>
        </w:rPr>
        <w:t xml:space="preserve"> </w:t>
      </w:r>
      <w:r w:rsidRPr="0037604E">
        <w:rPr>
          <w:rFonts w:ascii="Cambria" w:eastAsia="Calibri" w:hAnsi="Cambria" w:cs="Times New Roman"/>
          <w:sz w:val="24"/>
          <w:szCs w:val="24"/>
          <w:lang w:val="en-GB" w:eastAsia="en-US"/>
        </w:rPr>
        <w:t xml:space="preserve">and </w:t>
      </w:r>
      <w:r w:rsidRPr="0037604E">
        <w:rPr>
          <w:rFonts w:asciiTheme="majorHAnsi" w:eastAsia="Calibri" w:hAnsiTheme="majorHAnsi" w:cs="Calibri"/>
          <w:b/>
          <w:sz w:val="24"/>
          <w:szCs w:val="24"/>
          <w:lang w:val="ro-RO" w:eastAsia="ro-RO"/>
        </w:rPr>
        <w:t>135.505,63</w:t>
      </w:r>
      <w:r w:rsidRPr="0037604E">
        <w:rPr>
          <w:rFonts w:asciiTheme="majorHAnsi" w:hAnsiTheme="majorHAnsi"/>
          <w:b/>
          <w:sz w:val="24"/>
          <w:lang w:val="ro-RO"/>
        </w:rPr>
        <w:t xml:space="preserve"> </w:t>
      </w:r>
      <w:r w:rsidRPr="0037604E">
        <w:rPr>
          <w:rFonts w:ascii="Cambria" w:eastAsia="Calibri" w:hAnsi="Cambria" w:cs="Calibri"/>
          <w:sz w:val="24"/>
          <w:szCs w:val="24"/>
          <w:lang w:val="en-GB" w:eastAsia="ro-RO"/>
        </w:rPr>
        <w:t>euro</w:t>
      </w:r>
    </w:p>
    <w:p w:rsidR="0037604E" w:rsidRPr="0037604E" w:rsidRDefault="0037604E" w:rsidP="0037604E">
      <w:pPr>
        <w:spacing w:after="0" w:line="240" w:lineRule="auto"/>
        <w:contextualSpacing/>
        <w:jc w:val="both"/>
        <w:rPr>
          <w:rFonts w:ascii="Cambria" w:eastAsia="Calibri" w:hAnsi="Cambria" w:cs="Times New Roman"/>
          <w:sz w:val="24"/>
          <w:szCs w:val="24"/>
          <w:lang w:val="en-GB"/>
        </w:rPr>
      </w:pPr>
      <w:r w:rsidRPr="0037604E">
        <w:rPr>
          <w:rFonts w:asciiTheme="majorHAnsi" w:hAnsiTheme="majorHAnsi"/>
          <w:noProof/>
          <w:lang w:val="ro-RO" w:eastAsia="ro-RO"/>
        </w:rPr>
        <w:drawing>
          <wp:inline distT="0" distB="0" distL="0" distR="0" wp14:anchorId="6FCC82D8" wp14:editId="13C486B1">
            <wp:extent cx="5205095" cy="1114425"/>
            <wp:effectExtent l="0" t="0" r="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7604E" w:rsidRPr="0037604E" w:rsidRDefault="0037604E" w:rsidP="0037604E">
      <w:pPr>
        <w:spacing w:after="0" w:line="240" w:lineRule="auto"/>
        <w:ind w:left="720" w:firstLine="0"/>
        <w:contextualSpacing/>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contextualSpacing/>
        <w:jc w:val="center"/>
        <w:rPr>
          <w:rFonts w:ascii="Cambria" w:eastAsia="Times New Roman" w:hAnsi="Cambria" w:cs="Times New Roman"/>
          <w:b/>
          <w:color w:val="000000"/>
          <w:sz w:val="24"/>
          <w:szCs w:val="24"/>
          <w:lang w:val="en-GB" w:eastAsia="ro-RO"/>
        </w:rPr>
      </w:pPr>
      <w:r w:rsidRPr="0037604E">
        <w:rPr>
          <w:rFonts w:ascii="Cambria" w:eastAsia="Times New Roman" w:hAnsi="Cambria" w:cs="Times New Roman"/>
          <w:b/>
          <w:i/>
          <w:color w:val="000000"/>
          <w:sz w:val="16"/>
          <w:szCs w:val="16"/>
          <w:lang w:val="en-GB" w:eastAsia="ro-RO"/>
        </w:rPr>
        <w:t>Chart 45 – Structure and no. of cases involving our Company in 2016</w:t>
      </w:r>
    </w:p>
    <w:p w:rsidR="0037604E" w:rsidRPr="0037604E" w:rsidRDefault="0037604E" w:rsidP="0037604E">
      <w:pPr>
        <w:spacing w:after="0" w:line="240" w:lineRule="auto"/>
        <w:ind w:firstLine="0"/>
        <w:contextualSpacing/>
        <w:jc w:val="center"/>
        <w:rPr>
          <w:rFonts w:ascii="Cambria" w:eastAsia="Times New Roman" w:hAnsi="Cambria" w:cs="Times New Roman"/>
          <w:b/>
          <w:i/>
          <w:sz w:val="16"/>
          <w:szCs w:val="16"/>
          <w:lang w:val="en-GB" w:eastAsia="ro-RO"/>
        </w:rPr>
      </w:pPr>
    </w:p>
    <w:p w:rsidR="0037604E" w:rsidRDefault="0037604E" w:rsidP="0037604E">
      <w:pPr>
        <w:spacing w:after="0" w:line="240" w:lineRule="auto"/>
        <w:ind w:firstLine="0"/>
        <w:contextualSpacing/>
        <w:jc w:val="center"/>
        <w:rPr>
          <w:rFonts w:ascii="Cambria" w:eastAsia="Times New Roman" w:hAnsi="Cambria" w:cs="Times New Roman"/>
          <w:b/>
          <w:i/>
          <w:sz w:val="16"/>
          <w:szCs w:val="16"/>
          <w:lang w:val="en-GB" w:eastAsia="ro-RO"/>
        </w:rPr>
      </w:pPr>
    </w:p>
    <w:p w:rsidR="00ED4E8C" w:rsidRDefault="00ED4E8C" w:rsidP="0037604E">
      <w:pPr>
        <w:spacing w:after="0" w:line="240" w:lineRule="auto"/>
        <w:ind w:firstLine="0"/>
        <w:contextualSpacing/>
        <w:jc w:val="center"/>
        <w:rPr>
          <w:rFonts w:ascii="Cambria" w:eastAsia="Times New Roman" w:hAnsi="Cambria" w:cs="Times New Roman"/>
          <w:b/>
          <w:i/>
          <w:sz w:val="16"/>
          <w:szCs w:val="16"/>
          <w:lang w:val="en-GB" w:eastAsia="ro-RO"/>
        </w:rPr>
      </w:pPr>
    </w:p>
    <w:p w:rsidR="00ED4E8C" w:rsidRPr="0037604E" w:rsidRDefault="00ED4E8C" w:rsidP="0037604E">
      <w:pPr>
        <w:spacing w:after="0" w:line="240" w:lineRule="auto"/>
        <w:ind w:firstLine="0"/>
        <w:contextualSpacing/>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contextualSpacing/>
        <w:jc w:val="center"/>
        <w:rPr>
          <w:rFonts w:ascii="Cambria" w:eastAsia="Times New Roman" w:hAnsi="Cambria" w:cs="Times New Roman"/>
          <w:b/>
          <w:i/>
          <w:sz w:val="16"/>
          <w:szCs w:val="16"/>
          <w:lang w:val="en-GB" w:eastAsia="ro-RO"/>
        </w:rPr>
      </w:pPr>
    </w:p>
    <w:p w:rsidR="0037604E" w:rsidRPr="0037604E" w:rsidRDefault="0037604E" w:rsidP="0037604E">
      <w:pPr>
        <w:shd w:val="clear" w:color="auto" w:fill="DBE5F1" w:themeFill="accent1" w:themeFillTint="33"/>
        <w:spacing w:after="0" w:line="240" w:lineRule="auto"/>
        <w:ind w:firstLine="0"/>
        <w:jc w:val="both"/>
        <w:outlineLvl w:val="2"/>
        <w:rPr>
          <w:rFonts w:asciiTheme="majorHAnsi" w:eastAsia="Times New Roman" w:hAnsiTheme="majorHAnsi" w:cstheme="majorBidi"/>
          <w:b/>
          <w:bCs/>
          <w:i/>
          <w:iCs/>
          <w:sz w:val="24"/>
          <w:szCs w:val="24"/>
          <w:highlight w:val="cyan"/>
          <w:lang w:eastAsia="ro-RO"/>
        </w:rPr>
      </w:pPr>
      <w:bookmarkStart w:id="46" w:name="_Toc414263632"/>
      <w:bookmarkStart w:id="47" w:name="_Toc446310830"/>
      <w:r w:rsidRPr="0037604E">
        <w:rPr>
          <w:rFonts w:asciiTheme="majorHAnsi" w:eastAsia="Times New Roman" w:hAnsiTheme="majorHAnsi" w:cstheme="majorBidi"/>
          <w:b/>
          <w:bCs/>
          <w:i/>
          <w:iCs/>
          <w:sz w:val="26"/>
          <w:szCs w:val="26"/>
          <w:lang w:val="en-GB" w:eastAsia="ro-RO"/>
        </w:rPr>
        <w:t xml:space="preserve">3 </w:t>
      </w:r>
      <w:r w:rsidRPr="0037604E">
        <w:rPr>
          <w:rFonts w:asciiTheme="majorHAnsi" w:eastAsia="Times New Roman" w:hAnsiTheme="majorHAnsi" w:cstheme="majorBidi"/>
          <w:b/>
          <w:bCs/>
          <w:i/>
          <w:iCs/>
          <w:sz w:val="24"/>
          <w:szCs w:val="24"/>
          <w:lang w:eastAsia="ro-RO"/>
        </w:rPr>
        <w:t xml:space="preserve">.1.13 </w:t>
      </w:r>
      <w:r w:rsidRPr="0037604E">
        <w:rPr>
          <w:rFonts w:asciiTheme="majorHAnsi" w:eastAsia="Times New Roman" w:hAnsiTheme="majorHAnsi" w:cstheme="majorBidi"/>
          <w:b/>
          <w:bCs/>
          <w:i/>
          <w:iCs/>
          <w:sz w:val="24"/>
          <w:szCs w:val="24"/>
          <w:lang w:val="en-GB" w:eastAsia="ro-RO"/>
        </w:rPr>
        <w:t>Development of the Internal / Management Control system</w:t>
      </w:r>
    </w:p>
    <w:p w:rsidR="0037604E" w:rsidRPr="0037604E" w:rsidRDefault="0037604E" w:rsidP="0037604E">
      <w:pPr>
        <w:autoSpaceDE w:val="0"/>
        <w:autoSpaceDN w:val="0"/>
        <w:adjustRightInd w:val="0"/>
        <w:spacing w:after="0" w:line="240" w:lineRule="auto"/>
        <w:ind w:firstLine="0"/>
        <w:jc w:val="both"/>
        <w:rPr>
          <w:rFonts w:ascii="Cambria" w:eastAsia="Calibri" w:hAnsi="Cambria" w:cs="Century"/>
          <w:sz w:val="24"/>
          <w:szCs w:val="24"/>
          <w:highlight w:val="cyan"/>
          <w:lang w:eastAsia="en-US"/>
        </w:rPr>
      </w:pPr>
    </w:p>
    <w:p w:rsidR="0037604E" w:rsidRPr="0037604E" w:rsidRDefault="0037604E" w:rsidP="00FA6EB9">
      <w:pPr>
        <w:numPr>
          <w:ilvl w:val="0"/>
          <w:numId w:val="159"/>
        </w:numPr>
        <w:shd w:val="clear" w:color="auto" w:fill="F2F2F2"/>
        <w:spacing w:after="0" w:line="240" w:lineRule="auto"/>
        <w:ind w:left="0" w:hanging="284"/>
        <w:contextualSpacing/>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Background data</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b/>
          <w:bCs/>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b/>
          <w:bCs/>
          <w:sz w:val="24"/>
          <w:szCs w:val="24"/>
          <w:lang w:val="en-GB" w:eastAsia="en-US"/>
        </w:rPr>
      </w:pPr>
      <w:r w:rsidRPr="0037604E">
        <w:rPr>
          <w:rFonts w:ascii="Cambria" w:eastAsia="Calibri" w:hAnsi="Cambria" w:cs="Times New Roman"/>
          <w:b/>
          <w:bCs/>
          <w:sz w:val="24"/>
          <w:szCs w:val="24"/>
          <w:lang w:val="en-GB" w:eastAsia="en-US"/>
        </w:rPr>
        <w:t xml:space="preserve">Definition of the Internal/Management Control  </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b/>
          <w:bCs/>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etymology of the term `control` is derived from the Latin phrase `contra rolus` which </w:t>
      </w:r>
      <w:r w:rsidRPr="0037604E">
        <w:rPr>
          <w:rFonts w:ascii="Cambria" w:eastAsiaTheme="minorHAnsi" w:hAnsi="Cambria" w:cs="TT2519o00"/>
          <w:sz w:val="24"/>
          <w:szCs w:val="24"/>
          <w:lang w:eastAsia="en-US"/>
        </w:rPr>
        <w:t>checking a duplicate of the original act</w:t>
      </w:r>
      <w:r w:rsidRPr="0037604E">
        <w:rPr>
          <w:rFonts w:ascii="Cambria" w:eastAsia="Calibri" w:hAnsi="Cambria" w:cs="Times New Roman"/>
          <w:sz w:val="24"/>
          <w:szCs w:val="24"/>
          <w:lang w:val="en-GB" w:eastAsia="en-US"/>
        </w:rPr>
        <w:t>.</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semantic meaning of control refers to a permanent or periodic analysis of an activity or situation in order to monitor its development and enable improvement actions. </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reference literature contemplates several meanings for the term ‘control’:</w:t>
      </w:r>
    </w:p>
    <w:p w:rsidR="0037604E" w:rsidRPr="0037604E" w:rsidRDefault="0037604E" w:rsidP="00FA6EB9">
      <w:pPr>
        <w:numPr>
          <w:ilvl w:val="0"/>
          <w:numId w:val="158"/>
        </w:numPr>
        <w:autoSpaceDE w:val="0"/>
        <w:autoSpaceDN w:val="0"/>
        <w:adjustRightInd w:val="0"/>
        <w:spacing w:after="0" w:line="240" w:lineRule="auto"/>
        <w:ind w:left="0" w:hanging="283"/>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The French meaning</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of ‘control’</w:t>
      </w:r>
      <w:r w:rsidRPr="0037604E">
        <w:rPr>
          <w:rFonts w:ascii="Cambria" w:eastAsia="Calibri" w:hAnsi="Cambria" w:cs="Times New Roman"/>
          <w:sz w:val="24"/>
          <w:szCs w:val="24"/>
          <w:lang w:val="en-GB" w:eastAsia="en-US"/>
        </w:rPr>
        <w:t xml:space="preserve">: a careful inspection of a document in terms of accuracy </w:t>
      </w:r>
    </w:p>
    <w:p w:rsidR="0037604E" w:rsidRPr="0037604E" w:rsidRDefault="0037604E" w:rsidP="00FA6EB9">
      <w:pPr>
        <w:numPr>
          <w:ilvl w:val="0"/>
          <w:numId w:val="158"/>
        </w:numPr>
        <w:autoSpaceDE w:val="0"/>
        <w:autoSpaceDN w:val="0"/>
        <w:adjustRightInd w:val="0"/>
        <w:spacing w:after="0" w:line="240" w:lineRule="auto"/>
        <w:ind w:left="0" w:hanging="283"/>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The Anglo-Saxon</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meaning</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of ‘control’</w:t>
      </w:r>
      <w:r w:rsidRPr="0037604E">
        <w:rPr>
          <w:rFonts w:ascii="Cambria" w:eastAsia="Calibri" w:hAnsi="Cambria" w:cs="Times New Roman"/>
          <w:sz w:val="24"/>
          <w:szCs w:val="24"/>
          <w:lang w:val="en-GB" w:eastAsia="en-US"/>
        </w:rPr>
        <w:t>: the control is the action meant to supervise or thoroughly examine somebody or something for the purpose of getting acquainted with or of regulating the operation of a mechanism.</w:t>
      </w:r>
    </w:p>
    <w:p w:rsidR="0037604E" w:rsidRPr="0037604E" w:rsidRDefault="0037604E" w:rsidP="0037604E">
      <w:pPr>
        <w:spacing w:after="0" w:line="240" w:lineRule="auto"/>
        <w:ind w:firstLine="0"/>
        <w:jc w:val="both"/>
        <w:rPr>
          <w:rFonts w:ascii="Cambria" w:hAnsi="Cambria"/>
          <w:sz w:val="24"/>
          <w:lang w:val="en-GB"/>
        </w:rPr>
      </w:pPr>
    </w:p>
    <w:p w:rsidR="0037604E" w:rsidRPr="0037604E" w:rsidRDefault="0037604E" w:rsidP="0037604E">
      <w:pPr>
        <w:spacing w:after="0" w:line="240" w:lineRule="auto"/>
        <w:ind w:firstLine="0"/>
        <w:jc w:val="both"/>
        <w:rPr>
          <w:rFonts w:ascii="Cambria" w:hAnsi="Cambria"/>
          <w:b/>
          <w:sz w:val="24"/>
          <w:lang w:val="en-GB"/>
        </w:rPr>
      </w:pPr>
      <w:r w:rsidRPr="0037604E">
        <w:rPr>
          <w:rFonts w:ascii="Cambria" w:hAnsi="Cambria"/>
          <w:sz w:val="24"/>
          <w:lang w:val="en-GB"/>
        </w:rPr>
        <w:t xml:space="preserve">Under the Romanian laws, </w:t>
      </w:r>
      <w:r w:rsidRPr="0037604E">
        <w:rPr>
          <w:rFonts w:ascii="Cambria" w:hAnsi="Cambria"/>
          <w:b/>
          <w:sz w:val="24"/>
          <w:lang w:val="en-GB"/>
        </w:rPr>
        <w:t>the internal/management control is defined as the assembly of control means exercised at public entity level, including the internal audit, established by the entity’s management pursuant to the legal provisions in order to ensure the economic effectiveness of public funds administration; it also includes organizational structures, methods and procedures.</w:t>
      </w:r>
    </w:p>
    <w:p w:rsidR="0037604E" w:rsidRPr="0037604E" w:rsidRDefault="0037604E" w:rsidP="0037604E">
      <w:pPr>
        <w:spacing w:after="0" w:line="240" w:lineRule="auto"/>
        <w:ind w:firstLine="0"/>
        <w:jc w:val="both"/>
        <w:rPr>
          <w:rFonts w:ascii="Cambria" w:hAnsi="Cambria"/>
          <w:sz w:val="24"/>
          <w:lang w:val="en-GB"/>
        </w:rPr>
      </w:pPr>
    </w:p>
    <w:p w:rsidR="0037604E" w:rsidRPr="0037604E" w:rsidRDefault="0037604E" w:rsidP="0037604E">
      <w:pPr>
        <w:spacing w:after="0" w:line="240" w:lineRule="auto"/>
        <w:ind w:firstLine="0"/>
        <w:jc w:val="both"/>
        <w:rPr>
          <w:rFonts w:ascii="Cambria" w:eastAsiaTheme="minorHAnsi" w:hAnsi="Cambria" w:cs="TT2519o00"/>
          <w:sz w:val="24"/>
          <w:szCs w:val="24"/>
          <w:lang w:eastAsia="en-US"/>
        </w:rPr>
      </w:pPr>
      <w:r w:rsidRPr="0037604E">
        <w:rPr>
          <w:rFonts w:ascii="Cambria" w:hAnsi="Cambria"/>
          <w:sz w:val="24"/>
          <w:lang w:val="en-GB"/>
        </w:rPr>
        <w:t xml:space="preserve">According to the International Audit Standards issued by the International Auditing and Assurance Standards Board (IAASB) of the International Federation of Accountants (IFAC), the internal control is defined as </w:t>
      </w:r>
      <w:r w:rsidRPr="0037604E">
        <w:rPr>
          <w:rFonts w:ascii="Cambria" w:eastAsiaTheme="minorHAnsi" w:hAnsi="Cambria" w:cs="TT2519o00"/>
          <w:sz w:val="24"/>
          <w:szCs w:val="24"/>
          <w:lang w:eastAsia="en-US"/>
        </w:rPr>
        <w:t>`the process designed, implemented and maintained by the persons responsible with governance, management and other personnel with the aim of providing reasonable assurance regarding the achievement of entity objectives regarding the reliability of financial reporting, effectiveness and efficiency of operations and compliance with applicable laws and regulations`.</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ED4E8C" w:rsidP="00FA6EB9">
      <w:pPr>
        <w:numPr>
          <w:ilvl w:val="0"/>
          <w:numId w:val="159"/>
        </w:numPr>
        <w:shd w:val="clear" w:color="auto" w:fill="F2F2F2"/>
        <w:spacing w:after="0" w:line="240" w:lineRule="auto"/>
        <w:ind w:left="0" w:hanging="284"/>
        <w:contextualSpacing/>
        <w:jc w:val="both"/>
        <w:rPr>
          <w:rFonts w:ascii="Cambria" w:eastAsia="Calibri" w:hAnsi="Cambria" w:cs="Times New Roman"/>
          <w:b/>
          <w:sz w:val="24"/>
          <w:szCs w:val="24"/>
          <w:lang w:eastAsia="en-US"/>
        </w:rPr>
      </w:pPr>
      <w:r>
        <w:rPr>
          <w:rFonts w:ascii="Cambria" w:eastAsia="Calibri" w:hAnsi="Cambria" w:cs="Times New Roman"/>
          <w:b/>
          <w:sz w:val="24"/>
          <w:szCs w:val="24"/>
          <w:lang w:val="en-GB" w:eastAsia="en-US"/>
        </w:rPr>
        <w:t>Legal</w:t>
      </w:r>
      <w:r w:rsidR="0037604E" w:rsidRPr="0037604E">
        <w:rPr>
          <w:rFonts w:ascii="Cambria" w:eastAsia="Calibri" w:hAnsi="Cambria" w:cs="Times New Roman"/>
          <w:b/>
          <w:sz w:val="24"/>
          <w:szCs w:val="24"/>
          <w:lang w:val="en-GB" w:eastAsia="en-US"/>
        </w:rPr>
        <w:t xml:space="preserve"> framework</w:t>
      </w:r>
    </w:p>
    <w:p w:rsidR="0037604E" w:rsidRPr="0037604E" w:rsidRDefault="0037604E" w:rsidP="0037604E">
      <w:pPr>
        <w:spacing w:after="0" w:line="240" w:lineRule="auto"/>
        <w:ind w:firstLine="0"/>
        <w:jc w:val="both"/>
        <w:rPr>
          <w:rFonts w:ascii="Cambria" w:eastAsia="Calibri" w:hAnsi="Cambria" w:cs="Times New Roman"/>
          <w:sz w:val="24"/>
          <w:szCs w:val="24"/>
          <w:lang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process for the implementation, development and monitoring of the Internal/Management Control System is based on the following legislative acts:</w:t>
      </w:r>
    </w:p>
    <w:p w:rsidR="0037604E" w:rsidRPr="0037604E" w:rsidRDefault="0037604E" w:rsidP="00FA6EB9">
      <w:pPr>
        <w:numPr>
          <w:ilvl w:val="0"/>
          <w:numId w:val="160"/>
        </w:numPr>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lastRenderedPageBreak/>
        <w:t xml:space="preserve">Order no. 946/2005 of the Ministry of Public Finance </w:t>
      </w:r>
      <w:r w:rsidRPr="0037604E">
        <w:rPr>
          <w:rFonts w:ascii="Cambria" w:eastAsia="Calibri" w:hAnsi="Cambria" w:cs="Times New Roman"/>
          <w:sz w:val="24"/>
          <w:szCs w:val="24"/>
          <w:lang w:val="en-GB" w:eastAsia="en-US"/>
        </w:rPr>
        <w:t>on the approval of the Internal/Management Control Code comprising the Internal / Management Control Standards at public entities’ level and for the development of Internal/Management Control Systems, as republished;</w:t>
      </w:r>
    </w:p>
    <w:p w:rsidR="0037604E" w:rsidRPr="0037604E" w:rsidRDefault="0037604E" w:rsidP="00FA6EB9">
      <w:pPr>
        <w:numPr>
          <w:ilvl w:val="0"/>
          <w:numId w:val="160"/>
        </w:numPr>
        <w:spacing w:after="0" w:line="240" w:lineRule="auto"/>
        <w:ind w:hanging="283"/>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 xml:space="preserve">Order no. 1423 dated 30/10/2012 </w:t>
      </w:r>
      <w:r w:rsidRPr="0037604E">
        <w:rPr>
          <w:rFonts w:ascii="Cambria" w:eastAsia="Calibri" w:hAnsi="Cambria" w:cs="Times New Roman"/>
          <w:sz w:val="24"/>
          <w:szCs w:val="24"/>
          <w:lang w:val="en-GB" w:eastAsia="en-US"/>
        </w:rPr>
        <w:t xml:space="preserve">on the amendment of </w:t>
      </w:r>
      <w:r w:rsidRPr="0037604E">
        <w:rPr>
          <w:rFonts w:ascii="Cambria" w:eastAsia="Calibri" w:hAnsi="Cambria" w:cs="Times New Roman"/>
          <w:b/>
          <w:sz w:val="24"/>
          <w:szCs w:val="24"/>
          <w:lang w:val="en-GB" w:eastAsia="en-US"/>
        </w:rPr>
        <w:t xml:space="preserve">Order no. 946/2005 of the Ministry of Public Finance </w:t>
      </w:r>
      <w:r w:rsidRPr="0037604E">
        <w:rPr>
          <w:rFonts w:ascii="Cambria" w:eastAsia="Calibri" w:hAnsi="Cambria" w:cs="Times New Roman"/>
          <w:sz w:val="24"/>
          <w:szCs w:val="24"/>
          <w:lang w:val="en-GB" w:eastAsia="en-US"/>
        </w:rPr>
        <w:t>on the approval of the Internal/Management Control Code comprising the Internal / Management Control Standards at public entities’ level and for the development of Internal/Management Control Systems</w:t>
      </w:r>
    </w:p>
    <w:p w:rsidR="0037604E" w:rsidRPr="0037604E" w:rsidRDefault="0037604E" w:rsidP="00FA6EB9">
      <w:pPr>
        <w:numPr>
          <w:ilvl w:val="0"/>
          <w:numId w:val="160"/>
        </w:numPr>
        <w:spacing w:after="0" w:line="240" w:lineRule="auto"/>
        <w:ind w:hanging="283"/>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 xml:space="preserve">Order no. 1649/2011 of the Ministry of Public Finance </w:t>
      </w:r>
      <w:r w:rsidRPr="0037604E">
        <w:rPr>
          <w:rFonts w:ascii="Cambria" w:eastAsia="Calibri" w:hAnsi="Cambria" w:cs="Times New Roman"/>
          <w:sz w:val="24"/>
          <w:szCs w:val="24"/>
          <w:lang w:val="en-GB" w:eastAsia="en-US"/>
        </w:rPr>
        <w:t>for the amendment of Order no. 946/2005 of the Ministry of Public Finance consists of information on the Programmes for the implementation of the internal / management control at public entities’ level, the self-assessment of the internal / management control system and the report on the status of its implementation, at public entities’ level;</w:t>
      </w:r>
    </w:p>
    <w:p w:rsidR="0037604E" w:rsidRPr="0037604E" w:rsidRDefault="0037604E" w:rsidP="00FA6EB9">
      <w:pPr>
        <w:numPr>
          <w:ilvl w:val="0"/>
          <w:numId w:val="160"/>
        </w:numPr>
        <w:spacing w:after="0" w:line="240" w:lineRule="auto"/>
        <w:ind w:hanging="283"/>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 xml:space="preserve">Order no. 1423 dated 30/10/2012 </w:t>
      </w:r>
      <w:r w:rsidRPr="0037604E">
        <w:rPr>
          <w:rFonts w:ascii="Cambria" w:eastAsia="Calibri" w:hAnsi="Cambria" w:cs="Times New Roman"/>
          <w:sz w:val="24"/>
          <w:szCs w:val="24"/>
          <w:lang w:val="en-GB" w:eastAsia="en-US"/>
        </w:rPr>
        <w:t xml:space="preserve">on the amendment of Order no. 946/2005 of the Ministry of Public Finance on the approval of the Internal / Management Control Code comprising Internal / Management Control Standards, at public entities’ level and for the development of Internal/Management Control Systems </w:t>
      </w:r>
    </w:p>
    <w:p w:rsidR="0037604E" w:rsidRPr="0037604E" w:rsidRDefault="0037604E" w:rsidP="00FA6EB9">
      <w:pPr>
        <w:numPr>
          <w:ilvl w:val="0"/>
          <w:numId w:val="160"/>
        </w:numPr>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In 2015, the repeal of Order no. 946/2005 of the Ministry of Public Finance was approved by Order no 808/2015 comprising Internal / Management Control Standards, at public entities’ level and for the development of Internal/Management Control Systems, as republished </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r w:rsidRPr="0037604E">
        <w:rPr>
          <w:rFonts w:ascii="Cambria" w:eastAsia="Calibri" w:hAnsi="Cambria" w:cs="Times New Roman"/>
          <w:sz w:val="24"/>
          <w:szCs w:val="24"/>
          <w:lang w:val="en-GB" w:eastAsia="en-US"/>
        </w:rPr>
        <w:t xml:space="preserve">In 2015, by Order no. 808/2015 the repeal of </w:t>
      </w:r>
      <w:r w:rsidRPr="0037604E">
        <w:rPr>
          <w:rFonts w:ascii="Cambria" w:eastAsia="Calibri" w:hAnsi="Cambria" w:cs="Times New Roman"/>
          <w:b/>
          <w:sz w:val="24"/>
          <w:szCs w:val="24"/>
          <w:lang w:val="en-GB" w:eastAsia="en-US"/>
        </w:rPr>
        <w:t>Order no. 946/2005 of the Ministry of Public Finance</w:t>
      </w:r>
      <w:r w:rsidRPr="0037604E">
        <w:rPr>
          <w:rFonts w:ascii="Cambria" w:eastAsia="Calibri" w:hAnsi="Cambria" w:cs="Times New Roman"/>
          <w:sz w:val="24"/>
          <w:szCs w:val="24"/>
          <w:lang w:val="en-GB" w:eastAsia="en-US"/>
        </w:rPr>
        <w:t>, as republished, together with the related legislation on</w:t>
      </w:r>
      <w:r w:rsidRPr="0037604E">
        <w:rPr>
          <w:rFonts w:ascii="Cambria" w:eastAsia="Calibri" w:hAnsi="Cambria" w:cs="Times New Roman"/>
          <w:b/>
          <w:sz w:val="24"/>
          <w:szCs w:val="24"/>
          <w:lang w:val="en-GB" w:eastAsia="en-US"/>
        </w:rPr>
        <w:t xml:space="preserve"> </w:t>
      </w:r>
      <w:r w:rsidRPr="0037604E">
        <w:rPr>
          <w:rFonts w:ascii="Cambria" w:eastAsia="Calibri" w:hAnsi="Cambria" w:cs="Times New Roman"/>
          <w:sz w:val="24"/>
          <w:szCs w:val="24"/>
          <w:lang w:val="en-GB" w:eastAsia="en-US"/>
        </w:rPr>
        <w:t xml:space="preserve">the Internal / Management Control Code comprising Management Control Standards, at public entities’ level and for the development of Internal/Management Control Systems was approved by </w:t>
      </w:r>
      <w:r w:rsidRPr="0037604E">
        <w:rPr>
          <w:rFonts w:ascii="Cambria" w:eastAsia="Calibri" w:hAnsi="Cambria" w:cs="Times New Roman"/>
          <w:b/>
          <w:sz w:val="24"/>
          <w:szCs w:val="24"/>
          <w:lang w:val="en-GB" w:eastAsia="en-US"/>
        </w:rPr>
        <w:t xml:space="preserve">Order no. 400/2015 of the General Secretariat of the Government for the approval of the </w:t>
      </w:r>
      <w:r w:rsidRPr="0037604E">
        <w:rPr>
          <w:rFonts w:ascii="Cambria" w:eastAsia="Calibri" w:hAnsi="Cambria" w:cs="Times New Roman"/>
          <w:sz w:val="24"/>
          <w:szCs w:val="24"/>
          <w:lang w:val="en-GB" w:eastAsia="en-US"/>
        </w:rPr>
        <w:t xml:space="preserve">Internal / Management Control Code of the public entities, as amended and supplemented by </w:t>
      </w:r>
      <w:r w:rsidRPr="0037604E">
        <w:rPr>
          <w:rFonts w:ascii="Cambria" w:eastAsia="Calibri" w:hAnsi="Cambria" w:cs="Times New Roman"/>
          <w:b/>
          <w:sz w:val="24"/>
          <w:szCs w:val="24"/>
          <w:lang w:val="en-GB" w:eastAsia="en-US"/>
        </w:rPr>
        <w:t>Order no. 200/2016 of the General Secretariat of the Government</w:t>
      </w:r>
      <w:r w:rsidRPr="0037604E">
        <w:rPr>
          <w:rFonts w:ascii="Cambria" w:eastAsia="Calibri" w:hAnsi="Cambria" w:cs="Times New Roman"/>
          <w:sz w:val="24"/>
          <w:szCs w:val="24"/>
          <w:lang w:val="en-GB" w:eastAsia="en-US"/>
        </w:rPr>
        <w:t>.</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37604E" w:rsidP="00FA6EB9">
      <w:pPr>
        <w:numPr>
          <w:ilvl w:val="0"/>
          <w:numId w:val="159"/>
        </w:numPr>
        <w:shd w:val="clear" w:color="auto" w:fill="F2F2F2"/>
        <w:spacing w:after="0" w:line="240" w:lineRule="auto"/>
        <w:ind w:left="0" w:right="-61" w:hanging="284"/>
        <w:contextualSpacing/>
        <w:jc w:val="both"/>
        <w:rPr>
          <w:rFonts w:ascii="Cambria" w:eastAsia="Calibri" w:hAnsi="Cambria" w:cs="Times New Roman"/>
          <w:b/>
          <w:sz w:val="24"/>
          <w:szCs w:val="24"/>
          <w:lang w:val="ro-RO" w:eastAsia="en-US"/>
        </w:rPr>
      </w:pPr>
      <w:r w:rsidRPr="0037604E">
        <w:rPr>
          <w:rFonts w:ascii="Cambria" w:eastAsia="Calibri" w:hAnsi="Cambria" w:cs="Times New Roman"/>
          <w:b/>
          <w:sz w:val="24"/>
          <w:szCs w:val="24"/>
          <w:lang w:val="en-GB" w:eastAsia="en-US"/>
        </w:rPr>
        <w:t>History of Transgaz</w:t>
      </w:r>
      <w:r w:rsidRPr="0037604E">
        <w:rPr>
          <w:rFonts w:ascii="Cambria" w:eastAsia="Calibri" w:hAnsi="Cambria" w:cs="Times New Roman"/>
          <w:b/>
          <w:sz w:val="24"/>
          <w:szCs w:val="24"/>
          <w:lang w:eastAsia="en-US"/>
        </w:rPr>
        <w:t xml:space="preserve">’s </w:t>
      </w:r>
      <w:r w:rsidR="00ED4E8C">
        <w:rPr>
          <w:rFonts w:ascii="Cambria" w:eastAsia="Calibri" w:hAnsi="Cambria" w:cs="Times New Roman"/>
          <w:b/>
          <w:sz w:val="24"/>
          <w:szCs w:val="24"/>
          <w:lang w:val="en-GB" w:eastAsia="en-US"/>
        </w:rPr>
        <w:t>Internal/</w:t>
      </w:r>
      <w:r w:rsidRPr="0037604E">
        <w:rPr>
          <w:rFonts w:ascii="Cambria" w:eastAsia="Calibri" w:hAnsi="Cambria" w:cs="Times New Roman"/>
          <w:b/>
          <w:sz w:val="24"/>
          <w:szCs w:val="24"/>
          <w:lang w:val="en-GB" w:eastAsia="en-US"/>
        </w:rPr>
        <w:t>Management Control System</w:t>
      </w:r>
    </w:p>
    <w:p w:rsidR="0037604E" w:rsidRPr="0037604E" w:rsidRDefault="0037604E" w:rsidP="0037604E">
      <w:pPr>
        <w:spacing w:after="0" w:line="240" w:lineRule="auto"/>
        <w:ind w:right="-61" w:firstLine="0"/>
        <w:jc w:val="both"/>
        <w:rPr>
          <w:rFonts w:ascii="Cambria" w:eastAsia="Calibri" w:hAnsi="Cambria" w:cs="Times New Roman"/>
          <w:b/>
          <w:sz w:val="24"/>
          <w:szCs w:val="24"/>
          <w:lang w:val="ro-RO"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implementation and development of Transgaz`s Internal / Management Control System started in 2009, but considering the changes in the relevant laws and in the company’s structure, there was a permanent need to re-assess the implementation programme. </w:t>
      </w:r>
    </w:p>
    <w:p w:rsidR="0037604E" w:rsidRPr="0037604E" w:rsidRDefault="0037604E" w:rsidP="0037604E">
      <w:pPr>
        <w:spacing w:after="0" w:line="240" w:lineRule="auto"/>
        <w:ind w:firstLine="0"/>
        <w:jc w:val="both"/>
        <w:rPr>
          <w:rFonts w:ascii="Cambria" w:eastAsia="Calibri" w:hAnsi="Cambria" w:cs="Times New Roman"/>
          <w:b/>
          <w:sz w:val="24"/>
          <w:szCs w:val="24"/>
          <w:lang w:val="en-GB" w:eastAsia="en-US"/>
        </w:rPr>
      </w:pPr>
    </w:p>
    <w:p w:rsidR="0037604E" w:rsidRPr="0037604E" w:rsidRDefault="0037604E" w:rsidP="0037604E">
      <w:pPr>
        <w:shd w:val="clear" w:color="auto" w:fill="F2F2F2"/>
        <w:spacing w:after="0" w:line="240" w:lineRule="auto"/>
        <w:ind w:firstLine="0"/>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STAGE I</w:t>
      </w:r>
    </w:p>
    <w:p w:rsidR="0037604E" w:rsidRPr="0037604E" w:rsidRDefault="0037604E" w:rsidP="0037604E">
      <w:pPr>
        <w:spacing w:after="0" w:line="240" w:lineRule="auto"/>
        <w:ind w:firstLine="0"/>
        <w:jc w:val="both"/>
        <w:rPr>
          <w:rFonts w:ascii="Cambria" w:eastAsia="Calibri" w:hAnsi="Cambria" w:cs="Times New Roman"/>
          <w:b/>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The consultancy services on the Assessment, Design, Documentation, and Implementation of a set of procedures according to Order no. 946/2005 for the preparation of the programme for the development of the company’s management control system were awarded to AJA Sibiu SRL</w:t>
      </w:r>
      <w:r w:rsidRPr="0037604E">
        <w:rPr>
          <w:rFonts w:ascii="Cambria" w:eastAsia="Calibri" w:hAnsi="Cambria" w:cs="Times New Roman"/>
          <w:sz w:val="24"/>
          <w:szCs w:val="24"/>
          <w:lang w:val="en-GB" w:eastAsia="en-US"/>
        </w:rPr>
        <w:t xml:space="preserve"> (representative of AJA Registrars Romania) – </w:t>
      </w:r>
      <w:r w:rsidRPr="0037604E">
        <w:rPr>
          <w:rFonts w:ascii="Cambria" w:eastAsia="Calibri" w:hAnsi="Cambria" w:cs="Times New Roman"/>
          <w:b/>
          <w:sz w:val="24"/>
          <w:szCs w:val="24"/>
          <w:lang w:val="en-GB" w:eastAsia="en-US"/>
        </w:rPr>
        <w:t>Contract no. AJAS 0029/10.04.2009.</w:t>
      </w:r>
    </w:p>
    <w:p w:rsidR="0037604E" w:rsidRPr="0037604E" w:rsidRDefault="0037604E" w:rsidP="0037604E">
      <w:pPr>
        <w:spacing w:after="0" w:line="240" w:lineRule="auto"/>
        <w:ind w:firstLine="0"/>
        <w:jc w:val="both"/>
        <w:rPr>
          <w:rFonts w:ascii="Cambria" w:eastAsia="Calibri" w:hAnsi="Cambria" w:cs="Times New Roman"/>
          <w:b/>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project for the definition of the internal / management control system development programme consisted of the following stages:</w:t>
      </w:r>
    </w:p>
    <w:p w:rsidR="0037604E" w:rsidRPr="0037604E" w:rsidRDefault="0037604E" w:rsidP="0037604E">
      <w:pPr>
        <w:spacing w:after="0" w:line="240" w:lineRule="auto"/>
        <w:ind w:firstLine="0"/>
        <w:jc w:val="both"/>
        <w:rPr>
          <w:rFonts w:ascii="Cambria" w:eastAsia="Calibri" w:hAnsi="Cambria" w:cs="Arial"/>
          <w:b/>
          <w:sz w:val="24"/>
          <w:szCs w:val="24"/>
          <w:lang w:val="en-GB" w:eastAsia="en-US"/>
        </w:rPr>
      </w:pPr>
    </w:p>
    <w:p w:rsidR="0037604E" w:rsidRPr="0037604E" w:rsidRDefault="0037604E" w:rsidP="00FA6EB9">
      <w:pPr>
        <w:numPr>
          <w:ilvl w:val="1"/>
          <w:numId w:val="166"/>
        </w:numPr>
        <w:tabs>
          <w:tab w:val="num" w:pos="567"/>
        </w:tabs>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Assessment of the internal control general instruments</w:t>
      </w:r>
    </w:p>
    <w:p w:rsidR="0037604E" w:rsidRPr="0037604E" w:rsidRDefault="0037604E" w:rsidP="00FA6EB9">
      <w:pPr>
        <w:numPr>
          <w:ilvl w:val="1"/>
          <w:numId w:val="166"/>
        </w:numPr>
        <w:tabs>
          <w:tab w:val="num" w:pos="567"/>
        </w:tabs>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Assessment of internal control specific instruments, by activity</w:t>
      </w:r>
    </w:p>
    <w:p w:rsidR="0037604E" w:rsidRPr="0037604E" w:rsidRDefault="0037604E" w:rsidP="00FA6EB9">
      <w:pPr>
        <w:numPr>
          <w:ilvl w:val="1"/>
          <w:numId w:val="166"/>
        </w:numPr>
        <w:tabs>
          <w:tab w:val="num" w:pos="567"/>
        </w:tabs>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lastRenderedPageBreak/>
        <w:t>Preparation of the final “List” of internal control instruments (general and specific) which puts in place the new internal control system to be implemented</w:t>
      </w:r>
    </w:p>
    <w:p w:rsidR="0037604E" w:rsidRPr="0037604E" w:rsidRDefault="0037604E" w:rsidP="00FA6EB9">
      <w:pPr>
        <w:numPr>
          <w:ilvl w:val="1"/>
          <w:numId w:val="166"/>
        </w:numPr>
        <w:tabs>
          <w:tab w:val="num" w:pos="567"/>
        </w:tabs>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Preparation and approval of the programme for the implementation of the public entity’s new internal/ management control system </w:t>
      </w:r>
    </w:p>
    <w:p w:rsidR="0037604E" w:rsidRPr="0037604E" w:rsidRDefault="0037604E" w:rsidP="00FA6EB9">
      <w:pPr>
        <w:numPr>
          <w:ilvl w:val="1"/>
          <w:numId w:val="166"/>
        </w:numPr>
        <w:tabs>
          <w:tab w:val="num" w:pos="567"/>
        </w:tabs>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Preparation of operational procedures for the activities which otherwise would entail risks. Notifying all employees involved in the achievement of documented activities of the prepared operational procedures.</w:t>
      </w:r>
    </w:p>
    <w:p w:rsidR="0037604E" w:rsidRPr="0037604E" w:rsidRDefault="0037604E" w:rsidP="0037604E">
      <w:pPr>
        <w:tabs>
          <w:tab w:val="num" w:pos="567"/>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r w:rsidRPr="0037604E">
        <w:rPr>
          <w:rFonts w:ascii="Cambria" w:eastAsia="Calibri" w:hAnsi="Cambria" w:cs="Times New Roman"/>
          <w:sz w:val="24"/>
          <w:szCs w:val="24"/>
          <w:lang w:val="en-GB" w:eastAsia="en-US"/>
        </w:rPr>
        <w:t xml:space="preserve">The conclusion of the internal auditors, as written down in the Audit Report prepared in October 2011, following the audit mission </w:t>
      </w:r>
      <w:r w:rsidRPr="0037604E">
        <w:rPr>
          <w:rFonts w:ascii="Cambria" w:eastAsia="Calibri" w:hAnsi="Cambria" w:cs="Times New Roman"/>
          <w:b/>
          <w:i/>
          <w:sz w:val="24"/>
          <w:szCs w:val="24"/>
          <w:lang w:val="en-GB" w:eastAsia="en-US"/>
        </w:rPr>
        <w:t>Assessment of the management control system process and</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i/>
          <w:sz w:val="24"/>
          <w:szCs w:val="24"/>
          <w:lang w:val="en-GB" w:eastAsia="en-US"/>
        </w:rPr>
        <w:t xml:space="preserve">status </w:t>
      </w:r>
      <w:r w:rsidRPr="0037604E">
        <w:rPr>
          <w:rFonts w:ascii="Cambria" w:eastAsia="Calibri" w:hAnsi="Cambria" w:cs="Times New Roman"/>
          <w:sz w:val="24"/>
          <w:szCs w:val="24"/>
          <w:lang w:val="en-GB" w:eastAsia="en-US"/>
        </w:rPr>
        <w:t>reflects that the management control system implementation and development process should be resumed and approached in a logical and structured manner, setting precise objectives and measurable terms. The company</w:t>
      </w:r>
      <w:r w:rsidRPr="0037604E">
        <w:rPr>
          <w:rFonts w:ascii="Cambria" w:eastAsia="Calibri" w:hAnsi="Cambria" w:cs="Times New Roman"/>
          <w:sz w:val="24"/>
          <w:szCs w:val="24"/>
          <w:lang w:eastAsia="en-US"/>
        </w:rPr>
        <w:t xml:space="preserve">’s </w:t>
      </w:r>
      <w:r w:rsidRPr="0037604E">
        <w:rPr>
          <w:rFonts w:ascii="Cambria" w:eastAsia="Calibri" w:hAnsi="Cambria" w:cs="Times New Roman"/>
          <w:sz w:val="24"/>
          <w:szCs w:val="24"/>
          <w:lang w:val="en-GB" w:eastAsia="en-US"/>
        </w:rPr>
        <w:t xml:space="preserve">achievements which had been made in this respect by the audit date, reached 40%, i.e. a minimum value </w:t>
      </w:r>
      <w:r w:rsidRPr="0037604E">
        <w:rPr>
          <w:rFonts w:ascii="Cambria" w:eastAsia="Calibri" w:hAnsi="Cambria" w:cs="Times New Roman"/>
          <w:b/>
          <w:i/>
          <w:sz w:val="24"/>
          <w:szCs w:val="24"/>
          <w:lang w:val="en-GB" w:eastAsia="en-US"/>
        </w:rPr>
        <w:t xml:space="preserve">the partly implemented </w:t>
      </w:r>
      <w:r w:rsidRPr="0037604E">
        <w:rPr>
          <w:rFonts w:ascii="Cambria" w:eastAsia="Calibri" w:hAnsi="Cambria" w:cs="Times New Roman"/>
          <w:sz w:val="24"/>
          <w:szCs w:val="24"/>
          <w:lang w:val="en-GB" w:eastAsia="en-US"/>
        </w:rPr>
        <w:t>threshold.</w:t>
      </w:r>
      <w:r w:rsidRPr="0037604E">
        <w:rPr>
          <w:rFonts w:ascii="Cambria" w:eastAsia="Calibri" w:hAnsi="Cambria" w:cs="Times New Roman"/>
          <w:sz w:val="24"/>
          <w:szCs w:val="24"/>
          <w:lang w:val="ro-RO" w:eastAsia="en-US"/>
        </w:rPr>
        <w:t xml:space="preserve"> </w:t>
      </w:r>
    </w:p>
    <w:p w:rsidR="0037604E" w:rsidRPr="0037604E" w:rsidRDefault="0037604E" w:rsidP="0037604E">
      <w:pPr>
        <w:spacing w:after="0" w:line="240" w:lineRule="auto"/>
        <w:ind w:firstLine="0"/>
        <w:jc w:val="both"/>
        <w:rPr>
          <w:rFonts w:ascii="Cambria" w:eastAsia="Calibri" w:hAnsi="Cambria" w:cs="Arial"/>
          <w:b/>
          <w:sz w:val="24"/>
          <w:szCs w:val="24"/>
          <w:lang w:val="ro-RO" w:eastAsia="en-US"/>
        </w:rPr>
      </w:pPr>
    </w:p>
    <w:p w:rsidR="0037604E" w:rsidRPr="0037604E" w:rsidRDefault="0037604E" w:rsidP="0037604E">
      <w:pPr>
        <w:shd w:val="clear" w:color="auto" w:fill="F2F2F2"/>
        <w:spacing w:after="0" w:line="240" w:lineRule="auto"/>
        <w:ind w:firstLine="0"/>
        <w:jc w:val="both"/>
        <w:rPr>
          <w:rFonts w:ascii="Cambria" w:eastAsia="Calibri" w:hAnsi="Cambria" w:cs="Arial"/>
          <w:sz w:val="24"/>
          <w:szCs w:val="24"/>
          <w:lang w:val="ro-RO" w:eastAsia="en-US"/>
        </w:rPr>
      </w:pPr>
      <w:r w:rsidRPr="0037604E">
        <w:rPr>
          <w:rFonts w:ascii="Cambria" w:eastAsia="Calibri" w:hAnsi="Cambria" w:cs="Arial"/>
          <w:b/>
          <w:sz w:val="24"/>
          <w:szCs w:val="24"/>
          <w:lang w:val="ro-RO" w:eastAsia="en-US"/>
        </w:rPr>
        <w:t>STAGE II</w:t>
      </w:r>
      <w:r w:rsidRPr="0037604E">
        <w:rPr>
          <w:rFonts w:ascii="Cambria" w:eastAsia="Calibri" w:hAnsi="Cambria" w:cs="Arial"/>
          <w:sz w:val="24"/>
          <w:szCs w:val="24"/>
          <w:lang w:val="ro-RO" w:eastAsia="en-US"/>
        </w:rPr>
        <w:t xml:space="preserve">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Given the changes in the relevant laws as well as in the company’s structure, it was impossible to have the system perfected and therefore the re-assessment of the status of Transgaz’ internal / management control system implementation and development was deemed necessary, under the coordination of an entity accredited to certify management systems.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Therefore, </w:t>
      </w:r>
      <w:r w:rsidRPr="0037604E">
        <w:rPr>
          <w:rFonts w:ascii="Cambria" w:eastAsia="Calibri" w:hAnsi="Cambria" w:cs="Times New Roman"/>
          <w:b/>
          <w:sz w:val="24"/>
          <w:szCs w:val="24"/>
          <w:lang w:val="en-GB" w:eastAsia="en-US"/>
        </w:rPr>
        <w:t xml:space="preserve">Service Contract no. 141/20.05.2013 </w:t>
      </w:r>
      <w:r w:rsidRPr="0037604E">
        <w:rPr>
          <w:rFonts w:ascii="Cambria" w:eastAsia="Calibri" w:hAnsi="Cambria" w:cs="Times New Roman"/>
          <w:sz w:val="24"/>
          <w:szCs w:val="24"/>
          <w:lang w:val="en-GB" w:eastAsia="en-US"/>
        </w:rPr>
        <w:t xml:space="preserve">for the assessment of the current status of the internal / management control system according to the provisions of Order no. 946/2005 of the Ministry of Public Finance, as republished, was concluded with the association </w:t>
      </w:r>
      <w:r w:rsidRPr="0037604E">
        <w:rPr>
          <w:rFonts w:ascii="Cambria" w:eastAsia="Calibri" w:hAnsi="Cambria" w:cs="Times New Roman"/>
          <w:b/>
          <w:sz w:val="24"/>
          <w:szCs w:val="24"/>
          <w:lang w:val="en-GB" w:eastAsia="en-US"/>
        </w:rPr>
        <w:t>The Romanian Movement for Quality (RMQ)</w:t>
      </w:r>
      <w:r w:rsidRPr="0037604E">
        <w:rPr>
          <w:rFonts w:ascii="Cambria" w:eastAsia="Calibri" w:hAnsi="Cambria" w:cs="Times New Roman"/>
          <w:sz w:val="24"/>
          <w:szCs w:val="24"/>
          <w:lang w:val="en-GB" w:eastAsia="en-US"/>
        </w:rPr>
        <w:t xml:space="preserve">, association accredited by </w:t>
      </w:r>
      <w:r w:rsidRPr="0037604E">
        <w:rPr>
          <w:rFonts w:ascii="Cambria" w:eastAsia="Calibri" w:hAnsi="Cambria" w:cs="Times New Roman"/>
          <w:b/>
          <w:sz w:val="24"/>
          <w:szCs w:val="24"/>
          <w:lang w:val="en-GB" w:eastAsia="en-US"/>
        </w:rPr>
        <w:t xml:space="preserve">RENAR </w:t>
      </w:r>
      <w:r w:rsidRPr="0037604E">
        <w:rPr>
          <w:rFonts w:ascii="Cambria" w:eastAsia="Calibri" w:hAnsi="Cambria" w:cs="Times New Roman"/>
          <w:sz w:val="24"/>
          <w:szCs w:val="24"/>
          <w:lang w:val="en-GB" w:eastAsia="en-US"/>
        </w:rPr>
        <w:t xml:space="preserve">(The National Accrediting Entity) in terms of management system certification. </w:t>
      </w:r>
    </w:p>
    <w:p w:rsidR="0037604E" w:rsidRPr="0037604E" w:rsidRDefault="0037604E" w:rsidP="0037604E">
      <w:pPr>
        <w:spacing w:after="0" w:line="240" w:lineRule="auto"/>
        <w:ind w:firstLine="0"/>
        <w:jc w:val="both"/>
        <w:rPr>
          <w:rFonts w:ascii="Cambria" w:hAnsi="Cambria"/>
          <w:sz w:val="24"/>
          <w:lang w:val="en-GB"/>
        </w:rPr>
      </w:pPr>
    </w:p>
    <w:p w:rsidR="0037604E" w:rsidRPr="0037604E" w:rsidRDefault="0037604E" w:rsidP="0037604E">
      <w:pPr>
        <w:spacing w:after="0" w:line="240" w:lineRule="auto"/>
        <w:ind w:firstLine="0"/>
        <w:jc w:val="both"/>
        <w:rPr>
          <w:rFonts w:ascii="Cambria" w:hAnsi="Cambria"/>
          <w:sz w:val="24"/>
          <w:lang w:val="en-GB"/>
        </w:rPr>
      </w:pPr>
      <w:r w:rsidRPr="0037604E">
        <w:rPr>
          <w:rFonts w:ascii="Cambria" w:hAnsi="Cambria"/>
          <w:sz w:val="24"/>
          <w:lang w:val="en-GB"/>
        </w:rPr>
        <w:t xml:space="preserve">In its </w:t>
      </w:r>
      <w:r w:rsidRPr="0037604E">
        <w:rPr>
          <w:rFonts w:ascii="Cambria" w:hAnsi="Cambria"/>
          <w:b/>
          <w:sz w:val="24"/>
          <w:lang w:val="en-GB"/>
        </w:rPr>
        <w:t xml:space="preserve">Final Report </w:t>
      </w:r>
      <w:r w:rsidRPr="0037604E">
        <w:rPr>
          <w:rFonts w:ascii="Cambria" w:hAnsi="Cambria"/>
          <w:sz w:val="24"/>
          <w:lang w:val="en-GB"/>
        </w:rPr>
        <w:t>on the assessment of</w:t>
      </w:r>
      <w:r w:rsidRPr="0037604E">
        <w:rPr>
          <w:rFonts w:ascii="Cambria" w:hAnsi="Cambria"/>
          <w:b/>
          <w:sz w:val="24"/>
          <w:lang w:val="en-GB"/>
        </w:rPr>
        <w:t xml:space="preserve"> </w:t>
      </w:r>
      <w:r w:rsidRPr="0037604E">
        <w:rPr>
          <w:rFonts w:ascii="Cambria" w:hAnsi="Cambria"/>
          <w:sz w:val="24"/>
          <w:lang w:val="en-GB"/>
        </w:rPr>
        <w:t xml:space="preserve">Transgaz’s Internal Management Control System, the contractor, i.e. the Romanian Movement for Quality included recommendations in order to complete the implementation of the Internal/Management Control System.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New measures were taken and some of the previous ones were resumed:</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w:t>
      </w:r>
      <w:r w:rsidRPr="0037604E">
        <w:rPr>
          <w:rFonts w:ascii="Cambria" w:eastAsia="Calibri" w:hAnsi="Cambria" w:cs="Times New Roman"/>
          <w:b/>
          <w:sz w:val="24"/>
          <w:szCs w:val="24"/>
          <w:lang w:val="en-GB" w:eastAsia="en-US"/>
        </w:rPr>
        <w:t xml:space="preserve">Decision </w:t>
      </w:r>
      <w:r w:rsidRPr="0037604E">
        <w:rPr>
          <w:rFonts w:ascii="Cambria" w:eastAsia="Calibri" w:hAnsi="Cambria" w:cs="Times New Roman"/>
          <w:sz w:val="24"/>
          <w:szCs w:val="24"/>
          <w:lang w:val="en-GB" w:eastAsia="en-US"/>
        </w:rPr>
        <w:t xml:space="preserve">on the establishment of the </w:t>
      </w:r>
      <w:r w:rsidRPr="0037604E">
        <w:rPr>
          <w:rFonts w:ascii="Cambria" w:eastAsia="Calibri" w:hAnsi="Cambria" w:cs="Times New Roman"/>
          <w:i/>
          <w:sz w:val="24"/>
          <w:szCs w:val="24"/>
          <w:lang w:val="en-GB" w:eastAsia="en-US"/>
        </w:rPr>
        <w:t xml:space="preserve">Commission for </w:t>
      </w:r>
      <w:r w:rsidRPr="0037604E">
        <w:rPr>
          <w:rFonts w:ascii="Cambria" w:hAnsi="Cambria"/>
          <w:i/>
          <w:sz w:val="24"/>
          <w:lang w:val="en-GB"/>
        </w:rPr>
        <w:t>Transgaz’ Internal / Management Control System</w:t>
      </w:r>
      <w:r w:rsidRPr="0037604E">
        <w:rPr>
          <w:rFonts w:ascii="Cambria" w:eastAsia="Calibri" w:hAnsi="Cambria" w:cs="Times New Roman"/>
          <w:i/>
          <w:sz w:val="24"/>
          <w:szCs w:val="24"/>
          <w:lang w:val="en-GB" w:eastAsia="en-US"/>
        </w:rPr>
        <w:t xml:space="preserve"> monitoring, coordination and methodological guidance </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b/>
          <w:i/>
          <w:sz w:val="24"/>
          <w:szCs w:val="24"/>
          <w:lang w:val="en-GB" w:eastAsia="en-US"/>
        </w:rPr>
        <w:t xml:space="preserve">The programme for the internal/management control system implementation and development </w:t>
      </w:r>
      <w:r w:rsidRPr="0037604E">
        <w:rPr>
          <w:rFonts w:ascii="Cambria" w:eastAsia="Calibri" w:hAnsi="Cambria" w:cs="Times New Roman"/>
          <w:sz w:val="24"/>
          <w:szCs w:val="24"/>
          <w:lang w:val="en-GB" w:eastAsia="en-US"/>
        </w:rPr>
        <w:t>was approved</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procedure </w:t>
      </w:r>
      <w:r w:rsidRPr="0037604E">
        <w:rPr>
          <w:rFonts w:ascii="Cambria" w:eastAsia="Calibri" w:hAnsi="Cambria" w:cs="Times New Roman"/>
          <w:b/>
          <w:i/>
          <w:sz w:val="24"/>
          <w:szCs w:val="24"/>
          <w:lang w:val="en-GB" w:eastAsia="en-US"/>
        </w:rPr>
        <w:t xml:space="preserve">the Functions of the Commission for </w:t>
      </w:r>
      <w:r w:rsidRPr="0037604E">
        <w:rPr>
          <w:rFonts w:ascii="Cambria" w:hAnsi="Cambria"/>
          <w:b/>
          <w:i/>
          <w:sz w:val="24"/>
          <w:lang w:val="en-GB"/>
        </w:rPr>
        <w:t>Transgaz’s Internal / Management Control System</w:t>
      </w:r>
      <w:r w:rsidRPr="0037604E">
        <w:rPr>
          <w:rFonts w:ascii="Cambria" w:eastAsia="Calibri" w:hAnsi="Cambria" w:cs="Times New Roman"/>
          <w:b/>
          <w:i/>
          <w:sz w:val="24"/>
          <w:szCs w:val="24"/>
          <w:lang w:val="en-GB" w:eastAsia="en-US"/>
        </w:rPr>
        <w:t xml:space="preserve"> monitoring, coordination and methodological guidance </w:t>
      </w:r>
      <w:r w:rsidRPr="0037604E">
        <w:rPr>
          <w:rFonts w:ascii="Cambria" w:eastAsia="Calibri" w:hAnsi="Cambria" w:cs="Times New Roman"/>
          <w:sz w:val="24"/>
          <w:szCs w:val="24"/>
          <w:lang w:val="en-GB" w:eastAsia="en-US"/>
        </w:rPr>
        <w:t>was approved</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Actions to update</w:t>
      </w:r>
      <w:r w:rsidRPr="0037604E">
        <w:rPr>
          <w:rFonts w:ascii="Cambria" w:eastAsia="Calibri" w:hAnsi="Cambria" w:cs="Times New Roman"/>
          <w:b/>
          <w:sz w:val="24"/>
          <w:szCs w:val="24"/>
          <w:lang w:val="en-GB" w:eastAsia="en-US"/>
        </w:rPr>
        <w:t xml:space="preserve"> the general and specific objects as well as Transgaz related activities </w:t>
      </w:r>
      <w:r w:rsidRPr="0037604E">
        <w:rPr>
          <w:rFonts w:ascii="Cambria" w:eastAsia="Calibri" w:hAnsi="Cambria" w:cs="Times New Roman"/>
          <w:sz w:val="24"/>
          <w:szCs w:val="24"/>
          <w:lang w:val="en-GB" w:eastAsia="en-US"/>
        </w:rPr>
        <w:t>were taken</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Analytical sheets comprising internal/management control questionnaires</w:t>
      </w:r>
      <w:r w:rsidRPr="0037604E">
        <w:rPr>
          <w:rFonts w:ascii="Cambria" w:eastAsia="Calibri" w:hAnsi="Cambria" w:cs="Times New Roman"/>
          <w:sz w:val="24"/>
          <w:szCs w:val="24"/>
          <w:lang w:val="en-GB" w:eastAsia="en-US"/>
        </w:rPr>
        <w:t xml:space="preserve"> specific to each standard for the self-assessment of the </w:t>
      </w:r>
      <w:r w:rsidRPr="0037604E">
        <w:rPr>
          <w:rFonts w:ascii="Cambria" w:hAnsi="Cambria"/>
          <w:sz w:val="24"/>
          <w:lang w:val="en-GB"/>
        </w:rPr>
        <w:t>Internal / Management Control System for 2012</w:t>
      </w:r>
      <w:r w:rsidRPr="0037604E">
        <w:rPr>
          <w:rFonts w:ascii="Cambria" w:eastAsia="Calibri" w:hAnsi="Cambria" w:cs="Times New Roman"/>
          <w:sz w:val="24"/>
          <w:szCs w:val="24"/>
          <w:lang w:val="en-GB" w:eastAsia="en-US"/>
        </w:rPr>
        <w:t xml:space="preserve"> were re-edited and circulated to Transgaz structures </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Procedure </w:t>
      </w:r>
      <w:r w:rsidRPr="0037604E">
        <w:rPr>
          <w:rFonts w:ascii="Cambria" w:eastAsia="Calibri" w:hAnsi="Cambria" w:cs="Times New Roman"/>
          <w:b/>
          <w:i/>
          <w:sz w:val="24"/>
          <w:szCs w:val="24"/>
          <w:lang w:val="en-GB" w:eastAsia="en-US"/>
        </w:rPr>
        <w:t xml:space="preserve">Risk Management </w:t>
      </w:r>
      <w:r w:rsidRPr="0037604E">
        <w:rPr>
          <w:rFonts w:ascii="Cambria" w:eastAsia="Calibri" w:hAnsi="Cambria" w:cs="Times New Roman"/>
          <w:sz w:val="24"/>
          <w:szCs w:val="24"/>
          <w:lang w:val="en-GB" w:eastAsia="en-US"/>
        </w:rPr>
        <w:t>was prepared</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w:t>
      </w:r>
      <w:r w:rsidRPr="0037604E">
        <w:rPr>
          <w:rFonts w:ascii="Cambria" w:eastAsia="Calibri" w:hAnsi="Cambria" w:cs="Times New Roman"/>
          <w:b/>
          <w:sz w:val="24"/>
          <w:szCs w:val="24"/>
          <w:lang w:val="en-GB" w:eastAsia="en-US"/>
        </w:rPr>
        <w:t xml:space="preserve">common work platform </w:t>
      </w:r>
      <w:r w:rsidRPr="0037604E">
        <w:rPr>
          <w:rFonts w:ascii="Cambria" w:eastAsia="Calibri" w:hAnsi="Cambria" w:cs="Times New Roman"/>
          <w:sz w:val="24"/>
          <w:szCs w:val="24"/>
          <w:lang w:val="en-GB" w:eastAsia="en-US"/>
        </w:rPr>
        <w:t>(</w:t>
      </w:r>
      <w:r w:rsidRPr="0037604E">
        <w:rPr>
          <w:rFonts w:ascii="Cambria" w:eastAsia="Calibri" w:hAnsi="Cambria" w:cs="Times New Roman"/>
          <w:b/>
          <w:sz w:val="24"/>
          <w:szCs w:val="24"/>
          <w:lang w:val="en-GB" w:eastAsia="en-US"/>
        </w:rPr>
        <w:t>Transgaz on intranet – MOTAS – implementation of the Internal / Management Control System</w:t>
      </w:r>
      <w:r w:rsidRPr="0037604E">
        <w:rPr>
          <w:rFonts w:ascii="Cambria" w:eastAsia="Calibri" w:hAnsi="Cambria" w:cs="Times New Roman"/>
          <w:sz w:val="24"/>
          <w:szCs w:val="24"/>
          <w:lang w:val="en-GB" w:eastAsia="en-US"/>
        </w:rPr>
        <w:t xml:space="preserve">), with limited access of the Commission members as appointed under the above-mentioned Decision and of the relevant persons representing each Transgaz structure was </w:t>
      </w:r>
      <w:r w:rsidRPr="0037604E">
        <w:rPr>
          <w:rFonts w:ascii="Cambria" w:eastAsia="Calibri" w:hAnsi="Cambria" w:cs="Times New Roman"/>
          <w:sz w:val="24"/>
          <w:szCs w:val="24"/>
          <w:lang w:val="en-GB" w:eastAsia="en-US"/>
        </w:rPr>
        <w:lastRenderedPageBreak/>
        <w:t>created to comprise all the documents presented in the meeting dated 23 January 2012, including current objectives (see STAGE I AND STAGE II) to be updated.</w:t>
      </w:r>
    </w:p>
    <w:p w:rsidR="0037604E" w:rsidRPr="0037604E" w:rsidRDefault="0037604E" w:rsidP="00FA6EB9">
      <w:pPr>
        <w:numPr>
          <w:ilvl w:val="0"/>
          <w:numId w:val="167"/>
        </w:numPr>
        <w:autoSpaceDE w:val="0"/>
        <w:autoSpaceDN w:val="0"/>
        <w:adjustRightInd w:val="0"/>
        <w:spacing w:after="0" w:line="240" w:lineRule="auto"/>
        <w:ind w:hanging="283"/>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relevant steps to be taken in relation with the 25 standards were established - Internal / Management Control System Programme.</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ro-RO" w:eastAsia="en-US"/>
        </w:rPr>
      </w:pPr>
      <w:r w:rsidRPr="0037604E">
        <w:rPr>
          <w:rFonts w:ascii="Cambria" w:eastAsia="Calibri" w:hAnsi="Cambria" w:cs="Times New Roman"/>
          <w:b/>
          <w:sz w:val="24"/>
          <w:szCs w:val="24"/>
          <w:lang w:val="en-GB" w:eastAsia="en-US"/>
        </w:rPr>
        <w:t>Annually, between September and November</w:t>
      </w:r>
      <w:r w:rsidRPr="0037604E">
        <w:rPr>
          <w:rFonts w:ascii="Cambria" w:eastAsia="Calibri" w:hAnsi="Cambria" w:cs="Times New Roman"/>
          <w:sz w:val="24"/>
          <w:szCs w:val="24"/>
          <w:lang w:val="en-GB" w:eastAsia="en-US"/>
        </w:rPr>
        <w:t>, the process for the self-assessment of the Internal / Management Control System implementation is conducted.</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it-IT" w:eastAsia="en-US"/>
        </w:rPr>
      </w:pPr>
      <w:r w:rsidRPr="0037604E">
        <w:rPr>
          <w:rFonts w:ascii="Cambria" w:eastAsia="Calibri" w:hAnsi="Cambria" w:cs="Times New Roman"/>
          <w:sz w:val="24"/>
          <w:szCs w:val="24"/>
          <w:lang w:val="ro-RO" w:eastAsia="en-US"/>
        </w:rPr>
        <w:t>Devopment and implementation of the Internal/Management Control system between 2013 and 2016 is as follows:</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r w:rsidRPr="0037604E">
        <w:rPr>
          <w:noProof/>
          <w:lang w:val="ro-RO" w:eastAsia="ro-RO"/>
        </w:rPr>
        <w:drawing>
          <wp:inline distT="0" distB="0" distL="0" distR="0" wp14:anchorId="756FEF44" wp14:editId="623B0208">
            <wp:extent cx="5691189" cy="1419225"/>
            <wp:effectExtent l="0" t="0" r="5080" b="952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jc w:val="center"/>
        <w:rPr>
          <w:rFonts w:asciiTheme="majorHAnsi" w:eastAsia="Calibri" w:hAnsiTheme="majorHAnsi" w:cs="Times New Roman"/>
          <w:b/>
          <w:bCs/>
          <w:i/>
          <w:iCs/>
          <w:sz w:val="16"/>
          <w:szCs w:val="16"/>
          <w:lang w:val="ro-RO" w:eastAsia="en-US"/>
        </w:rPr>
      </w:pPr>
      <w:r w:rsidRPr="0037604E">
        <w:rPr>
          <w:rFonts w:asciiTheme="majorHAnsi" w:hAnsiTheme="majorHAnsi"/>
          <w:b/>
          <w:bCs/>
          <w:i/>
          <w:iCs/>
          <w:sz w:val="16"/>
          <w:szCs w:val="16"/>
        </w:rPr>
        <w:t xml:space="preserve">Chart 46 – </w:t>
      </w:r>
      <w:r w:rsidRPr="0037604E">
        <w:rPr>
          <w:rFonts w:ascii="Cambria" w:eastAsia="Calibri" w:hAnsi="Cambria" w:cs="Times New Roman"/>
          <w:bCs/>
          <w:sz w:val="16"/>
          <w:szCs w:val="16"/>
          <w:lang w:val="ro-RO" w:eastAsia="en-US"/>
        </w:rPr>
        <w:t>Internal/Management Control system implementation</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 xml:space="preserve">Since the implementation of </w:t>
      </w:r>
      <w:r w:rsidRPr="0037604E">
        <w:rPr>
          <w:rFonts w:asciiTheme="majorHAnsi" w:eastAsia="Calibri" w:hAnsiTheme="majorHAnsi" w:cs="Times New Roman"/>
          <w:sz w:val="24"/>
          <w:szCs w:val="24"/>
          <w:lang w:val="ro-RO" w:eastAsia="en-US"/>
        </w:rPr>
        <w:t xml:space="preserve">the Internal/Management Control system </w:t>
      </w:r>
      <w:r w:rsidRPr="0037604E">
        <w:rPr>
          <w:rFonts w:asciiTheme="majorHAnsi" w:hAnsiTheme="majorHAnsi" w:cs="Arial"/>
          <w:sz w:val="24"/>
          <w:szCs w:val="24"/>
          <w:lang w:val="en"/>
        </w:rPr>
        <w:t xml:space="preserve">should be extended to the regional offices and to the Medias Subsidiary in </w:t>
      </w:r>
      <w:r w:rsidRPr="00A64BC6">
        <w:rPr>
          <w:rFonts w:asciiTheme="majorHAnsi" w:hAnsiTheme="majorHAnsi" w:cs="Arial"/>
          <w:b/>
          <w:sz w:val="24"/>
          <w:szCs w:val="24"/>
          <w:lang w:val="en"/>
        </w:rPr>
        <w:t>5 October 2015</w:t>
      </w:r>
      <w:r w:rsidRPr="0037604E">
        <w:rPr>
          <w:rFonts w:asciiTheme="majorHAnsi" w:hAnsiTheme="majorHAnsi" w:cs="Arial"/>
          <w:sz w:val="24"/>
          <w:szCs w:val="24"/>
          <w:lang w:val="en"/>
        </w:rPr>
        <w:t xml:space="preserve"> the responsible persons within the regional offices and the Medias Subsidiary were summoned to training for starting implementing </w:t>
      </w:r>
      <w:r w:rsidRPr="0037604E">
        <w:rPr>
          <w:rFonts w:asciiTheme="majorHAnsi" w:eastAsia="Calibri" w:hAnsiTheme="majorHAnsi" w:cs="Times New Roman"/>
          <w:sz w:val="24"/>
          <w:szCs w:val="24"/>
          <w:lang w:val="ro-RO" w:eastAsia="en-US"/>
        </w:rPr>
        <w:t>the Internal/Management Control system</w:t>
      </w:r>
      <w:r w:rsidRPr="0037604E">
        <w:rPr>
          <w:rFonts w:asciiTheme="majorHAnsi" w:hAnsiTheme="majorHAnsi" w:cs="Arial"/>
          <w:sz w:val="24"/>
          <w:szCs w:val="24"/>
          <w:lang w:val="en"/>
        </w:rPr>
        <w:t xml:space="preserve"> at Transgaz</w:t>
      </w:r>
      <w:r w:rsidRPr="0037604E">
        <w:rPr>
          <w:rFonts w:asciiTheme="majorHAnsi" w:eastAsia="Calibri" w:hAnsiTheme="majorHAnsi" w:cs="Times New Roman"/>
          <w:sz w:val="24"/>
          <w:szCs w:val="24"/>
          <w:lang w:eastAsia="en-US"/>
        </w:rPr>
        <w:t>.</w:t>
      </w:r>
    </w:p>
    <w:p w:rsidR="0037604E" w:rsidRPr="0037604E" w:rsidRDefault="0037604E" w:rsidP="0037604E">
      <w:pPr>
        <w:tabs>
          <w:tab w:val="left" w:pos="3900"/>
        </w:tabs>
        <w:spacing w:after="0" w:line="240" w:lineRule="auto"/>
        <w:ind w:firstLine="0"/>
        <w:jc w:val="both"/>
        <w:rPr>
          <w:rFonts w:ascii="Cambria" w:eastAsia="Calibri" w:hAnsi="Cambria" w:cs="Times New Roman"/>
          <w:sz w:val="24"/>
          <w:szCs w:val="24"/>
          <w:lang w:eastAsia="en-US"/>
        </w:rPr>
      </w:pPr>
      <w:r w:rsidRPr="0037604E">
        <w:rPr>
          <w:rFonts w:ascii="Cambria" w:eastAsia="Calibri" w:hAnsi="Cambria" w:cs="Times New Roman"/>
          <w:sz w:val="24"/>
          <w:szCs w:val="24"/>
          <w:lang w:eastAsia="en-US"/>
        </w:rPr>
        <w:tab/>
      </w:r>
    </w:p>
    <w:p w:rsidR="0037604E" w:rsidRPr="0037604E" w:rsidRDefault="0037604E" w:rsidP="0037604E">
      <w:pPr>
        <w:spacing w:after="0" w:line="240" w:lineRule="auto"/>
        <w:ind w:firstLine="0"/>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The training topic was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presentation of laws on implementation of the internal/management control system  (Order 400/2015 on the approval of the Internal/Management Control Code of public entities)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presentation of</w:t>
      </w:r>
      <w:r w:rsidRPr="0037604E">
        <w:rPr>
          <w:rFonts w:asciiTheme="majorHAnsi" w:eastAsia="Calibri" w:hAnsiTheme="majorHAnsi" w:cs="Times New Roman"/>
          <w:sz w:val="24"/>
          <w:szCs w:val="24"/>
          <w:lang w:eastAsia="en-US"/>
        </w:rPr>
        <w:t xml:space="preserve"> Plan of implementation of standards under </w:t>
      </w:r>
      <w:r w:rsidRPr="0037604E">
        <w:rPr>
          <w:rFonts w:asciiTheme="majorHAnsi" w:hAnsiTheme="majorHAnsi" w:cs="Arial"/>
          <w:sz w:val="24"/>
          <w:szCs w:val="24"/>
          <w:lang w:val="en"/>
        </w:rPr>
        <w:t>Order 400/2015 for the development Internal / Managerial Control System within Transgaz SA</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presentation of analytical sheets and synthetic sheets explaining how to fill for the department/office/regional offices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presentation of</w:t>
      </w:r>
      <w:r w:rsidRPr="0037604E">
        <w:rPr>
          <w:rFonts w:asciiTheme="majorHAnsi" w:eastAsia="Calibri" w:hAnsiTheme="majorHAnsi" w:cs="Times New Roman"/>
          <w:sz w:val="24"/>
          <w:szCs w:val="24"/>
          <w:lang w:eastAsia="en-US"/>
        </w:rPr>
        <w:t xml:space="preserve"> </w:t>
      </w:r>
      <w:r w:rsidRPr="0037604E">
        <w:rPr>
          <w:rFonts w:asciiTheme="majorHAnsi" w:hAnsiTheme="majorHAnsi" w:cs="Arial"/>
          <w:sz w:val="24"/>
          <w:szCs w:val="24"/>
          <w:lang w:val="en"/>
        </w:rPr>
        <w:t>self-assessment questionnaire for the stage of implementation of internal / managerial control standards and explaining how to fill in (PP - 162 `Self-assessment  of Transgaz internal/management control system`</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Presentation of list of control instruments and explaining modality to fill</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Inventory of information and information flow;</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Preparation of List of procedural activities;</w:t>
      </w:r>
    </w:p>
    <w:p w:rsidR="0037604E" w:rsidRPr="0037604E" w:rsidRDefault="0037604E" w:rsidP="00FA6EB9">
      <w:pPr>
        <w:numPr>
          <w:ilvl w:val="0"/>
          <w:numId w:val="169"/>
        </w:numPr>
        <w:tabs>
          <w:tab w:val="left" w:pos="567"/>
        </w:tabs>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Training in risk management - PP- 91 `Preparation/Update of Risk Register`</w:t>
      </w:r>
      <w:r w:rsidRPr="0037604E">
        <w:rPr>
          <w:rFonts w:asciiTheme="majorHAnsi" w:eastAsia="Calibri" w:hAnsiTheme="majorHAnsi" w:cs="Times New Roman"/>
          <w:sz w:val="24"/>
          <w:szCs w:val="24"/>
          <w:lang w:eastAsia="en-US"/>
        </w:rPr>
        <w:t>.</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37604E" w:rsidP="00FA6EB9">
      <w:pPr>
        <w:numPr>
          <w:ilvl w:val="0"/>
          <w:numId w:val="159"/>
        </w:numPr>
        <w:shd w:val="clear" w:color="auto" w:fill="F2F2F2"/>
        <w:autoSpaceDE w:val="0"/>
        <w:autoSpaceDN w:val="0"/>
        <w:adjustRightInd w:val="0"/>
        <w:spacing w:after="0" w:line="240" w:lineRule="auto"/>
        <w:ind w:left="0" w:hanging="284"/>
        <w:contextualSpacing/>
        <w:jc w:val="both"/>
        <w:rPr>
          <w:rFonts w:ascii="Cambria" w:eastAsia="Times New Roman" w:hAnsi="Cambria" w:cs="TimesNewRomanPSMT"/>
          <w:b/>
          <w:sz w:val="24"/>
          <w:szCs w:val="24"/>
          <w:lang w:val="ro-RO" w:eastAsia="en-US"/>
        </w:rPr>
      </w:pPr>
      <w:r w:rsidRPr="0037604E">
        <w:rPr>
          <w:rFonts w:asciiTheme="majorHAnsi" w:hAnsiTheme="majorHAnsi" w:cs="Arial"/>
          <w:b/>
          <w:sz w:val="24"/>
          <w:szCs w:val="24"/>
          <w:lang w:val="en"/>
        </w:rPr>
        <w:t>Internal/management control</w:t>
      </w:r>
      <w:r w:rsidRPr="0037604E">
        <w:rPr>
          <w:rFonts w:asciiTheme="majorHAnsi" w:hAnsiTheme="majorHAnsi" w:cs="Arial"/>
          <w:sz w:val="24"/>
          <w:szCs w:val="24"/>
          <w:lang w:val="en"/>
        </w:rPr>
        <w:t xml:space="preserve"> </w:t>
      </w:r>
      <w:r w:rsidRPr="0037604E">
        <w:rPr>
          <w:rFonts w:ascii="Cambria" w:eastAsia="Times New Roman" w:hAnsi="Cambria" w:cs="TimesNewRomanPSMT"/>
          <w:b/>
          <w:sz w:val="24"/>
          <w:szCs w:val="24"/>
          <w:lang w:val="ro-RO" w:eastAsia="en-US"/>
        </w:rPr>
        <w:t>standards</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b/>
          <w:sz w:val="24"/>
          <w:szCs w:val="24"/>
          <w:lang w:val="ro-RO"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val="ro-RO" w:eastAsia="en-US"/>
        </w:rPr>
      </w:pPr>
      <w:r w:rsidRPr="0037604E">
        <w:rPr>
          <w:rFonts w:asciiTheme="majorHAnsi" w:hAnsiTheme="majorHAnsi" w:cs="Arial"/>
          <w:color w:val="222222"/>
          <w:sz w:val="24"/>
          <w:szCs w:val="24"/>
          <w:lang w:val="en"/>
        </w:rPr>
        <w:t>The establishment of the internal/management control system is the responsibility of each public entity and management must be based on internal/managerial control standards promoted by the General Secretariat of the Government</w:t>
      </w:r>
      <w:r w:rsidRPr="0037604E">
        <w:rPr>
          <w:rFonts w:asciiTheme="majorHAnsi" w:eastAsia="Times New Roman" w:hAnsiTheme="majorHAnsi" w:cs="TimesNewRomanPSMT"/>
          <w:sz w:val="24"/>
          <w:szCs w:val="24"/>
          <w:lang w:val="ro-RO" w:eastAsia="en-US"/>
        </w:rPr>
        <w:t>.</w:t>
      </w:r>
    </w:p>
    <w:p w:rsidR="0037604E" w:rsidRPr="0037604E" w:rsidRDefault="0037604E" w:rsidP="0037604E">
      <w:pPr>
        <w:spacing w:after="0" w:line="240" w:lineRule="auto"/>
        <w:ind w:firstLine="0"/>
        <w:jc w:val="both"/>
        <w:rPr>
          <w:rFonts w:asciiTheme="majorHAnsi" w:eastAsia="Times New Roman" w:hAnsiTheme="majorHAnsi" w:cs="TimesNewRomanPSMT"/>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color w:val="222222"/>
          <w:sz w:val="24"/>
          <w:szCs w:val="24"/>
          <w:lang w:val="en"/>
        </w:rPr>
        <w:lastRenderedPageBreak/>
        <w:t xml:space="preserve">The internal/managerial control standards set according to </w:t>
      </w:r>
      <w:r w:rsidRPr="0037604E">
        <w:rPr>
          <w:rFonts w:asciiTheme="majorHAnsi" w:eastAsia="Calibri" w:hAnsiTheme="majorHAnsi" w:cs="Times New Roman"/>
          <w:b/>
          <w:sz w:val="24"/>
          <w:szCs w:val="24"/>
          <w:lang w:val="ro-RO" w:eastAsia="en-US"/>
        </w:rPr>
        <w:t xml:space="preserve">Order 400/2015 of the </w:t>
      </w:r>
      <w:r w:rsidRPr="0037604E">
        <w:rPr>
          <w:rFonts w:asciiTheme="majorHAnsi" w:hAnsiTheme="majorHAnsi" w:cs="Arial"/>
          <w:b/>
          <w:color w:val="222222"/>
          <w:sz w:val="24"/>
          <w:szCs w:val="24"/>
          <w:lang w:val="en"/>
        </w:rPr>
        <w:t>General Secretariat of the Government</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
        </w:rPr>
        <w:t>on the approval of the Internal/Management Control Code of public entities</w:t>
      </w:r>
      <w:r w:rsidRPr="0037604E">
        <w:rPr>
          <w:rFonts w:asciiTheme="majorHAnsi" w:eastAsia="Calibri" w:hAnsiTheme="majorHAnsi" w:cs="Times New Roman"/>
          <w:sz w:val="24"/>
          <w:szCs w:val="24"/>
          <w:lang w:val="ro-RO" w:eastAsia="en-US"/>
        </w:rPr>
        <w:t xml:space="preserve">, as further amended and supplemented by </w:t>
      </w:r>
      <w:r w:rsidRPr="0037604E">
        <w:rPr>
          <w:rFonts w:asciiTheme="majorHAnsi" w:eastAsia="Calibri" w:hAnsiTheme="majorHAnsi" w:cs="Times New Roman"/>
          <w:b/>
          <w:sz w:val="24"/>
          <w:szCs w:val="24"/>
          <w:lang w:val="ro-RO" w:eastAsia="en-US"/>
        </w:rPr>
        <w:t>Order</w:t>
      </w:r>
      <w:r w:rsidRPr="0037604E">
        <w:rPr>
          <w:rFonts w:asciiTheme="majorHAnsi" w:eastAsia="Calibri" w:hAnsiTheme="majorHAnsi" w:cs="Times New Roman"/>
          <w:sz w:val="24"/>
          <w:szCs w:val="24"/>
          <w:lang w:val="ro-RO" w:eastAsia="en-US"/>
        </w:rPr>
        <w:t xml:space="preserve"> </w:t>
      </w:r>
      <w:r w:rsidRPr="0037604E">
        <w:rPr>
          <w:rFonts w:asciiTheme="majorHAnsi" w:eastAsia="Calibri" w:hAnsiTheme="majorHAnsi" w:cs="Times New Roman"/>
          <w:b/>
          <w:sz w:val="24"/>
          <w:szCs w:val="24"/>
          <w:lang w:val="ro-RO" w:eastAsia="en-US"/>
        </w:rPr>
        <w:t xml:space="preserve">200/2016 of the </w:t>
      </w:r>
      <w:r w:rsidRPr="0037604E">
        <w:rPr>
          <w:rFonts w:asciiTheme="majorHAnsi" w:hAnsiTheme="majorHAnsi" w:cs="Arial"/>
          <w:b/>
          <w:color w:val="222222"/>
          <w:sz w:val="24"/>
          <w:szCs w:val="24"/>
          <w:lang w:val="en"/>
        </w:rPr>
        <w:t>General Secretariat of the Government</w:t>
      </w:r>
      <w:r w:rsidRPr="0037604E">
        <w:rPr>
          <w:rFonts w:asciiTheme="majorHAnsi" w:eastAsia="Calibri" w:hAnsiTheme="majorHAnsi" w:cs="Times New Roman"/>
          <w:b/>
          <w:sz w:val="24"/>
          <w:szCs w:val="24"/>
          <w:lang w:val="ro-RO" w:eastAsia="en-US"/>
        </w:rPr>
        <w:t xml:space="preserve">, </w:t>
      </w:r>
      <w:r w:rsidRPr="0037604E">
        <w:rPr>
          <w:rFonts w:asciiTheme="majorHAnsi" w:hAnsiTheme="majorHAnsi" w:cs="Arial"/>
          <w:color w:val="222222"/>
          <w:sz w:val="24"/>
          <w:szCs w:val="24"/>
          <w:lang w:val="en"/>
        </w:rPr>
        <w:t>define minimum management rules that all public entities must follow and are a relative reference system</w:t>
      </w:r>
      <w:r w:rsidRPr="0037604E">
        <w:rPr>
          <w:rFonts w:asciiTheme="majorHAnsi" w:eastAsia="Calibri" w:hAnsiTheme="majorHAnsi" w:cs="Times New Roman"/>
          <w:sz w:val="24"/>
          <w:szCs w:val="24"/>
          <w:lang w:val="ro-RO" w:eastAsia="en-US"/>
        </w:rPr>
        <w:t>, acording to which the internal /managerial control systems are assessed.</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color w:val="222222"/>
          <w:sz w:val="24"/>
          <w:szCs w:val="24"/>
          <w:lang w:val="en"/>
        </w:rPr>
        <w:t>The standards are grouped into five categories called key elements</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tbl>
      <w:tblPr>
        <w:tblW w:w="941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600" w:firstRow="0" w:lastRow="0" w:firstColumn="0" w:lastColumn="0" w:noHBand="1" w:noVBand="1"/>
      </w:tblPr>
      <w:tblGrid>
        <w:gridCol w:w="4973"/>
        <w:gridCol w:w="4439"/>
      </w:tblGrid>
      <w:tr w:rsidR="0037604E" w:rsidRPr="0037604E" w:rsidTr="0037604E">
        <w:trPr>
          <w:trHeight w:val="281"/>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b/>
                <w:sz w:val="20"/>
                <w:szCs w:val="20"/>
                <w:lang w:val="ro-RO" w:eastAsia="ro-RO"/>
              </w:rPr>
            </w:pPr>
            <w:r w:rsidRPr="0037604E">
              <w:rPr>
                <w:rFonts w:asciiTheme="majorHAnsi" w:hAnsiTheme="majorHAnsi" w:cs="Arial"/>
                <w:b/>
                <w:color w:val="222222"/>
                <w:sz w:val="20"/>
                <w:szCs w:val="20"/>
                <w:lang w:val="en"/>
              </w:rPr>
              <w:t>Key elements</w:t>
            </w:r>
          </w:p>
        </w:tc>
        <w:tc>
          <w:tcPr>
            <w:tcW w:w="4379" w:type="dxa"/>
            <w:shd w:val="clear" w:color="auto" w:fill="D6E0F4"/>
          </w:tcPr>
          <w:p w:rsidR="0037604E" w:rsidRPr="0037604E" w:rsidRDefault="0037604E" w:rsidP="0037604E">
            <w:pPr>
              <w:spacing w:after="0" w:line="240" w:lineRule="auto"/>
              <w:ind w:firstLine="0"/>
              <w:jc w:val="center"/>
              <w:textAlignment w:val="center"/>
              <w:rPr>
                <w:rFonts w:ascii="Cambria" w:eastAsia="Times New Roman" w:hAnsi="Cambria" w:cs="Arial"/>
                <w:b/>
                <w:bCs/>
                <w:kern w:val="24"/>
                <w:sz w:val="20"/>
                <w:szCs w:val="20"/>
                <w:lang w:eastAsia="ro-RO"/>
              </w:rPr>
            </w:pPr>
            <w:r w:rsidRPr="0037604E">
              <w:rPr>
                <w:rFonts w:ascii="Cambria" w:eastAsia="Times New Roman" w:hAnsi="Cambria" w:cs="Arial"/>
                <w:b/>
                <w:bCs/>
                <w:kern w:val="24"/>
                <w:sz w:val="20"/>
                <w:szCs w:val="20"/>
                <w:lang w:eastAsia="ro-RO"/>
              </w:rPr>
              <w:t>Standards</w:t>
            </w:r>
          </w:p>
        </w:tc>
      </w:tr>
      <w:tr w:rsidR="0037604E" w:rsidRPr="0037604E" w:rsidTr="0037604E">
        <w:trPr>
          <w:trHeight w:val="134"/>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FA6EB9">
            <w:pPr>
              <w:numPr>
                <w:ilvl w:val="0"/>
                <w:numId w:val="170"/>
              </w:numPr>
              <w:spacing w:after="0" w:line="240" w:lineRule="auto"/>
              <w:ind w:hanging="142"/>
              <w:contextualSpacing/>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CONTROL ENVIRONMENT</w:t>
            </w:r>
          </w:p>
        </w:tc>
        <w:tc>
          <w:tcPr>
            <w:tcW w:w="4379" w:type="dxa"/>
            <w:shd w:val="clear" w:color="auto" w:fill="D6E0F4"/>
          </w:tcPr>
          <w:p w:rsidR="0037604E" w:rsidRPr="0037604E" w:rsidRDefault="0037604E" w:rsidP="0037604E">
            <w:pPr>
              <w:spacing w:after="0" w:line="240" w:lineRule="auto"/>
              <w:ind w:firstLine="0"/>
              <w:textAlignment w:val="bottom"/>
              <w:rPr>
                <w:rFonts w:ascii="Cambria" w:eastAsia="Times New Roman" w:hAnsi="Cambria" w:cs="Arial"/>
                <w:b/>
                <w:bCs/>
                <w:kern w:val="24"/>
                <w:sz w:val="20"/>
                <w:szCs w:val="20"/>
                <w:lang w:eastAsia="ro-RO"/>
              </w:rPr>
            </w:pPr>
          </w:p>
        </w:tc>
      </w:tr>
      <w:tr w:rsidR="0037604E" w:rsidRPr="0037604E" w:rsidTr="0037604E">
        <w:trPr>
          <w:trHeight w:val="252"/>
          <w:tblCellSpacing w:w="20" w:type="dxa"/>
          <w:jc w:val="center"/>
        </w:trPr>
        <w:tc>
          <w:tcPr>
            <w:tcW w:w="4913" w:type="dxa"/>
            <w:vMerge w:val="restart"/>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Calibri" w:hAnsi="Cambria" w:cs="Times New Roman"/>
                <w:sz w:val="20"/>
                <w:szCs w:val="20"/>
                <w:lang w:eastAsia="en-US"/>
              </w:rPr>
              <w:t>Comprises issues related to organization, human resources management, ethics, deontology and integrity</w:t>
            </w: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 xml:space="preserve">Standard </w:t>
            </w:r>
            <w:r w:rsidRPr="0037604E">
              <w:rPr>
                <w:rFonts w:ascii="Cambria" w:eastAsia="Times New Roman" w:hAnsi="Cambria" w:cs="Arial"/>
                <w:b/>
                <w:bCs/>
                <w:kern w:val="24"/>
                <w:sz w:val="20"/>
                <w:szCs w:val="20"/>
                <w:lang w:eastAsia="ro-RO"/>
              </w:rPr>
              <w:t>1</w:t>
            </w:r>
            <w:r w:rsidRPr="0037604E">
              <w:rPr>
                <w:rFonts w:ascii="Cambria" w:eastAsia="Times New Roman" w:hAnsi="Cambria" w:cs="Arial"/>
                <w:bCs/>
                <w:kern w:val="24"/>
                <w:sz w:val="20"/>
                <w:szCs w:val="20"/>
                <w:lang w:eastAsia="ro-RO"/>
              </w:rPr>
              <w:t xml:space="preserve"> - </w:t>
            </w:r>
            <w:r w:rsidRPr="00ED4E8C">
              <w:rPr>
                <w:rFonts w:asciiTheme="majorHAnsi" w:hAnsiTheme="majorHAnsi"/>
                <w:sz w:val="20"/>
                <w:lang w:val="en"/>
              </w:rPr>
              <w:t>Ethics and integrity</w:t>
            </w:r>
          </w:p>
        </w:tc>
      </w:tr>
      <w:tr w:rsidR="0037604E" w:rsidRPr="0037604E" w:rsidTr="0037604E">
        <w:trPr>
          <w:trHeight w:val="116"/>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val="it-IT" w:eastAsia="ro-RO"/>
              </w:rPr>
              <w:t>2</w:t>
            </w:r>
            <w:r w:rsidRPr="0037604E">
              <w:rPr>
                <w:rFonts w:ascii="Cambria" w:eastAsia="Times New Roman" w:hAnsi="Cambria" w:cs="Arial"/>
                <w:bCs/>
                <w:kern w:val="24"/>
                <w:sz w:val="20"/>
                <w:szCs w:val="20"/>
                <w:lang w:val="it-IT" w:eastAsia="ro-RO"/>
              </w:rPr>
              <w:t xml:space="preserve"> – Responsibilities, positions and tasks</w:t>
            </w:r>
          </w:p>
        </w:tc>
      </w:tr>
      <w:tr w:rsidR="0037604E" w:rsidRPr="0037604E" w:rsidTr="0037604E">
        <w:trPr>
          <w:trHeight w:val="176"/>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3</w:t>
            </w:r>
            <w:r w:rsidRPr="0037604E">
              <w:rPr>
                <w:rFonts w:ascii="Cambria" w:eastAsia="Times New Roman" w:hAnsi="Cambria" w:cs="Arial"/>
                <w:bCs/>
                <w:kern w:val="24"/>
                <w:sz w:val="20"/>
                <w:szCs w:val="20"/>
                <w:lang w:eastAsia="ro-RO"/>
              </w:rPr>
              <w:t xml:space="preserve"> – Competence, performance</w:t>
            </w:r>
          </w:p>
        </w:tc>
      </w:tr>
      <w:tr w:rsidR="0037604E" w:rsidRPr="0037604E" w:rsidTr="0037604E">
        <w:trPr>
          <w:trHeight w:val="238"/>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 xml:space="preserve">4 </w:t>
            </w:r>
            <w:r w:rsidRPr="0037604E">
              <w:rPr>
                <w:rFonts w:ascii="Cambria" w:eastAsia="Times New Roman" w:hAnsi="Cambria" w:cs="Arial"/>
                <w:bCs/>
                <w:kern w:val="24"/>
                <w:sz w:val="20"/>
                <w:szCs w:val="20"/>
                <w:lang w:eastAsia="ro-RO"/>
              </w:rPr>
              <w:t>– Organizational structure</w:t>
            </w:r>
          </w:p>
        </w:tc>
      </w:tr>
      <w:tr w:rsidR="0037604E" w:rsidRPr="0037604E" w:rsidTr="0037604E">
        <w:trPr>
          <w:trHeight w:val="114"/>
          <w:tblCellSpacing w:w="20" w:type="dxa"/>
          <w:jc w:val="center"/>
        </w:trPr>
        <w:tc>
          <w:tcPr>
            <w:tcW w:w="4913" w:type="dxa"/>
            <w:shd w:val="clear" w:color="auto" w:fill="D6E0F4"/>
            <w:tcMar>
              <w:top w:w="8" w:type="dxa"/>
              <w:left w:w="8" w:type="dxa"/>
              <w:bottom w:w="0" w:type="dxa"/>
              <w:right w:w="8" w:type="dxa"/>
            </w:tcMar>
            <w:hideMark/>
          </w:tcPr>
          <w:p w:rsidR="0037604E" w:rsidRPr="0037604E" w:rsidRDefault="0037604E" w:rsidP="00FA6EB9">
            <w:pPr>
              <w:numPr>
                <w:ilvl w:val="0"/>
                <w:numId w:val="170"/>
              </w:numPr>
              <w:spacing w:after="0" w:line="240" w:lineRule="auto"/>
              <w:ind w:hanging="142"/>
              <w:contextualSpacing/>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PERFORMAN</w:t>
            </w:r>
            <w:r w:rsidRPr="0037604E">
              <w:rPr>
                <w:rFonts w:ascii="Cambria" w:eastAsia="Times New Roman" w:hAnsi="Cambria" w:cs="Arial"/>
                <w:b/>
                <w:bCs/>
                <w:kern w:val="24"/>
                <w:sz w:val="20"/>
                <w:szCs w:val="20"/>
                <w:lang w:val="ro-RO" w:eastAsia="ro-RO"/>
              </w:rPr>
              <w:t>CE AND RISK MANAGEMENT</w:t>
            </w:r>
          </w:p>
        </w:tc>
        <w:tc>
          <w:tcPr>
            <w:tcW w:w="4379" w:type="dxa"/>
            <w:shd w:val="clear" w:color="auto" w:fill="D6E0F4"/>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218"/>
          <w:tblCellSpacing w:w="20" w:type="dxa"/>
          <w:jc w:val="center"/>
        </w:trPr>
        <w:tc>
          <w:tcPr>
            <w:tcW w:w="4913" w:type="dxa"/>
            <w:vMerge w:val="restart"/>
            <w:shd w:val="clear" w:color="auto" w:fill="auto"/>
            <w:tcMar>
              <w:top w:w="8" w:type="dxa"/>
              <w:left w:w="8" w:type="dxa"/>
              <w:bottom w:w="0" w:type="dxa"/>
              <w:right w:w="8" w:type="dxa"/>
            </w:tcMar>
          </w:tcPr>
          <w:p w:rsidR="0037604E" w:rsidRPr="0037604E" w:rsidRDefault="0037604E" w:rsidP="0037604E">
            <w:pPr>
              <w:spacing w:after="0" w:line="240" w:lineRule="auto"/>
              <w:ind w:firstLine="0"/>
              <w:rPr>
                <w:rFonts w:ascii="Cambria" w:eastAsia="Calibri" w:hAnsi="Cambria" w:cs="Times New Roman"/>
                <w:sz w:val="20"/>
                <w:szCs w:val="20"/>
                <w:lang w:eastAsia="en-US"/>
              </w:rPr>
            </w:pPr>
            <w:r w:rsidRPr="0037604E">
              <w:rPr>
                <w:rFonts w:ascii="Cambria" w:eastAsia="Calibri" w:hAnsi="Cambria" w:cs="Times New Roman"/>
                <w:sz w:val="20"/>
                <w:szCs w:val="20"/>
                <w:lang w:eastAsia="en-US"/>
              </w:rPr>
              <w:t xml:space="preserve">Refers to the target setting management, planning (multiannual planning), scheduling </w:t>
            </w:r>
            <w:r w:rsidR="00ED4E8C" w:rsidRPr="0037604E">
              <w:rPr>
                <w:rFonts w:ascii="Cambria" w:eastAsia="Calibri" w:hAnsi="Cambria" w:cs="Times New Roman"/>
                <w:sz w:val="20"/>
                <w:szCs w:val="20"/>
                <w:lang w:eastAsia="en-US"/>
              </w:rPr>
              <w:t>(management</w:t>
            </w:r>
            <w:r w:rsidRPr="0037604E">
              <w:rPr>
                <w:rFonts w:ascii="Cambria" w:eastAsia="Calibri" w:hAnsi="Cambria" w:cs="Times New Roman"/>
                <w:sz w:val="20"/>
                <w:szCs w:val="20"/>
                <w:lang w:eastAsia="en-US"/>
              </w:rPr>
              <w:t xml:space="preserve"> plan) and performance (monitoring performance).</w:t>
            </w:r>
          </w:p>
          <w:p w:rsidR="0037604E" w:rsidRPr="0037604E" w:rsidRDefault="0037604E" w:rsidP="0037604E">
            <w:pPr>
              <w:spacing w:after="0" w:line="240" w:lineRule="auto"/>
              <w:ind w:firstLine="0"/>
              <w:rPr>
                <w:rFonts w:ascii="Cambria" w:eastAsia="Calibri" w:hAnsi="Cambria" w:cs="Times New Roman"/>
                <w:sz w:val="20"/>
                <w:szCs w:val="20"/>
                <w:lang w:eastAsia="en-US"/>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5</w:t>
            </w:r>
            <w:r w:rsidRPr="0037604E">
              <w:rPr>
                <w:rFonts w:ascii="Cambria" w:eastAsia="Times New Roman" w:hAnsi="Cambria" w:cs="Arial"/>
                <w:bCs/>
                <w:kern w:val="24"/>
                <w:sz w:val="20"/>
                <w:szCs w:val="20"/>
                <w:lang w:eastAsia="ro-RO"/>
              </w:rPr>
              <w:t xml:space="preserve"> - Targets</w:t>
            </w:r>
          </w:p>
        </w:tc>
      </w:tr>
      <w:tr w:rsidR="0037604E" w:rsidRPr="0037604E" w:rsidTr="0037604E">
        <w:trPr>
          <w:trHeight w:val="208"/>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6</w:t>
            </w:r>
            <w:r w:rsidRPr="0037604E">
              <w:rPr>
                <w:rFonts w:ascii="Cambria" w:eastAsia="Times New Roman" w:hAnsi="Cambria" w:cs="Arial"/>
                <w:bCs/>
                <w:kern w:val="24"/>
                <w:sz w:val="20"/>
                <w:szCs w:val="20"/>
                <w:lang w:eastAsia="ro-RO"/>
              </w:rPr>
              <w:t xml:space="preserve"> - Planning</w:t>
            </w:r>
          </w:p>
        </w:tc>
      </w:tr>
      <w:tr w:rsidR="0037604E" w:rsidRPr="0037604E" w:rsidTr="0037604E">
        <w:trPr>
          <w:trHeight w:val="170"/>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7</w:t>
            </w:r>
            <w:r w:rsidRPr="0037604E">
              <w:rPr>
                <w:rFonts w:ascii="Cambria" w:eastAsia="Times New Roman" w:hAnsi="Cambria" w:cs="Arial"/>
                <w:bCs/>
                <w:kern w:val="24"/>
                <w:sz w:val="20"/>
                <w:szCs w:val="20"/>
                <w:lang w:eastAsia="ro-RO"/>
              </w:rPr>
              <w:t xml:space="preserve"> – Monitoring performance</w:t>
            </w:r>
          </w:p>
        </w:tc>
      </w:tr>
      <w:tr w:rsidR="0037604E" w:rsidRPr="0037604E" w:rsidTr="0037604E">
        <w:trPr>
          <w:trHeight w:val="224"/>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8</w:t>
            </w:r>
            <w:r w:rsidRPr="0037604E">
              <w:rPr>
                <w:rFonts w:ascii="Cambria" w:eastAsia="Times New Roman" w:hAnsi="Cambria" w:cs="Arial"/>
                <w:bCs/>
                <w:kern w:val="24"/>
                <w:sz w:val="20"/>
                <w:szCs w:val="20"/>
                <w:lang w:eastAsia="ro-RO"/>
              </w:rPr>
              <w:t xml:space="preserve"> –Risk management</w:t>
            </w:r>
          </w:p>
        </w:tc>
      </w:tr>
      <w:tr w:rsidR="0037604E" w:rsidRPr="0037604E" w:rsidTr="0037604E">
        <w:trPr>
          <w:trHeight w:val="108"/>
          <w:tblCellSpacing w:w="20" w:type="dxa"/>
          <w:jc w:val="center"/>
        </w:trPr>
        <w:tc>
          <w:tcPr>
            <w:tcW w:w="4913" w:type="dxa"/>
            <w:shd w:val="clear" w:color="auto" w:fill="D6E0F4"/>
            <w:tcMar>
              <w:top w:w="8" w:type="dxa"/>
              <w:left w:w="8" w:type="dxa"/>
              <w:bottom w:w="0" w:type="dxa"/>
              <w:right w:w="8" w:type="dxa"/>
            </w:tcMar>
            <w:hideMark/>
          </w:tcPr>
          <w:p w:rsidR="0037604E" w:rsidRPr="0037604E" w:rsidRDefault="0037604E" w:rsidP="0037604E">
            <w:pPr>
              <w:tabs>
                <w:tab w:val="left" w:pos="496"/>
              </w:tabs>
              <w:spacing w:after="0" w:line="240" w:lineRule="auto"/>
              <w:ind w:firstLine="0"/>
              <w:contextualSpacing/>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CONTROL ACTIVITIES</w:t>
            </w:r>
          </w:p>
        </w:tc>
        <w:tc>
          <w:tcPr>
            <w:tcW w:w="4379" w:type="dxa"/>
            <w:shd w:val="clear" w:color="auto" w:fill="D6E0F4"/>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r>
      <w:tr w:rsidR="0037604E" w:rsidRPr="0037604E" w:rsidTr="0037604E">
        <w:trPr>
          <w:trHeight w:val="213"/>
          <w:tblCellSpacing w:w="20" w:type="dxa"/>
          <w:jc w:val="center"/>
        </w:trPr>
        <w:tc>
          <w:tcPr>
            <w:tcW w:w="4913" w:type="dxa"/>
            <w:vMerge w:val="restart"/>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Calibri" w:hAnsi="Cambria" w:cs="Times New Roman"/>
                <w:sz w:val="20"/>
                <w:szCs w:val="20"/>
                <w:lang w:eastAsia="en-US"/>
              </w:rPr>
              <w:t>Refers to documentation of procedures, continuity of operations, recording exceptions, separation of responsibilities, monitoring, etc.</w:t>
            </w: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9</w:t>
            </w:r>
            <w:r w:rsidRPr="0037604E">
              <w:rPr>
                <w:rFonts w:ascii="Cambria" w:eastAsia="Times New Roman" w:hAnsi="Cambria" w:cs="Arial"/>
                <w:bCs/>
                <w:kern w:val="24"/>
                <w:sz w:val="20"/>
                <w:szCs w:val="20"/>
                <w:lang w:eastAsia="ro-RO"/>
              </w:rPr>
              <w:t xml:space="preserve"> - Procedures</w:t>
            </w:r>
          </w:p>
        </w:tc>
      </w:tr>
      <w:tr w:rsidR="0037604E" w:rsidRPr="0037604E" w:rsidTr="0037604E">
        <w:trPr>
          <w:trHeight w:val="188"/>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496"/>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10</w:t>
            </w:r>
            <w:r w:rsidRPr="0037604E">
              <w:rPr>
                <w:rFonts w:ascii="Cambria" w:eastAsia="Times New Roman" w:hAnsi="Cambria" w:cs="Arial"/>
                <w:bCs/>
                <w:kern w:val="24"/>
                <w:sz w:val="20"/>
                <w:szCs w:val="20"/>
                <w:lang w:eastAsia="ro-RO"/>
              </w:rPr>
              <w:t xml:space="preserve"> - Surveillance</w:t>
            </w:r>
          </w:p>
        </w:tc>
      </w:tr>
      <w:tr w:rsidR="0037604E" w:rsidRPr="0037604E" w:rsidTr="0037604E">
        <w:trPr>
          <w:trHeight w:val="150"/>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496"/>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11</w:t>
            </w:r>
            <w:r w:rsidRPr="0037604E">
              <w:rPr>
                <w:rFonts w:ascii="Cambria" w:eastAsia="Times New Roman" w:hAnsi="Cambria" w:cs="Arial"/>
                <w:bCs/>
                <w:kern w:val="24"/>
                <w:sz w:val="20"/>
                <w:szCs w:val="20"/>
                <w:lang w:eastAsia="ro-RO"/>
              </w:rPr>
              <w:t xml:space="preserve"> – Continuity of activity</w:t>
            </w:r>
          </w:p>
        </w:tc>
      </w:tr>
      <w:tr w:rsidR="0037604E" w:rsidRPr="0037604E" w:rsidTr="0037604E">
        <w:trPr>
          <w:trHeight w:val="140"/>
          <w:tblCellSpacing w:w="20" w:type="dxa"/>
          <w:jc w:val="center"/>
        </w:trPr>
        <w:tc>
          <w:tcPr>
            <w:tcW w:w="4913" w:type="dxa"/>
            <w:shd w:val="clear" w:color="auto" w:fill="D6E0F4"/>
            <w:tcMar>
              <w:top w:w="8" w:type="dxa"/>
              <w:left w:w="8" w:type="dxa"/>
              <w:bottom w:w="0" w:type="dxa"/>
              <w:right w:w="8" w:type="dxa"/>
            </w:tcMar>
            <w:hideMark/>
          </w:tcPr>
          <w:p w:rsidR="0037604E" w:rsidRPr="0037604E" w:rsidRDefault="0037604E" w:rsidP="00FA6EB9">
            <w:pPr>
              <w:numPr>
                <w:ilvl w:val="0"/>
                <w:numId w:val="170"/>
              </w:numPr>
              <w:spacing w:after="0" w:line="240" w:lineRule="auto"/>
              <w:ind w:hanging="141"/>
              <w:contextualSpacing/>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INFORMATION AND COMMUNICATION</w:t>
            </w:r>
          </w:p>
        </w:tc>
        <w:tc>
          <w:tcPr>
            <w:tcW w:w="4379" w:type="dxa"/>
            <w:shd w:val="clear" w:color="auto" w:fill="D6E0F4"/>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244"/>
          <w:tblCellSpacing w:w="20" w:type="dxa"/>
          <w:jc w:val="center"/>
        </w:trPr>
        <w:tc>
          <w:tcPr>
            <w:tcW w:w="4913" w:type="dxa"/>
            <w:vMerge w:val="restart"/>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Calibri" w:hAnsi="Cambria" w:cs="Times New Roman"/>
                <w:sz w:val="20"/>
                <w:szCs w:val="20"/>
                <w:lang w:eastAsia="en-US"/>
              </w:rPr>
              <w:t xml:space="preserve">Refers to issues related to the creation of an informational </w:t>
            </w:r>
            <w:r w:rsidR="00ED4E8C" w:rsidRPr="0037604E">
              <w:rPr>
                <w:rFonts w:ascii="Cambria" w:eastAsia="Calibri" w:hAnsi="Cambria" w:cs="Times New Roman"/>
                <w:sz w:val="20"/>
                <w:szCs w:val="20"/>
                <w:lang w:eastAsia="en-US"/>
              </w:rPr>
              <w:t>system and</w:t>
            </w:r>
            <w:r w:rsidRPr="0037604E">
              <w:rPr>
                <w:rFonts w:ascii="Cambria" w:eastAsia="Calibri" w:hAnsi="Cambria" w:cs="Times New Roman"/>
                <w:sz w:val="20"/>
                <w:szCs w:val="20"/>
                <w:lang w:eastAsia="en-US"/>
              </w:rPr>
              <w:t xml:space="preserve"> of areporting system regarding the execution of the management plan, budget, resourece use  and documentation management.</w:t>
            </w: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12</w:t>
            </w:r>
            <w:r w:rsidRPr="0037604E">
              <w:rPr>
                <w:rFonts w:ascii="Cambria" w:eastAsia="Times New Roman" w:hAnsi="Cambria" w:cs="Arial"/>
                <w:bCs/>
                <w:kern w:val="24"/>
                <w:sz w:val="20"/>
                <w:szCs w:val="20"/>
                <w:lang w:eastAsia="ro-RO"/>
              </w:rPr>
              <w:t xml:space="preserve"> – Information and communication</w:t>
            </w:r>
          </w:p>
        </w:tc>
      </w:tr>
      <w:tr w:rsidR="0037604E" w:rsidRPr="0037604E" w:rsidTr="0037604E">
        <w:trPr>
          <w:trHeight w:val="206"/>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425"/>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 xml:space="preserve">13 </w:t>
            </w:r>
            <w:r w:rsidRPr="0037604E">
              <w:rPr>
                <w:rFonts w:ascii="Cambria" w:eastAsia="Times New Roman" w:hAnsi="Cambria" w:cs="Arial"/>
                <w:bCs/>
                <w:kern w:val="24"/>
                <w:sz w:val="20"/>
                <w:szCs w:val="20"/>
                <w:lang w:eastAsia="ro-RO"/>
              </w:rPr>
              <w:t>– Documentation management</w:t>
            </w:r>
          </w:p>
        </w:tc>
      </w:tr>
      <w:tr w:rsidR="0037604E" w:rsidRPr="0037604E" w:rsidTr="0037604E">
        <w:trPr>
          <w:trHeight w:val="283"/>
          <w:tblCellSpacing w:w="20" w:type="dxa"/>
          <w:jc w:val="center"/>
        </w:trPr>
        <w:tc>
          <w:tcPr>
            <w:tcW w:w="4913" w:type="dxa"/>
            <w:vMerge/>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Standardul </w:t>
            </w:r>
            <w:r w:rsidRPr="0037604E">
              <w:rPr>
                <w:rFonts w:ascii="Cambria" w:eastAsia="Times New Roman" w:hAnsi="Cambria" w:cs="Arial"/>
                <w:b/>
                <w:bCs/>
                <w:kern w:val="24"/>
                <w:sz w:val="20"/>
                <w:szCs w:val="20"/>
                <w:lang w:val="it-IT" w:eastAsia="ro-RO"/>
              </w:rPr>
              <w:t>14</w:t>
            </w:r>
            <w:r w:rsidRPr="0037604E">
              <w:rPr>
                <w:rFonts w:ascii="Cambria" w:eastAsia="Times New Roman" w:hAnsi="Cambria" w:cs="Arial"/>
                <w:bCs/>
                <w:kern w:val="24"/>
                <w:sz w:val="20"/>
                <w:szCs w:val="20"/>
                <w:lang w:val="it-IT" w:eastAsia="ro-RO"/>
              </w:rPr>
              <w:t xml:space="preserve"> – Accounting and financial reporting</w:t>
            </w:r>
          </w:p>
        </w:tc>
      </w:tr>
      <w:tr w:rsidR="0037604E" w:rsidRPr="0037604E" w:rsidTr="0037604E">
        <w:trPr>
          <w:trHeight w:val="74"/>
          <w:tblCellSpacing w:w="20" w:type="dxa"/>
          <w:jc w:val="center"/>
        </w:trPr>
        <w:tc>
          <w:tcPr>
            <w:tcW w:w="4913" w:type="dxa"/>
            <w:shd w:val="clear" w:color="auto" w:fill="D6E0F4"/>
            <w:tcMar>
              <w:top w:w="8" w:type="dxa"/>
              <w:left w:w="8" w:type="dxa"/>
              <w:bottom w:w="0" w:type="dxa"/>
              <w:right w:w="8" w:type="dxa"/>
            </w:tcMar>
            <w:hideMark/>
          </w:tcPr>
          <w:p w:rsidR="0037604E" w:rsidRPr="0037604E" w:rsidRDefault="0037604E" w:rsidP="00FA6EB9">
            <w:pPr>
              <w:numPr>
                <w:ilvl w:val="0"/>
                <w:numId w:val="170"/>
              </w:numPr>
              <w:spacing w:after="0" w:line="240" w:lineRule="auto"/>
              <w:ind w:hanging="141"/>
              <w:contextualSpacing/>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AUDIT AND ASSESSMENT</w:t>
            </w:r>
          </w:p>
        </w:tc>
        <w:tc>
          <w:tcPr>
            <w:tcW w:w="4379" w:type="dxa"/>
            <w:shd w:val="clear" w:color="auto" w:fill="D6E0F4"/>
          </w:tcPr>
          <w:p w:rsidR="0037604E" w:rsidRPr="0037604E" w:rsidRDefault="0037604E" w:rsidP="0037604E">
            <w:pPr>
              <w:spacing w:after="0" w:line="240" w:lineRule="auto"/>
              <w:ind w:firstLine="0"/>
              <w:jc w:val="center"/>
              <w:textAlignment w:val="bottom"/>
              <w:rPr>
                <w:rFonts w:ascii="Cambria" w:eastAsia="Times New Roman" w:hAnsi="Cambria" w:cs="Arial"/>
                <w:b/>
                <w:bCs/>
                <w:kern w:val="24"/>
                <w:sz w:val="20"/>
                <w:szCs w:val="20"/>
                <w:lang w:eastAsia="ro-RO"/>
              </w:rPr>
            </w:pPr>
          </w:p>
        </w:tc>
      </w:tr>
      <w:tr w:rsidR="0037604E" w:rsidRPr="0037604E" w:rsidTr="0037604E">
        <w:trPr>
          <w:trHeight w:val="476"/>
          <w:tblCellSpacing w:w="20" w:type="dxa"/>
          <w:jc w:val="center"/>
        </w:trPr>
        <w:tc>
          <w:tcPr>
            <w:tcW w:w="4913" w:type="dxa"/>
            <w:vMerge w:val="restart"/>
            <w:shd w:val="clear" w:color="auto" w:fill="auto"/>
            <w:tcMar>
              <w:top w:w="8" w:type="dxa"/>
              <w:left w:w="8" w:type="dxa"/>
              <w:bottom w:w="0" w:type="dxa"/>
              <w:right w:w="8" w:type="dxa"/>
            </w:tcMa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Calibri" w:hAnsi="Cambria" w:cs="Times New Roman"/>
                <w:sz w:val="20"/>
                <w:szCs w:val="20"/>
                <w:lang w:eastAsia="en-US"/>
              </w:rPr>
              <w:t>Refers to the development of the capacity of assessment of the internal/management control for ensuring continuity of its improvement.</w:t>
            </w: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Standardul </w:t>
            </w:r>
            <w:r w:rsidRPr="0037604E">
              <w:rPr>
                <w:rFonts w:ascii="Cambria" w:eastAsia="Times New Roman" w:hAnsi="Cambria" w:cs="Arial"/>
                <w:b/>
                <w:bCs/>
                <w:kern w:val="24"/>
                <w:sz w:val="20"/>
                <w:szCs w:val="20"/>
                <w:lang w:val="it-IT" w:eastAsia="ro-RO"/>
              </w:rPr>
              <w:t>15</w:t>
            </w:r>
            <w:r w:rsidRPr="0037604E">
              <w:rPr>
                <w:rFonts w:ascii="Cambria" w:eastAsia="Times New Roman" w:hAnsi="Cambria" w:cs="Arial"/>
                <w:bCs/>
                <w:kern w:val="24"/>
                <w:sz w:val="20"/>
                <w:szCs w:val="20"/>
                <w:lang w:val="it-IT" w:eastAsia="ro-RO"/>
              </w:rPr>
              <w:t xml:space="preserve"> – Internal/management control assessment</w:t>
            </w:r>
          </w:p>
        </w:tc>
      </w:tr>
      <w:tr w:rsidR="0037604E" w:rsidRPr="0037604E" w:rsidTr="0037604E">
        <w:trPr>
          <w:trHeight w:val="200"/>
          <w:tblCellSpacing w:w="20" w:type="dxa"/>
          <w:jc w:val="center"/>
        </w:trPr>
        <w:tc>
          <w:tcPr>
            <w:tcW w:w="4913" w:type="dxa"/>
            <w:vMerge/>
            <w:shd w:val="clear" w:color="auto" w:fill="auto"/>
            <w:tcMar>
              <w:top w:w="8" w:type="dxa"/>
              <w:left w:w="8" w:type="dxa"/>
              <w:bottom w:w="0" w:type="dxa"/>
              <w:right w:w="8" w:type="dxa"/>
            </w:tcMar>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p>
        </w:tc>
        <w:tc>
          <w:tcPr>
            <w:tcW w:w="4379" w:type="dxa"/>
            <w:vAlign w:val="center"/>
          </w:tcPr>
          <w:p w:rsidR="0037604E" w:rsidRPr="0037604E" w:rsidRDefault="0037604E" w:rsidP="0037604E">
            <w:pPr>
              <w:spacing w:after="0" w:line="240" w:lineRule="auto"/>
              <w:ind w:firstLine="0"/>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 xml:space="preserve">Standardul </w:t>
            </w:r>
            <w:r w:rsidRPr="0037604E">
              <w:rPr>
                <w:rFonts w:ascii="Cambria" w:eastAsia="Times New Roman" w:hAnsi="Cambria" w:cs="Arial"/>
                <w:b/>
                <w:bCs/>
                <w:kern w:val="24"/>
                <w:sz w:val="20"/>
                <w:szCs w:val="20"/>
                <w:lang w:eastAsia="ro-RO"/>
              </w:rPr>
              <w:t>16</w:t>
            </w:r>
            <w:r w:rsidRPr="0037604E">
              <w:rPr>
                <w:rFonts w:ascii="Cambria" w:eastAsia="Times New Roman" w:hAnsi="Cambria" w:cs="Arial"/>
                <w:bCs/>
                <w:kern w:val="24"/>
                <w:sz w:val="20"/>
                <w:szCs w:val="20"/>
                <w:lang w:eastAsia="ro-RO"/>
              </w:rPr>
              <w:t xml:space="preserve"> – Internal audit</w:t>
            </w:r>
          </w:p>
        </w:tc>
      </w:tr>
    </w:tbl>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37604E" w:rsidP="00FA6EB9">
      <w:pPr>
        <w:numPr>
          <w:ilvl w:val="0"/>
          <w:numId w:val="159"/>
        </w:numPr>
        <w:shd w:val="clear" w:color="auto" w:fill="F2F2F2"/>
        <w:tabs>
          <w:tab w:val="num" w:pos="284"/>
        </w:tabs>
        <w:spacing w:after="0" w:line="240" w:lineRule="auto"/>
        <w:ind w:left="0"/>
        <w:contextualSpacing/>
        <w:jc w:val="both"/>
        <w:rPr>
          <w:rFonts w:ascii="Cambria" w:eastAsia="Times New Roman" w:hAnsi="Cambria" w:cs="Times New Roman"/>
          <w:b/>
          <w:sz w:val="24"/>
          <w:szCs w:val="24"/>
          <w:lang w:val="ro-RO" w:eastAsia="en-US"/>
        </w:rPr>
      </w:pPr>
      <w:r w:rsidRPr="0037604E">
        <w:rPr>
          <w:rFonts w:ascii="Cambria" w:eastAsia="Times New Roman" w:hAnsi="Cambria" w:cs="Times New Roman"/>
          <w:b/>
          <w:sz w:val="24"/>
          <w:szCs w:val="24"/>
          <w:lang w:val="ro-RO" w:eastAsia="en-US"/>
        </w:rPr>
        <w:t>Stage of implementation and development of the internal/management control system within SNTGN Transgaz SA at 31.12.2016</w:t>
      </w:r>
    </w:p>
    <w:p w:rsidR="0037604E" w:rsidRPr="0037604E" w:rsidRDefault="0037604E" w:rsidP="0037604E">
      <w:pPr>
        <w:spacing w:after="0" w:line="240" w:lineRule="auto"/>
        <w:ind w:right="-140" w:firstLine="0"/>
        <w:jc w:val="both"/>
        <w:rPr>
          <w:rFonts w:ascii="Cambria" w:eastAsia="Times New Roman" w:hAnsi="Cambria"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Strategy and Corporate Management Division throguh the Budget Strategy Unit , also has according to the </w:t>
      </w:r>
      <w:r w:rsidRPr="0037604E">
        <w:rPr>
          <w:rFonts w:asciiTheme="majorHAnsi" w:hAnsiTheme="majorHAnsi"/>
          <w:sz w:val="24"/>
          <w:szCs w:val="24"/>
          <w:lang w:val="en-GB"/>
        </w:rPr>
        <w:t>Rules of Procedure and Organization</w:t>
      </w:r>
      <w:r w:rsidRPr="0037604E">
        <w:rPr>
          <w:rFonts w:asciiTheme="majorHAnsi" w:eastAsia="Calibri" w:hAnsiTheme="majorHAnsi" w:cs="Times New Roman"/>
          <w:sz w:val="24"/>
          <w:szCs w:val="24"/>
          <w:lang w:val="ro-RO" w:eastAsia="en-US"/>
        </w:rPr>
        <w:t xml:space="preserve"> SNTGN Transgaz SA responsibilities regrading the </w:t>
      </w:r>
      <w:r w:rsidRPr="0037604E">
        <w:rPr>
          <w:rFonts w:asciiTheme="majorHAnsi" w:hAnsiTheme="majorHAnsi" w:cs="Arial"/>
          <w:sz w:val="24"/>
          <w:szCs w:val="24"/>
          <w:lang w:val="en"/>
        </w:rPr>
        <w:t>ensuring of the secretariat of the Committee for monitoring, coordination and methodological guidance for the implementation and development of internal/management control within the company</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 xml:space="preserve">According to </w:t>
      </w:r>
      <w:r w:rsidRPr="00ED4E8C">
        <w:rPr>
          <w:rFonts w:asciiTheme="majorHAnsi" w:hAnsiTheme="majorHAnsi" w:cs="Arial"/>
          <w:b/>
          <w:sz w:val="24"/>
          <w:szCs w:val="24"/>
          <w:lang w:val="en"/>
        </w:rPr>
        <w:t xml:space="preserve">Order 946/2005 of the Ministry of Public Finance </w:t>
      </w:r>
      <w:r w:rsidRPr="0037604E">
        <w:rPr>
          <w:rFonts w:asciiTheme="majorHAnsi" w:hAnsiTheme="majorHAnsi" w:cs="Arial"/>
          <w:sz w:val="24"/>
          <w:szCs w:val="24"/>
          <w:lang w:val="en"/>
        </w:rPr>
        <w:t xml:space="preserve">approving the Internal/Management Control Code, including the Internal/Management Control of the public entities and for the development of  internal/managemet control systems, re-published and amended by </w:t>
      </w:r>
      <w:r w:rsidRPr="00ED4E8C">
        <w:rPr>
          <w:rFonts w:asciiTheme="majorHAnsi" w:hAnsiTheme="majorHAnsi" w:cs="Arial"/>
          <w:b/>
          <w:sz w:val="24"/>
          <w:szCs w:val="24"/>
          <w:lang w:val="en"/>
        </w:rPr>
        <w:t>Order 1423 of 30.10.2012</w:t>
      </w:r>
      <w:r w:rsidRPr="0037604E">
        <w:rPr>
          <w:rFonts w:asciiTheme="majorHAnsi" w:hAnsiTheme="majorHAnsi" w:cs="Arial"/>
          <w:sz w:val="24"/>
          <w:szCs w:val="24"/>
          <w:lang w:val="en"/>
        </w:rPr>
        <w:t xml:space="preserve">, internal/management  control system (SCI/M) implementation and development in Transgaz began in 2009 - no service </w:t>
      </w:r>
      <w:r w:rsidRPr="0037604E">
        <w:rPr>
          <w:rFonts w:asciiTheme="majorHAnsi" w:hAnsiTheme="majorHAnsi" w:cs="Arial"/>
          <w:sz w:val="24"/>
          <w:szCs w:val="24"/>
          <w:lang w:val="en"/>
        </w:rPr>
        <w:lastRenderedPageBreak/>
        <w:t xml:space="preserve">contract. AJAS0029 / 10.04.2009 SC AJA SRL Sibiu and resumed in 2013 - service contract no. 141/20.05.2013 with the company </w:t>
      </w:r>
      <w:r w:rsidRPr="0037604E">
        <w:rPr>
          <w:rFonts w:asciiTheme="majorHAnsi" w:eastAsia="Calibri" w:hAnsiTheme="majorHAnsi" w:cs="Times New Roman"/>
          <w:sz w:val="24"/>
          <w:szCs w:val="24"/>
          <w:lang w:val="ro-RO" w:eastAsia="en-US"/>
        </w:rPr>
        <w:t>MIŞCAREA ROMÂNĂ PENTRU CALITATE Craiova</w:t>
      </w:r>
      <w:r w:rsidRPr="0037604E">
        <w:rPr>
          <w:rFonts w:asciiTheme="majorHAnsi" w:hAnsiTheme="majorHAnsi" w:cs="Arial"/>
          <w:sz w:val="24"/>
          <w:szCs w:val="24"/>
          <w:lang w:val="en"/>
        </w:rPr>
        <w:t>, but due to legal and company structure changes the reassessment of the implementation program and evaluation of existing stage of implementation of the internal/management control system permanently at TRANSGAZ</w:t>
      </w:r>
      <w:r w:rsidRPr="0037604E">
        <w:rPr>
          <w:rFonts w:asciiTheme="majorHAnsi" w:eastAsia="Times New Roman" w:hAnsiTheme="majorHAnsi" w:cs="Times New Roman"/>
          <w:sz w:val="24"/>
          <w:szCs w:val="24"/>
          <w:lang w:val="ro-RO" w:eastAsia="en-US"/>
        </w:rPr>
        <w:t xml:space="preserve">. </w:t>
      </w:r>
    </w:p>
    <w:p w:rsidR="0037604E" w:rsidRPr="0037604E" w:rsidRDefault="0037604E" w:rsidP="0037604E">
      <w:pPr>
        <w:spacing w:after="0" w:line="240" w:lineRule="auto"/>
        <w:ind w:firstLine="0"/>
        <w:jc w:val="both"/>
        <w:rPr>
          <w:rFonts w:ascii="Cambria" w:eastAsia="Times New Roman" w:hAnsi="Cambria" w:cs="Times New Roman"/>
          <w:b/>
          <w:sz w:val="24"/>
          <w:szCs w:val="24"/>
          <w:lang w:val="ro-RO"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ED4E8C">
        <w:rPr>
          <w:rFonts w:asciiTheme="majorHAnsi" w:hAnsiTheme="majorHAnsi" w:cs="Arial"/>
          <w:b/>
          <w:sz w:val="24"/>
          <w:szCs w:val="24"/>
          <w:lang w:val="en"/>
        </w:rPr>
        <w:t>Order</w:t>
      </w:r>
      <w:r w:rsidRPr="00ED4E8C">
        <w:rPr>
          <w:rFonts w:asciiTheme="majorHAnsi" w:eastAsia="Times New Roman" w:hAnsiTheme="majorHAnsi" w:cs="Times New Roman"/>
          <w:b/>
          <w:sz w:val="24"/>
          <w:szCs w:val="24"/>
          <w:lang w:val="ro-RO" w:eastAsia="en-US"/>
        </w:rPr>
        <w:t xml:space="preserve"> 946/2005 </w:t>
      </w:r>
      <w:r w:rsidRPr="00ED4E8C">
        <w:rPr>
          <w:rFonts w:asciiTheme="majorHAnsi" w:hAnsiTheme="majorHAnsi" w:cs="Arial"/>
          <w:b/>
          <w:sz w:val="24"/>
          <w:szCs w:val="24"/>
          <w:lang w:val="en"/>
        </w:rPr>
        <w:t>of the Ministry of Public Finance</w:t>
      </w:r>
      <w:r w:rsidRPr="0037604E">
        <w:rPr>
          <w:rFonts w:asciiTheme="majorHAnsi" w:hAnsiTheme="majorHAnsi" w:cs="Arial"/>
          <w:sz w:val="24"/>
          <w:szCs w:val="24"/>
          <w:lang w:val="en"/>
        </w:rPr>
        <w:t xml:space="preserve"> approving the Internal/Management Control Code, including the Internal/Management Control of the public entities and for the development of internal/managemet control systems, referring to the implementation of a series of 25 standards was repealed by</w:t>
      </w:r>
      <w:r w:rsidRPr="0037604E">
        <w:rPr>
          <w:rFonts w:asciiTheme="majorHAnsi" w:eastAsia="Times New Roman" w:hAnsiTheme="majorHAnsi" w:cs="Times New Roman"/>
          <w:sz w:val="24"/>
          <w:szCs w:val="24"/>
          <w:lang w:val="ro-RO" w:eastAsia="en-US"/>
        </w:rPr>
        <w:t xml:space="preserve"> </w:t>
      </w:r>
      <w:r w:rsidRPr="00ED4E8C">
        <w:rPr>
          <w:rFonts w:asciiTheme="majorHAnsi" w:hAnsiTheme="majorHAnsi" w:cs="Arial"/>
          <w:b/>
          <w:sz w:val="24"/>
          <w:szCs w:val="24"/>
          <w:lang w:val="en"/>
        </w:rPr>
        <w:t>Order</w:t>
      </w:r>
      <w:r w:rsidRPr="00ED4E8C">
        <w:rPr>
          <w:rFonts w:asciiTheme="majorHAnsi" w:eastAsia="Times New Roman" w:hAnsiTheme="majorHAnsi" w:cs="Times New Roman"/>
          <w:b/>
          <w:sz w:val="24"/>
          <w:szCs w:val="24"/>
          <w:lang w:val="ro-RO" w:eastAsia="en-US"/>
        </w:rPr>
        <w:t xml:space="preserve"> 400/2015 of the GSG </w:t>
      </w:r>
      <w:r w:rsidRPr="0037604E">
        <w:rPr>
          <w:rFonts w:asciiTheme="majorHAnsi" w:eastAsia="Times New Roman" w:hAnsiTheme="majorHAnsi" w:cs="Times New Roman"/>
          <w:sz w:val="24"/>
          <w:szCs w:val="24"/>
          <w:lang w:val="ro-RO" w:eastAsia="en-US"/>
        </w:rPr>
        <w:t xml:space="preserve">on the approval of the </w:t>
      </w:r>
      <w:r w:rsidRPr="0037604E">
        <w:rPr>
          <w:rFonts w:asciiTheme="majorHAnsi" w:hAnsiTheme="majorHAnsi" w:cs="Arial"/>
          <w:sz w:val="24"/>
          <w:szCs w:val="24"/>
          <w:lang w:val="en"/>
        </w:rPr>
        <w:t>the Internal/Management Control Code of public entities, amended an supplemented by Order</w:t>
      </w:r>
      <w:r w:rsidRPr="0037604E">
        <w:rPr>
          <w:rFonts w:asciiTheme="majorHAnsi" w:eastAsia="Times New Roman" w:hAnsiTheme="majorHAnsi" w:cs="Times New Roman"/>
          <w:sz w:val="24"/>
          <w:szCs w:val="24"/>
          <w:lang w:val="ro-RO" w:eastAsia="en-US"/>
        </w:rPr>
        <w:t xml:space="preserve"> nr. 200/2016, </w:t>
      </w:r>
      <w:r w:rsidRPr="0037604E">
        <w:rPr>
          <w:rFonts w:asciiTheme="majorHAnsi" w:hAnsiTheme="majorHAnsi" w:cs="Arial"/>
          <w:sz w:val="24"/>
          <w:szCs w:val="24"/>
          <w:lang w:val="en"/>
        </w:rPr>
        <w:t>which reduced to 16 the number of standards</w:t>
      </w:r>
      <w:r w:rsidRPr="0037604E">
        <w:rPr>
          <w:rFonts w:asciiTheme="majorHAnsi" w:eastAsia="Times New Roman" w:hAnsiTheme="majorHAnsi" w:cs="Times New Roman"/>
          <w:sz w:val="24"/>
          <w:szCs w:val="24"/>
          <w:lang w:val="ro-RO" w:eastAsia="en-US"/>
        </w:rPr>
        <w:t>.</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Annually, between September and October the implementation of the Internal/</w:t>
      </w:r>
      <w:r w:rsidR="00ED4E8C" w:rsidRPr="0037604E">
        <w:rPr>
          <w:rFonts w:asciiTheme="majorHAnsi" w:hAnsiTheme="majorHAnsi" w:cs="Arial"/>
          <w:sz w:val="24"/>
          <w:szCs w:val="24"/>
          <w:lang w:val="en"/>
        </w:rPr>
        <w:t>Management Control</w:t>
      </w:r>
      <w:r w:rsidRPr="0037604E">
        <w:rPr>
          <w:rFonts w:asciiTheme="majorHAnsi" w:hAnsiTheme="majorHAnsi" w:cs="Arial"/>
          <w:sz w:val="24"/>
          <w:szCs w:val="24"/>
          <w:lang w:val="en"/>
        </w:rPr>
        <w:t xml:space="preserve"> System (SCIM) is self-assessed within the company</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Cambria" w:hAnsi="Cambria"/>
          <w:sz w:val="24"/>
          <w:lang w:val="ro-RO"/>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In 2016 the self-assessment was based on the organizational structure approved by the </w:t>
      </w:r>
      <w:r w:rsidRPr="0037604E">
        <w:rPr>
          <w:rFonts w:asciiTheme="majorHAnsi" w:hAnsiTheme="majorHAnsi"/>
          <w:sz w:val="24"/>
          <w:szCs w:val="24"/>
          <w:lang w:val="en-GB"/>
        </w:rPr>
        <w:t>Rules of Procedure and Organization</w:t>
      </w:r>
      <w:r w:rsidRPr="0037604E">
        <w:rPr>
          <w:rFonts w:asciiTheme="majorHAnsi" w:eastAsia="Calibri" w:hAnsiTheme="majorHAnsi" w:cs="Times New Roman"/>
          <w:sz w:val="24"/>
          <w:szCs w:val="24"/>
          <w:lang w:val="ro-RO" w:eastAsia="en-US"/>
        </w:rPr>
        <w:t xml:space="preserve"> </w:t>
      </w:r>
      <w:r w:rsidR="00ED4E8C" w:rsidRPr="0037604E">
        <w:rPr>
          <w:rFonts w:asciiTheme="majorHAnsi" w:eastAsia="Calibri" w:hAnsiTheme="majorHAnsi" w:cs="Times New Roman"/>
          <w:sz w:val="24"/>
          <w:szCs w:val="24"/>
          <w:lang w:val="ro-RO" w:eastAsia="en-US"/>
        </w:rPr>
        <w:t>2016 that</w:t>
      </w:r>
      <w:r w:rsidRPr="0037604E">
        <w:rPr>
          <w:rFonts w:asciiTheme="majorHAnsi" w:eastAsia="Calibri" w:hAnsiTheme="majorHAnsi" w:cs="Times New Roman"/>
          <w:sz w:val="24"/>
          <w:szCs w:val="24"/>
          <w:lang w:val="ro-RO" w:eastAsia="en-US"/>
        </w:rPr>
        <w:t xml:space="preserve"> is 151 organizational entities. </w:t>
      </w:r>
      <w:r w:rsidRPr="0037604E">
        <w:rPr>
          <w:rFonts w:asciiTheme="majorHAnsi" w:hAnsiTheme="majorHAnsi" w:cs="Arial"/>
          <w:sz w:val="24"/>
          <w:szCs w:val="24"/>
          <w:lang w:val="en"/>
        </w:rPr>
        <w:t>Rules of Organization and Operation of 2016, respectively 151 organizational entities. The self-assessment questionnaire completed in accordance with the legal requirements is set out in Annex 11.</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conclusion resulting from the analysis and centralization of the data in the self-assessment questionnaires submitted by organizational entities is that within the company the internal/management control system is partly compliant, 15 standards of the 16 standards in Order 400/2015 of the GSG </w:t>
      </w:r>
      <w:r w:rsidRPr="0037604E">
        <w:rPr>
          <w:rFonts w:asciiTheme="majorHAnsi" w:eastAsia="Times New Roman" w:hAnsiTheme="majorHAnsi" w:cs="Times New Roman"/>
          <w:sz w:val="24"/>
          <w:szCs w:val="24"/>
          <w:lang w:val="ro-RO" w:eastAsia="en-US"/>
        </w:rPr>
        <w:t xml:space="preserve">on the approval of the </w:t>
      </w:r>
      <w:r w:rsidRPr="0037604E">
        <w:rPr>
          <w:rFonts w:asciiTheme="majorHAnsi" w:hAnsiTheme="majorHAnsi" w:cs="Arial"/>
          <w:sz w:val="24"/>
          <w:szCs w:val="24"/>
          <w:lang w:val="en"/>
        </w:rPr>
        <w:t>Internal/Management Control Code of public entities, amended an supplemented by Order</w:t>
      </w:r>
      <w:r w:rsidRPr="0037604E">
        <w:rPr>
          <w:rFonts w:asciiTheme="majorHAnsi" w:eastAsia="Times New Roman" w:hAnsiTheme="majorHAnsi" w:cs="Times New Roman"/>
          <w:sz w:val="24"/>
          <w:szCs w:val="24"/>
          <w:lang w:val="ro-RO" w:eastAsia="en-US"/>
        </w:rPr>
        <w:t xml:space="preserve"> nr. 200/2016 </w:t>
      </w:r>
      <w:r w:rsidRPr="0037604E">
        <w:rPr>
          <w:rFonts w:asciiTheme="majorHAnsi" w:hAnsiTheme="majorHAnsi" w:cs="Arial"/>
          <w:sz w:val="24"/>
          <w:szCs w:val="24"/>
          <w:lang w:val="en"/>
        </w:rPr>
        <w:t>being implemented</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tbl>
      <w:tblPr>
        <w:tblW w:w="9208" w:type="dxa"/>
        <w:jc w:val="center"/>
        <w:tblCellSpacing w:w="20" w:type="dxa"/>
        <w:tblBorders>
          <w:top w:val="outset" w:sz="6" w:space="0" w:color="FFFFFF"/>
          <w:left w:val="outset" w:sz="6" w:space="0" w:color="FFFFFF"/>
          <w:bottom w:val="outset" w:sz="6" w:space="0" w:color="FFFFFF"/>
          <w:right w:val="outset" w:sz="6" w:space="0" w:color="FFFFFF"/>
          <w:insideH w:val="outset" w:sz="6" w:space="0" w:color="FFFFFF"/>
          <w:insideV w:val="outset" w:sz="6" w:space="0" w:color="FFFFFF"/>
        </w:tblBorders>
        <w:tblLayout w:type="fixed"/>
        <w:tblCellMar>
          <w:left w:w="0" w:type="dxa"/>
          <w:right w:w="0" w:type="dxa"/>
        </w:tblCellMar>
        <w:tblLook w:val="0600" w:firstRow="0" w:lastRow="0" w:firstColumn="0" w:lastColumn="0" w:noHBand="1" w:noVBand="1"/>
      </w:tblPr>
      <w:tblGrid>
        <w:gridCol w:w="2190"/>
        <w:gridCol w:w="437"/>
        <w:gridCol w:w="437"/>
        <w:gridCol w:w="438"/>
        <w:gridCol w:w="437"/>
        <w:gridCol w:w="437"/>
        <w:gridCol w:w="438"/>
        <w:gridCol w:w="437"/>
        <w:gridCol w:w="438"/>
        <w:gridCol w:w="437"/>
        <w:gridCol w:w="437"/>
        <w:gridCol w:w="438"/>
        <w:gridCol w:w="437"/>
        <w:gridCol w:w="437"/>
        <w:gridCol w:w="438"/>
        <w:gridCol w:w="437"/>
        <w:gridCol w:w="458"/>
      </w:tblGrid>
      <w:tr w:rsidR="0037604E" w:rsidRPr="0037604E" w:rsidTr="0037604E">
        <w:trPr>
          <w:trHeight w:val="303"/>
          <w:tblCellSpacing w:w="20" w:type="dxa"/>
          <w:jc w:val="center"/>
        </w:trPr>
        <w:tc>
          <w:tcPr>
            <w:tcW w:w="2130"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Standard</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2</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3</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4</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5</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6</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7</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8</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9</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10</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11</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12</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13</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16</w:t>
            </w:r>
          </w:p>
        </w:tc>
      </w:tr>
      <w:tr w:rsidR="0037604E" w:rsidRPr="0037604E" w:rsidTr="0037604E">
        <w:trPr>
          <w:trHeight w:val="596"/>
          <w:tblCellSpacing w:w="20" w:type="dxa"/>
          <w:jc w:val="center"/>
        </w:trPr>
        <w:tc>
          <w:tcPr>
            <w:tcW w:w="2130"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No. of departments where the standard is applicable</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17</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3</w:t>
            </w:r>
          </w:p>
        </w:tc>
      </w:tr>
      <w:tr w:rsidR="0037604E" w:rsidRPr="0037604E" w:rsidTr="0037604E">
        <w:trPr>
          <w:trHeight w:val="303"/>
          <w:tblCellSpacing w:w="20" w:type="dxa"/>
          <w:jc w:val="center"/>
        </w:trPr>
        <w:tc>
          <w:tcPr>
            <w:tcW w:w="2130"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Implemented   I</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150</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148</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137</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144</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128</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136</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148</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144</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151</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150</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17</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150</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3</w:t>
            </w:r>
          </w:p>
        </w:tc>
      </w:tr>
      <w:tr w:rsidR="0037604E" w:rsidRPr="0037604E" w:rsidTr="0037604E">
        <w:trPr>
          <w:trHeight w:val="372"/>
          <w:tblCellSpacing w:w="20" w:type="dxa"/>
          <w:jc w:val="center"/>
        </w:trPr>
        <w:tc>
          <w:tcPr>
            <w:tcW w:w="2130"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Partly implemented  PI</w:t>
            </w:r>
          </w:p>
        </w:tc>
        <w:tc>
          <w:tcPr>
            <w:tcW w:w="397" w:type="dxa"/>
            <w:shd w:val="clear" w:color="auto" w:fill="auto"/>
            <w:tcMar>
              <w:top w:w="15" w:type="dxa"/>
              <w:left w:w="15" w:type="dxa"/>
              <w:bottom w:w="0" w:type="dxa"/>
              <w:right w:w="15" w:type="dxa"/>
            </w:tcMar>
            <w:vAlign w:val="center"/>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p>
        </w:tc>
        <w:tc>
          <w:tcPr>
            <w:tcW w:w="397" w:type="dxa"/>
            <w:shd w:val="clear" w:color="auto" w:fill="auto"/>
            <w:tcMar>
              <w:top w:w="15" w:type="dxa"/>
              <w:left w:w="15" w:type="dxa"/>
              <w:bottom w:w="0" w:type="dxa"/>
              <w:right w:w="15" w:type="dxa"/>
            </w:tcMar>
            <w:vAlign w:val="center"/>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p>
        </w:tc>
        <w:tc>
          <w:tcPr>
            <w:tcW w:w="398" w:type="dxa"/>
            <w:shd w:val="clear" w:color="auto" w:fill="auto"/>
            <w:tcMar>
              <w:top w:w="15" w:type="dxa"/>
              <w:left w:w="15" w:type="dxa"/>
              <w:bottom w:w="0" w:type="dxa"/>
              <w:right w:w="15" w:type="dxa"/>
            </w:tcMar>
            <w:vAlign w:val="center"/>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2</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14</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2</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18</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15</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3</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7</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1</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r>
      <w:tr w:rsidR="0037604E" w:rsidRPr="0037604E" w:rsidTr="0037604E">
        <w:trPr>
          <w:trHeight w:val="336"/>
          <w:tblCellSpacing w:w="20" w:type="dxa"/>
          <w:jc w:val="center"/>
        </w:trPr>
        <w:tc>
          <w:tcPr>
            <w:tcW w:w="2130"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Not implemented NI</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1</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sz w:val="20"/>
                <w:szCs w:val="20"/>
                <w:lang w:val="ro-RO" w:eastAsia="ro-RO"/>
              </w:rPr>
              <w:t>5</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5</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c>
          <w:tcPr>
            <w:tcW w:w="397"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p>
        </w:tc>
        <w:tc>
          <w:tcPr>
            <w:tcW w:w="398" w:type="dxa"/>
            <w:shd w:val="clear" w:color="auto" w:fill="C5D9F1"/>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kern w:val="24"/>
                <w:sz w:val="20"/>
                <w:szCs w:val="20"/>
                <w:lang w:eastAsia="ro-RO"/>
              </w:rPr>
              <w:t> </w:t>
            </w:r>
          </w:p>
        </w:tc>
      </w:tr>
      <w:tr w:rsidR="0037604E" w:rsidRPr="0037604E" w:rsidTr="0037604E">
        <w:trPr>
          <w:trHeight w:val="342"/>
          <w:tblCellSpacing w:w="20" w:type="dxa"/>
          <w:jc w:val="center"/>
        </w:trPr>
        <w:tc>
          <w:tcPr>
            <w:tcW w:w="2130"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center"/>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At the level of th company</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PI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7"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398" w:type="dxa"/>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ro-RO"/>
        </w:rPr>
      </w:pPr>
    </w:p>
    <w:p w:rsidR="0037604E" w:rsidRPr="0037604E" w:rsidRDefault="00F47A26" w:rsidP="0037604E">
      <w:pPr>
        <w:spacing w:after="0" w:line="240" w:lineRule="auto"/>
        <w:ind w:firstLine="0"/>
        <w:jc w:val="center"/>
        <w:rPr>
          <w:rFonts w:ascii="Cambria" w:eastAsia="Times New Roman" w:hAnsi="Cambria" w:cs="Times New Roman"/>
          <w:b/>
          <w:i/>
          <w:sz w:val="16"/>
          <w:szCs w:val="16"/>
          <w:lang w:val="ro-RO"/>
        </w:rPr>
      </w:pPr>
      <w:r>
        <w:rPr>
          <w:rFonts w:ascii="Cambria" w:eastAsia="Times New Roman" w:hAnsi="Cambria" w:cs="Times New Roman"/>
          <w:b/>
          <w:i/>
          <w:sz w:val="16"/>
          <w:szCs w:val="16"/>
          <w:lang w:val="ro-RO"/>
        </w:rPr>
        <w:t>Table 32</w:t>
      </w:r>
      <w:r w:rsidR="0037604E" w:rsidRPr="0037604E">
        <w:rPr>
          <w:rFonts w:ascii="Cambria" w:eastAsia="Times New Roman" w:hAnsi="Cambria" w:cs="Times New Roman"/>
          <w:b/>
          <w:i/>
          <w:sz w:val="16"/>
          <w:szCs w:val="16"/>
          <w:lang w:val="ro-RO"/>
        </w:rPr>
        <w:t>- Implementation of standards at 31.12.2015</w:t>
      </w:r>
    </w:p>
    <w:p w:rsidR="0037604E" w:rsidRPr="0037604E" w:rsidRDefault="0037604E" w:rsidP="0037604E">
      <w:pPr>
        <w:spacing w:after="0" w:line="240" w:lineRule="auto"/>
        <w:ind w:firstLine="0"/>
        <w:jc w:val="center"/>
        <w:rPr>
          <w:rFonts w:ascii="Cambria" w:eastAsia="Calibri" w:hAnsi="Cambria" w:cs="Times New Roman"/>
          <w:sz w:val="16"/>
          <w:szCs w:val="16"/>
          <w:lang w:val="ro-RO" w:eastAsia="en-US"/>
        </w:rPr>
      </w:pPr>
    </w:p>
    <w:p w:rsidR="0037604E" w:rsidRPr="0037604E" w:rsidRDefault="0037604E" w:rsidP="0037604E">
      <w:pPr>
        <w:spacing w:after="0" w:line="240" w:lineRule="auto"/>
        <w:ind w:firstLine="0"/>
        <w:jc w:val="center"/>
        <w:rPr>
          <w:rFonts w:ascii="Cambria" w:eastAsia="Calibri" w:hAnsi="Cambria" w:cs="Times New Roman"/>
          <w:sz w:val="24"/>
          <w:szCs w:val="24"/>
          <w:lang w:val="ro-RO" w:eastAsia="en-US"/>
        </w:rPr>
      </w:pPr>
      <w:r w:rsidRPr="0037604E">
        <w:rPr>
          <w:rFonts w:ascii="Calibri" w:eastAsia="Calibri" w:hAnsi="Calibri" w:cs="DokChampa"/>
          <w:noProof/>
          <w:lang w:val="ro-RO" w:eastAsia="ro-RO"/>
        </w:rPr>
        <w:lastRenderedPageBreak/>
        <w:drawing>
          <wp:inline distT="0" distB="0" distL="0" distR="0" wp14:anchorId="0CC9D057" wp14:editId="354A4E81">
            <wp:extent cx="3714750" cy="2095500"/>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ro-RO"/>
        </w:rPr>
      </w:pPr>
      <w:r w:rsidRPr="0037604E">
        <w:rPr>
          <w:rFonts w:ascii="Cambria" w:eastAsia="Times New Roman" w:hAnsi="Cambria" w:cs="Times New Roman"/>
          <w:b/>
          <w:i/>
          <w:sz w:val="16"/>
          <w:szCs w:val="16"/>
          <w:lang w:val="ro-RO"/>
        </w:rPr>
        <w:t>Chart 47- Implemented standards at la 31.12.2016</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r w:rsidRPr="0037604E">
        <w:rPr>
          <w:rFonts w:ascii="Cambria" w:eastAsia="Calibri" w:hAnsi="Cambria" w:cs="Times New Roman"/>
          <w:sz w:val="24"/>
          <w:szCs w:val="24"/>
          <w:lang w:val="ro-RO" w:eastAsia="en-US"/>
        </w:rPr>
        <w:t>The following actions are foreseen for the implementation of all specific Internal/Management Control System standards in 2017:</w:t>
      </w:r>
    </w:p>
    <w:p w:rsidR="0037604E" w:rsidRPr="0037604E" w:rsidRDefault="0037604E" w:rsidP="0037604E">
      <w:pPr>
        <w:spacing w:after="0" w:line="240" w:lineRule="auto"/>
        <w:ind w:firstLine="0"/>
        <w:jc w:val="center"/>
        <w:rPr>
          <w:rFonts w:ascii="Cambria" w:eastAsia="Calibri" w:hAnsi="Cambria" w:cs="Times New Roman"/>
          <w:sz w:val="24"/>
          <w:szCs w:val="24"/>
          <w:lang w:val="ro-RO" w:eastAsia="en-US"/>
        </w:rPr>
      </w:pPr>
    </w:p>
    <w:tbl>
      <w:tblPr>
        <w:tblW w:w="941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600" w:firstRow="0" w:lastRow="0" w:firstColumn="0" w:lastColumn="0" w:noHBand="1" w:noVBand="1"/>
      </w:tblPr>
      <w:tblGrid>
        <w:gridCol w:w="4973"/>
        <w:gridCol w:w="903"/>
        <w:gridCol w:w="859"/>
        <w:gridCol w:w="2677"/>
      </w:tblGrid>
      <w:tr w:rsidR="0037604E" w:rsidRPr="0037604E" w:rsidTr="0037604E">
        <w:trPr>
          <w:trHeight w:val="283"/>
          <w:tblCellSpacing w:w="20" w:type="dxa"/>
          <w:jc w:val="center"/>
        </w:trPr>
        <w:tc>
          <w:tcPr>
            <w:tcW w:w="4913" w:type="dxa"/>
            <w:vMerge w:val="restart"/>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Standard</w:t>
            </w:r>
          </w:p>
        </w:tc>
        <w:tc>
          <w:tcPr>
            <w:tcW w:w="4379" w:type="dxa"/>
            <w:gridSpan w:val="3"/>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At the level of the company</w:t>
            </w:r>
          </w:p>
        </w:tc>
      </w:tr>
      <w:tr w:rsidR="0037604E" w:rsidRPr="0037604E" w:rsidTr="0037604E">
        <w:trPr>
          <w:trHeight w:val="283"/>
          <w:tblCellSpacing w:w="20" w:type="dxa"/>
          <w:jc w:val="center"/>
        </w:trPr>
        <w:tc>
          <w:tcPr>
            <w:tcW w:w="4913" w:type="dxa"/>
            <w:vMerge/>
            <w:shd w:val="clear" w:color="auto" w:fill="D6E0F4"/>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w:t>
            </w: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PI</w:t>
            </w: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Measures</w:t>
            </w:r>
          </w:p>
        </w:tc>
      </w:tr>
      <w:tr w:rsidR="0037604E" w:rsidRPr="0037604E" w:rsidTr="0037604E">
        <w:trPr>
          <w:trHeight w:val="38"/>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center"/>
              <w:rPr>
                <w:rFonts w:ascii="Cambria" w:eastAsia="Times New Roman" w:hAnsi="Cambria" w:cs="Arial"/>
                <w:sz w:val="16"/>
                <w:szCs w:val="16"/>
                <w:lang w:val="ro-RO" w:eastAsia="ro-RO"/>
              </w:rPr>
            </w:pPr>
            <w:r w:rsidRPr="0037604E">
              <w:rPr>
                <w:rFonts w:ascii="Cambria" w:eastAsia="Times New Roman" w:hAnsi="Cambria" w:cs="Arial"/>
                <w:b/>
                <w:bCs/>
                <w:kern w:val="24"/>
                <w:sz w:val="16"/>
                <w:szCs w:val="16"/>
                <w:lang w:eastAsia="ro-RO"/>
              </w:rPr>
              <w:t>0</w:t>
            </w:r>
          </w:p>
        </w:tc>
        <w:tc>
          <w:tcPr>
            <w:tcW w:w="86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16"/>
                <w:szCs w:val="16"/>
                <w:lang w:val="ro-RO" w:eastAsia="ro-RO"/>
              </w:rPr>
            </w:pPr>
            <w:r w:rsidRPr="0037604E">
              <w:rPr>
                <w:rFonts w:ascii="Cambria" w:eastAsia="Times New Roman" w:hAnsi="Cambria" w:cs="Arial"/>
                <w:b/>
                <w:bCs/>
                <w:kern w:val="24"/>
                <w:sz w:val="16"/>
                <w:szCs w:val="16"/>
                <w:lang w:eastAsia="ro-RO"/>
              </w:rPr>
              <w:t>1</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16"/>
                <w:szCs w:val="16"/>
                <w:lang w:val="ro-RO" w:eastAsia="ro-RO"/>
              </w:rPr>
            </w:pPr>
            <w:r w:rsidRPr="0037604E">
              <w:rPr>
                <w:rFonts w:ascii="Cambria" w:eastAsia="Times New Roman" w:hAnsi="Cambria" w:cs="Arial"/>
                <w:b/>
                <w:bCs/>
                <w:kern w:val="24"/>
                <w:sz w:val="16"/>
                <w:szCs w:val="16"/>
                <w:lang w:eastAsia="ro-RO"/>
              </w:rPr>
              <w:t>2</w:t>
            </w: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16"/>
                <w:szCs w:val="16"/>
                <w:lang w:val="ro-RO" w:eastAsia="ro-RO"/>
              </w:rPr>
            </w:pPr>
            <w:r w:rsidRPr="0037604E">
              <w:rPr>
                <w:rFonts w:ascii="Cambria" w:eastAsia="Times New Roman" w:hAnsi="Cambria" w:cs="Arial"/>
                <w:b/>
                <w:bCs/>
                <w:kern w:val="24"/>
                <w:sz w:val="16"/>
                <w:szCs w:val="16"/>
                <w:lang w:eastAsia="ro-RO"/>
              </w:rPr>
              <w:t>3</w:t>
            </w:r>
          </w:p>
        </w:tc>
      </w:tr>
      <w:tr w:rsidR="0037604E" w:rsidRPr="0037604E" w:rsidTr="0037604E">
        <w:trPr>
          <w:trHeight w:val="186"/>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FA6EB9">
            <w:pPr>
              <w:numPr>
                <w:ilvl w:val="0"/>
                <w:numId w:val="170"/>
              </w:numPr>
              <w:spacing w:after="0" w:line="240" w:lineRule="auto"/>
              <w:ind w:hanging="142"/>
              <w:contextualSpacing/>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CONTROL ENVIRONMENT</w:t>
            </w: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160"/>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 xml:space="preserve">Standard </w:t>
            </w:r>
            <w:r w:rsidRPr="0037604E">
              <w:rPr>
                <w:rFonts w:ascii="Cambria" w:eastAsia="Times New Roman" w:hAnsi="Cambria" w:cs="Arial"/>
                <w:b/>
                <w:bCs/>
                <w:kern w:val="24"/>
                <w:sz w:val="20"/>
                <w:szCs w:val="20"/>
                <w:lang w:eastAsia="ro-RO"/>
              </w:rPr>
              <w:t>1</w:t>
            </w:r>
            <w:r w:rsidRPr="0037604E">
              <w:rPr>
                <w:rFonts w:ascii="Cambria" w:eastAsia="Times New Roman" w:hAnsi="Cambria" w:cs="Arial"/>
                <w:bCs/>
                <w:kern w:val="24"/>
                <w:sz w:val="20"/>
                <w:szCs w:val="20"/>
                <w:lang w:eastAsia="ro-RO"/>
              </w:rPr>
              <w:t xml:space="preserve"> - </w:t>
            </w:r>
            <w:r w:rsidRPr="00ED4E8C">
              <w:rPr>
                <w:rFonts w:asciiTheme="majorHAnsi" w:hAnsiTheme="majorHAnsi"/>
                <w:sz w:val="20"/>
                <w:lang w:val="en"/>
              </w:rPr>
              <w:t>Ethics and integrity</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137"/>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val="it-IT" w:eastAsia="ro-RO"/>
              </w:rPr>
              <w:t>2</w:t>
            </w:r>
            <w:r w:rsidRPr="0037604E">
              <w:rPr>
                <w:rFonts w:ascii="Cambria" w:eastAsia="Times New Roman" w:hAnsi="Cambria" w:cs="Arial"/>
                <w:bCs/>
                <w:kern w:val="24"/>
                <w:sz w:val="20"/>
                <w:szCs w:val="20"/>
                <w:lang w:val="it-IT" w:eastAsia="ro-RO"/>
              </w:rPr>
              <w:t xml:space="preserve"> – Responsibilities, positions and tasks</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98"/>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3</w:t>
            </w:r>
            <w:r w:rsidRPr="0037604E">
              <w:rPr>
                <w:rFonts w:ascii="Cambria" w:eastAsia="Times New Roman" w:hAnsi="Cambria" w:cs="Arial"/>
                <w:bCs/>
                <w:kern w:val="24"/>
                <w:sz w:val="20"/>
                <w:szCs w:val="20"/>
                <w:lang w:eastAsia="ro-RO"/>
              </w:rPr>
              <w:t xml:space="preserve"> – Competence, performance</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88"/>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 xml:space="preserve">4 </w:t>
            </w:r>
            <w:r w:rsidRPr="0037604E">
              <w:rPr>
                <w:rFonts w:ascii="Cambria" w:eastAsia="Times New Roman" w:hAnsi="Cambria" w:cs="Arial"/>
                <w:bCs/>
                <w:kern w:val="24"/>
                <w:sz w:val="20"/>
                <w:szCs w:val="20"/>
                <w:lang w:eastAsia="ro-RO"/>
              </w:rPr>
              <w:t>– Organizational structure</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319"/>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FA6EB9">
            <w:pPr>
              <w:numPr>
                <w:ilvl w:val="0"/>
                <w:numId w:val="170"/>
              </w:numPr>
              <w:spacing w:after="0" w:line="240" w:lineRule="auto"/>
              <w:ind w:hanging="142"/>
              <w:contextualSpacing/>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PERFORMAN</w:t>
            </w:r>
            <w:r w:rsidRPr="0037604E">
              <w:rPr>
                <w:rFonts w:ascii="Cambria" w:eastAsia="Times New Roman" w:hAnsi="Cambria" w:cs="Arial"/>
                <w:b/>
                <w:bCs/>
                <w:kern w:val="24"/>
                <w:sz w:val="20"/>
                <w:szCs w:val="20"/>
                <w:lang w:val="ro-RO" w:eastAsia="ro-RO"/>
              </w:rPr>
              <w:t>CE AND RISK MANAGEMENT</w:t>
            </w: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70"/>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5</w:t>
            </w:r>
            <w:r w:rsidRPr="0037604E">
              <w:rPr>
                <w:rFonts w:ascii="Cambria" w:eastAsia="Times New Roman" w:hAnsi="Cambria" w:cs="Arial"/>
                <w:bCs/>
                <w:kern w:val="24"/>
                <w:sz w:val="20"/>
                <w:szCs w:val="20"/>
                <w:lang w:eastAsia="ro-RO"/>
              </w:rPr>
              <w:t xml:space="preserve"> - Targets</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r>
      <w:tr w:rsidR="0037604E" w:rsidRPr="0037604E" w:rsidTr="0037604E">
        <w:trPr>
          <w:trHeight w:val="189"/>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6</w:t>
            </w:r>
            <w:r w:rsidRPr="0037604E">
              <w:rPr>
                <w:rFonts w:ascii="Cambria" w:eastAsia="Times New Roman" w:hAnsi="Cambria" w:cs="Arial"/>
                <w:bCs/>
                <w:kern w:val="24"/>
                <w:sz w:val="20"/>
                <w:szCs w:val="20"/>
                <w:lang w:eastAsia="ro-RO"/>
              </w:rPr>
              <w:t xml:space="preserve"> - Planning</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r>
      <w:tr w:rsidR="0037604E" w:rsidRPr="0037604E" w:rsidTr="0037604E">
        <w:trPr>
          <w:trHeight w:val="164"/>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7</w:t>
            </w:r>
            <w:r w:rsidRPr="0037604E">
              <w:rPr>
                <w:rFonts w:ascii="Cambria" w:eastAsia="Times New Roman" w:hAnsi="Cambria" w:cs="Arial"/>
                <w:bCs/>
                <w:kern w:val="24"/>
                <w:sz w:val="20"/>
                <w:szCs w:val="20"/>
                <w:lang w:eastAsia="ro-RO"/>
              </w:rPr>
              <w:t xml:space="preserve"> – Monitoring performance</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r>
      <w:tr w:rsidR="0037604E" w:rsidRPr="0037604E" w:rsidTr="0037604E">
        <w:trPr>
          <w:trHeight w:val="283"/>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8</w:t>
            </w:r>
            <w:r w:rsidRPr="0037604E">
              <w:rPr>
                <w:rFonts w:ascii="Cambria" w:eastAsia="Times New Roman" w:hAnsi="Cambria" w:cs="Arial"/>
                <w:bCs/>
                <w:kern w:val="24"/>
                <w:sz w:val="20"/>
                <w:szCs w:val="20"/>
                <w:lang w:eastAsia="ro-RO"/>
              </w:rPr>
              <w:t xml:space="preserve"> –Risk management</w:t>
            </w:r>
          </w:p>
        </w:tc>
        <w:tc>
          <w:tcPr>
            <w:tcW w:w="86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YES</w:t>
            </w: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Preparation of system procedure, according to</w:t>
            </w:r>
            <w:r w:rsidRPr="0037604E">
              <w:rPr>
                <w:rFonts w:ascii="Cambria" w:eastAsia="Times New Roman" w:hAnsi="Cambria" w:cs="Arial"/>
                <w:bCs/>
                <w:kern w:val="24"/>
                <w:sz w:val="20"/>
                <w:szCs w:val="20"/>
                <w:lang w:val="ro-RO" w:eastAsia="ro-RO"/>
              </w:rPr>
              <w:t xml:space="preserve"> SR EN ISO 9001</w:t>
            </w:r>
            <w:r w:rsidRPr="0037604E">
              <w:rPr>
                <w:rFonts w:ascii="Cambria" w:eastAsia="Times New Roman" w:hAnsi="Cambria" w:cs="Arial"/>
                <w:bCs/>
                <w:kern w:val="24"/>
                <w:sz w:val="20"/>
                <w:szCs w:val="20"/>
                <w:lang w:eastAsia="ro-RO"/>
              </w:rPr>
              <w:t xml:space="preserve">:2015 </w:t>
            </w:r>
            <w:r w:rsidRPr="0037604E">
              <w:rPr>
                <w:rFonts w:ascii="Cambria" w:eastAsia="Times New Roman" w:hAnsi="Cambria" w:cs="Arial"/>
                <w:bCs/>
                <w:kern w:val="24"/>
                <w:sz w:val="20"/>
                <w:szCs w:val="20"/>
                <w:lang w:val="ro-RO" w:eastAsia="ro-RO"/>
              </w:rPr>
              <w:t>and PS 01 SMI.</w:t>
            </w:r>
          </w:p>
        </w:tc>
      </w:tr>
      <w:tr w:rsidR="0037604E" w:rsidRPr="0037604E" w:rsidTr="0037604E">
        <w:trPr>
          <w:trHeight w:val="254"/>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37604E">
            <w:pPr>
              <w:tabs>
                <w:tab w:val="left" w:pos="496"/>
              </w:tabs>
              <w:spacing w:after="0" w:line="240" w:lineRule="auto"/>
              <w:ind w:firstLine="0"/>
              <w:contextualSpacing/>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CONTROL ACTIVITIES</w:t>
            </w: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r>
      <w:tr w:rsidR="0037604E" w:rsidRPr="0037604E" w:rsidTr="0037604E">
        <w:trPr>
          <w:trHeight w:val="174"/>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9</w:t>
            </w:r>
            <w:r w:rsidRPr="0037604E">
              <w:rPr>
                <w:rFonts w:ascii="Cambria" w:eastAsia="Times New Roman" w:hAnsi="Cambria" w:cs="Arial"/>
                <w:bCs/>
                <w:kern w:val="24"/>
                <w:sz w:val="20"/>
                <w:szCs w:val="20"/>
                <w:lang w:eastAsia="ro-RO"/>
              </w:rPr>
              <w:t xml:space="preserve"> - Procedures</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rPr>
                <w:rFonts w:ascii="Cambria" w:eastAsia="Times New Roman" w:hAnsi="Cambria" w:cs="Times New Roman"/>
                <w:sz w:val="20"/>
                <w:szCs w:val="20"/>
                <w:lang w:val="ro-RO" w:eastAsia="ro-RO"/>
              </w:rPr>
            </w:pPr>
          </w:p>
        </w:tc>
      </w:tr>
      <w:tr w:rsidR="0037604E" w:rsidRPr="0037604E" w:rsidTr="0037604E">
        <w:trPr>
          <w:trHeight w:val="37"/>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10</w:t>
            </w:r>
            <w:r w:rsidRPr="0037604E">
              <w:rPr>
                <w:rFonts w:ascii="Cambria" w:eastAsia="Times New Roman" w:hAnsi="Cambria" w:cs="Arial"/>
                <w:bCs/>
                <w:kern w:val="24"/>
                <w:sz w:val="20"/>
                <w:szCs w:val="20"/>
                <w:lang w:eastAsia="ro-RO"/>
              </w:rPr>
              <w:t xml:space="preserve"> - Surveillance</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112"/>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11</w:t>
            </w:r>
            <w:r w:rsidRPr="0037604E">
              <w:rPr>
                <w:rFonts w:ascii="Cambria" w:eastAsia="Times New Roman" w:hAnsi="Cambria" w:cs="Arial"/>
                <w:bCs/>
                <w:kern w:val="24"/>
                <w:sz w:val="20"/>
                <w:szCs w:val="20"/>
                <w:lang w:eastAsia="ro-RO"/>
              </w:rPr>
              <w:t xml:space="preserve"> – Continuity of activity</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103"/>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FA6EB9">
            <w:pPr>
              <w:numPr>
                <w:ilvl w:val="0"/>
                <w:numId w:val="170"/>
              </w:numPr>
              <w:spacing w:after="0" w:line="240" w:lineRule="auto"/>
              <w:ind w:hanging="141"/>
              <w:contextualSpacing/>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INFORMATION AND COMMUNICATION</w:t>
            </w: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386"/>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12</w:t>
            </w:r>
            <w:r w:rsidRPr="0037604E">
              <w:rPr>
                <w:rFonts w:ascii="Cambria" w:eastAsia="Times New Roman" w:hAnsi="Cambria" w:cs="Arial"/>
                <w:bCs/>
                <w:kern w:val="24"/>
                <w:sz w:val="20"/>
                <w:szCs w:val="20"/>
                <w:lang w:eastAsia="ro-RO"/>
              </w:rPr>
              <w:t xml:space="preserve"> – Information and communication</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312"/>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 </w:t>
            </w:r>
            <w:r w:rsidRPr="0037604E">
              <w:rPr>
                <w:rFonts w:ascii="Cambria" w:eastAsia="Times New Roman" w:hAnsi="Cambria" w:cs="Arial"/>
                <w:b/>
                <w:bCs/>
                <w:kern w:val="24"/>
                <w:sz w:val="20"/>
                <w:szCs w:val="20"/>
                <w:lang w:eastAsia="ro-RO"/>
              </w:rPr>
              <w:t xml:space="preserve">13 </w:t>
            </w:r>
            <w:r w:rsidRPr="0037604E">
              <w:rPr>
                <w:rFonts w:ascii="Cambria" w:eastAsia="Times New Roman" w:hAnsi="Cambria" w:cs="Arial"/>
                <w:bCs/>
                <w:kern w:val="24"/>
                <w:sz w:val="20"/>
                <w:szCs w:val="20"/>
                <w:lang w:eastAsia="ro-RO"/>
              </w:rPr>
              <w:t>– Documentation management</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88"/>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Standardul </w:t>
            </w:r>
            <w:r w:rsidRPr="0037604E">
              <w:rPr>
                <w:rFonts w:ascii="Cambria" w:eastAsia="Times New Roman" w:hAnsi="Cambria" w:cs="Arial"/>
                <w:b/>
                <w:bCs/>
                <w:kern w:val="24"/>
                <w:sz w:val="20"/>
                <w:szCs w:val="20"/>
                <w:lang w:val="it-IT" w:eastAsia="ro-RO"/>
              </w:rPr>
              <w:t>14</w:t>
            </w:r>
            <w:r w:rsidRPr="0037604E">
              <w:rPr>
                <w:rFonts w:ascii="Cambria" w:eastAsia="Times New Roman" w:hAnsi="Cambria" w:cs="Arial"/>
                <w:bCs/>
                <w:kern w:val="24"/>
                <w:sz w:val="20"/>
                <w:szCs w:val="20"/>
                <w:lang w:val="it-IT" w:eastAsia="ro-RO"/>
              </w:rPr>
              <w:t xml:space="preserve"> – Accounting and financial reporting</w:t>
            </w:r>
          </w:p>
        </w:tc>
        <w:tc>
          <w:tcPr>
            <w:tcW w:w="863" w:type="dxa"/>
            <w:shd w:val="clear" w:color="auto" w:fill="auto"/>
            <w:tcMar>
              <w:top w:w="8" w:type="dxa"/>
              <w:left w:w="8" w:type="dxa"/>
              <w:bottom w:w="0" w:type="dxa"/>
              <w:right w:w="8" w:type="dxa"/>
            </w:tcMar>
            <w:hideMark/>
          </w:tcPr>
          <w:p w:rsidR="0037604E" w:rsidRPr="0037604E" w:rsidRDefault="0037604E" w:rsidP="0037604E">
            <w:pPr>
              <w:spacing w:after="0" w:line="240" w:lineRule="auto"/>
              <w:jc w:val="cente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64"/>
          <w:tblCellSpacing w:w="20" w:type="dxa"/>
          <w:jc w:val="center"/>
        </w:trPr>
        <w:tc>
          <w:tcPr>
            <w:tcW w:w="4913" w:type="dxa"/>
            <w:shd w:val="clear" w:color="auto" w:fill="D6E0F4"/>
            <w:tcMar>
              <w:top w:w="8" w:type="dxa"/>
              <w:left w:w="8" w:type="dxa"/>
              <w:bottom w:w="0" w:type="dxa"/>
              <w:right w:w="8" w:type="dxa"/>
            </w:tcMar>
            <w:vAlign w:val="center"/>
            <w:hideMark/>
          </w:tcPr>
          <w:p w:rsidR="0037604E" w:rsidRPr="0037604E" w:rsidRDefault="0037604E" w:rsidP="00FA6EB9">
            <w:pPr>
              <w:numPr>
                <w:ilvl w:val="0"/>
                <w:numId w:val="170"/>
              </w:numPr>
              <w:spacing w:after="0" w:line="240" w:lineRule="auto"/>
              <w:ind w:hanging="141"/>
              <w:contextualSpacing/>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AUDIT AND ASSESSMENT</w:t>
            </w:r>
          </w:p>
        </w:tc>
        <w:tc>
          <w:tcPr>
            <w:tcW w:w="863"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819"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D6E0F4"/>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30"/>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val="it-IT" w:eastAsia="ro-RO"/>
              </w:rPr>
              <w:t xml:space="preserve">Standardul </w:t>
            </w:r>
            <w:r w:rsidRPr="0037604E">
              <w:rPr>
                <w:rFonts w:ascii="Cambria" w:eastAsia="Times New Roman" w:hAnsi="Cambria" w:cs="Arial"/>
                <w:b/>
                <w:bCs/>
                <w:kern w:val="24"/>
                <w:sz w:val="20"/>
                <w:szCs w:val="20"/>
                <w:lang w:val="it-IT" w:eastAsia="ro-RO"/>
              </w:rPr>
              <w:t>15</w:t>
            </w:r>
            <w:r w:rsidRPr="0037604E">
              <w:rPr>
                <w:rFonts w:ascii="Cambria" w:eastAsia="Times New Roman" w:hAnsi="Cambria" w:cs="Arial"/>
                <w:bCs/>
                <w:kern w:val="24"/>
                <w:sz w:val="20"/>
                <w:szCs w:val="20"/>
                <w:lang w:val="it-IT" w:eastAsia="ro-RO"/>
              </w:rPr>
              <w:t xml:space="preserve"> – Internal/management control assessment</w:t>
            </w:r>
          </w:p>
        </w:tc>
        <w:tc>
          <w:tcPr>
            <w:tcW w:w="86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r w:rsidR="0037604E" w:rsidRPr="0037604E" w:rsidTr="0037604E">
        <w:trPr>
          <w:trHeight w:val="274"/>
          <w:tblCellSpacing w:w="20" w:type="dxa"/>
          <w:jc w:val="center"/>
        </w:trPr>
        <w:tc>
          <w:tcPr>
            <w:tcW w:w="491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Cs/>
                <w:kern w:val="24"/>
                <w:sz w:val="20"/>
                <w:szCs w:val="20"/>
                <w:lang w:eastAsia="ro-RO"/>
              </w:rPr>
              <w:t xml:space="preserve">Standardul </w:t>
            </w:r>
            <w:r w:rsidRPr="0037604E">
              <w:rPr>
                <w:rFonts w:ascii="Cambria" w:eastAsia="Times New Roman" w:hAnsi="Cambria" w:cs="Arial"/>
                <w:b/>
                <w:bCs/>
                <w:kern w:val="24"/>
                <w:sz w:val="20"/>
                <w:szCs w:val="20"/>
                <w:lang w:eastAsia="ro-RO"/>
              </w:rPr>
              <w:t>16</w:t>
            </w:r>
            <w:r w:rsidRPr="0037604E">
              <w:rPr>
                <w:rFonts w:ascii="Cambria" w:eastAsia="Times New Roman" w:hAnsi="Cambria" w:cs="Arial"/>
                <w:bCs/>
                <w:kern w:val="24"/>
                <w:sz w:val="20"/>
                <w:szCs w:val="20"/>
                <w:lang w:eastAsia="ro-RO"/>
              </w:rPr>
              <w:t xml:space="preserve"> – Internal audit</w:t>
            </w:r>
          </w:p>
        </w:tc>
        <w:tc>
          <w:tcPr>
            <w:tcW w:w="863"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r w:rsidRPr="0037604E">
              <w:rPr>
                <w:rFonts w:ascii="Cambria" w:eastAsia="Times New Roman" w:hAnsi="Cambria" w:cs="Arial"/>
                <w:b/>
                <w:bCs/>
                <w:kern w:val="24"/>
                <w:sz w:val="20"/>
                <w:szCs w:val="20"/>
                <w:lang w:eastAsia="ro-RO"/>
              </w:rPr>
              <w:t>YES</w:t>
            </w:r>
          </w:p>
        </w:tc>
        <w:tc>
          <w:tcPr>
            <w:tcW w:w="819"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c>
          <w:tcPr>
            <w:tcW w:w="2617" w:type="dxa"/>
            <w:shd w:val="clear" w:color="auto" w:fill="auto"/>
            <w:tcMar>
              <w:top w:w="8" w:type="dxa"/>
              <w:left w:w="8" w:type="dxa"/>
              <w:bottom w:w="0" w:type="dxa"/>
              <w:right w:w="8" w:type="dxa"/>
            </w:tcMar>
            <w:vAlign w:val="center"/>
            <w:hideMark/>
          </w:tcPr>
          <w:p w:rsidR="0037604E" w:rsidRPr="0037604E" w:rsidRDefault="0037604E" w:rsidP="0037604E">
            <w:pPr>
              <w:spacing w:after="0" w:line="240" w:lineRule="auto"/>
              <w:ind w:firstLine="0"/>
              <w:jc w:val="center"/>
              <w:textAlignment w:val="bottom"/>
              <w:rPr>
                <w:rFonts w:ascii="Cambria" w:eastAsia="Times New Roman" w:hAnsi="Cambria" w:cs="Arial"/>
                <w:sz w:val="20"/>
                <w:szCs w:val="20"/>
                <w:lang w:val="ro-RO" w:eastAsia="ro-RO"/>
              </w:rPr>
            </w:pP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ro-RO"/>
        </w:rPr>
      </w:pPr>
      <w:r w:rsidRPr="0037604E">
        <w:rPr>
          <w:rFonts w:ascii="Cambria" w:eastAsia="Times New Roman" w:hAnsi="Cambria" w:cs="Times New Roman"/>
          <w:b/>
          <w:i/>
          <w:sz w:val="16"/>
          <w:szCs w:val="16"/>
          <w:lang w:val="ro-RO"/>
        </w:rPr>
        <w:t>Table 3</w:t>
      </w:r>
      <w:r w:rsidR="00F47A26">
        <w:rPr>
          <w:rFonts w:ascii="Cambria" w:eastAsia="Times New Roman" w:hAnsi="Cambria" w:cs="Times New Roman"/>
          <w:b/>
          <w:i/>
          <w:sz w:val="16"/>
          <w:szCs w:val="16"/>
          <w:lang w:val="ro-RO"/>
        </w:rPr>
        <w:t>3</w:t>
      </w:r>
      <w:r w:rsidRPr="0037604E">
        <w:rPr>
          <w:rFonts w:ascii="Cambria" w:eastAsia="Times New Roman" w:hAnsi="Cambria" w:cs="Times New Roman"/>
          <w:b/>
          <w:i/>
          <w:sz w:val="16"/>
          <w:szCs w:val="16"/>
          <w:lang w:val="ro-RO"/>
        </w:rPr>
        <w:t>- Measures set to implement the PI standards</w:t>
      </w:r>
    </w:p>
    <w:p w:rsidR="0037604E" w:rsidRPr="0037604E" w:rsidRDefault="0037604E" w:rsidP="0037604E">
      <w:pPr>
        <w:spacing w:after="0" w:line="240" w:lineRule="auto"/>
        <w:ind w:firstLine="0"/>
        <w:jc w:val="center"/>
        <w:rPr>
          <w:rFonts w:asciiTheme="majorHAnsi" w:eastAsia="Times New Roman" w:hAnsiTheme="majorHAnsi" w:cs="Times New Roman"/>
          <w:b/>
          <w:sz w:val="24"/>
          <w:szCs w:val="24"/>
          <w:lang w:val="ro-RO"/>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lastRenderedPageBreak/>
        <w:t xml:space="preserve">In 2016 the following actions were taken to comply with </w:t>
      </w:r>
      <w:r w:rsidRPr="00ED4E8C">
        <w:rPr>
          <w:rFonts w:asciiTheme="majorHAnsi" w:hAnsiTheme="majorHAnsi" w:cs="Arial"/>
          <w:b/>
          <w:sz w:val="24"/>
          <w:szCs w:val="24"/>
          <w:lang w:val="en"/>
        </w:rPr>
        <w:t>GSG Order 200/2016 supplementing GSG Order 400/</w:t>
      </w:r>
      <w:r w:rsidR="00ED4E8C">
        <w:rPr>
          <w:rFonts w:asciiTheme="majorHAnsi" w:hAnsiTheme="majorHAnsi" w:cs="Arial"/>
          <w:b/>
          <w:sz w:val="24"/>
          <w:szCs w:val="24"/>
          <w:lang w:val="en"/>
        </w:rPr>
        <w:t>2015</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63"/>
        </w:numPr>
        <w:autoSpaceDE w:val="0"/>
        <w:autoSpaceDN w:val="0"/>
        <w:adjustRightInd w:val="0"/>
        <w:spacing w:after="0" w:line="240" w:lineRule="auto"/>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
        </w:rPr>
        <w:t>it was updated and developed Decision 519/19.07.2016 on the establishment of the Committee for monitoring, coordination and methodological guidance for the implementation and development of internal/management control of Transgaz SA</w:t>
      </w:r>
      <w:r w:rsidRPr="0037604E">
        <w:rPr>
          <w:rFonts w:asciiTheme="majorHAnsi" w:eastAsia="Calibri" w:hAnsiTheme="majorHAnsi" w:cs="Times New Roman"/>
          <w:sz w:val="24"/>
          <w:szCs w:val="24"/>
          <w:lang w:val="it-IT" w:eastAsia="en-US"/>
        </w:rPr>
        <w:t>;</w:t>
      </w:r>
    </w:p>
    <w:p w:rsidR="0037604E" w:rsidRPr="0037604E" w:rsidRDefault="0037604E" w:rsidP="00FA6EB9">
      <w:pPr>
        <w:numPr>
          <w:ilvl w:val="0"/>
          <w:numId w:val="163"/>
        </w:numPr>
        <w:spacing w:after="0" w:line="240" w:lineRule="auto"/>
        <w:contextualSpacing/>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
        </w:rPr>
        <w:t>it was developed Decision 518/19.07.2016 on the establishment of Risk Management Team within Transgaz SA, according to GSG Order 400/2015 of 12.06.2015 amended and supplemented by GSG Order 200/2016</w:t>
      </w:r>
      <w:r w:rsidRPr="0037604E">
        <w:rPr>
          <w:rFonts w:asciiTheme="majorHAnsi" w:eastAsia="Calibri" w:hAnsiTheme="majorHAnsi" w:cs="Times New Roman"/>
          <w:sz w:val="24"/>
          <w:szCs w:val="24"/>
          <w:lang w:val="en-GB" w:eastAsia="en-US"/>
        </w:rPr>
        <w:t>;</w:t>
      </w:r>
    </w:p>
    <w:p w:rsidR="0037604E" w:rsidRPr="0037604E" w:rsidRDefault="0037604E" w:rsidP="00FA6EB9">
      <w:pPr>
        <w:numPr>
          <w:ilvl w:val="0"/>
          <w:numId w:val="163"/>
        </w:numPr>
        <w:spacing w:after="0" w:line="240" w:lineRule="auto"/>
        <w:contextualSpacing/>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
        </w:rPr>
        <w:t>It was developed Decision 548 of 26.07.2016 on the appointment of SCI/M responsible persons within Transgaz SA</w:t>
      </w:r>
      <w:r w:rsidRPr="0037604E">
        <w:rPr>
          <w:rFonts w:asciiTheme="majorHAnsi" w:eastAsia="Calibri" w:hAnsiTheme="majorHAnsi" w:cs="Times New Roman"/>
          <w:sz w:val="24"/>
          <w:szCs w:val="24"/>
          <w:lang w:val="en-GB" w:eastAsia="en-US"/>
        </w:rPr>
        <w:t>;</w:t>
      </w:r>
    </w:p>
    <w:p w:rsidR="0037604E" w:rsidRPr="0037604E" w:rsidRDefault="0037604E" w:rsidP="00FA6EB9">
      <w:pPr>
        <w:numPr>
          <w:ilvl w:val="0"/>
          <w:numId w:val="163"/>
        </w:numPr>
        <w:autoSpaceDE w:val="0"/>
        <w:autoSpaceDN w:val="0"/>
        <w:adjustRightInd w:val="0"/>
        <w:spacing w:after="0" w:line="240" w:lineRule="auto"/>
        <w:jc w:val="both"/>
        <w:rPr>
          <w:rFonts w:asciiTheme="majorHAnsi" w:eastAsia="Calibri" w:hAnsiTheme="majorHAnsi" w:cs="Times New Roman"/>
          <w:bCs/>
          <w:sz w:val="24"/>
          <w:szCs w:val="24"/>
          <w:lang w:val="en-GB" w:eastAsia="en-US"/>
        </w:rPr>
      </w:pPr>
      <w:r w:rsidRPr="0037604E">
        <w:rPr>
          <w:rFonts w:asciiTheme="majorHAnsi" w:hAnsiTheme="majorHAnsi" w:cs="Arial"/>
          <w:sz w:val="24"/>
          <w:szCs w:val="24"/>
          <w:lang w:val="en"/>
        </w:rPr>
        <w:t xml:space="preserve">It was approved the </w:t>
      </w:r>
      <w:r w:rsidRPr="0037604E">
        <w:rPr>
          <w:rFonts w:asciiTheme="majorHAnsi" w:eastAsia="Calibri" w:hAnsiTheme="majorHAnsi" w:cs="Times New Roman"/>
          <w:sz w:val="24"/>
          <w:szCs w:val="24"/>
          <w:lang w:val="en-GB" w:eastAsia="en-US"/>
        </w:rPr>
        <w:t xml:space="preserve">2016 </w:t>
      </w:r>
      <w:r w:rsidRPr="0037604E">
        <w:rPr>
          <w:rFonts w:asciiTheme="majorHAnsi" w:hAnsiTheme="majorHAnsi" w:cs="Arial"/>
          <w:sz w:val="24"/>
          <w:szCs w:val="24"/>
          <w:lang w:val="en"/>
        </w:rPr>
        <w:t xml:space="preserve">Plan for the implementation of the standards set by GSG Order 400/2015 on </w:t>
      </w:r>
      <w:r w:rsidRPr="0037604E">
        <w:rPr>
          <w:rFonts w:asciiTheme="majorHAnsi" w:eastAsia="Times New Roman" w:hAnsiTheme="majorHAnsi" w:cs="Times New Roman"/>
          <w:sz w:val="24"/>
          <w:szCs w:val="24"/>
          <w:lang w:val="ro-RO" w:eastAsia="en-US"/>
        </w:rPr>
        <w:t xml:space="preserve">the approval of the </w:t>
      </w:r>
      <w:r w:rsidRPr="0037604E">
        <w:rPr>
          <w:rFonts w:asciiTheme="majorHAnsi" w:hAnsiTheme="majorHAnsi" w:cs="Arial"/>
          <w:sz w:val="24"/>
          <w:szCs w:val="24"/>
          <w:lang w:val="en"/>
        </w:rPr>
        <w:t xml:space="preserve">Internal/Management Control Code of public entities </w:t>
      </w:r>
      <w:r w:rsidRPr="0037604E">
        <w:rPr>
          <w:rFonts w:asciiTheme="majorHAnsi" w:eastAsia="Times New Roman" w:hAnsiTheme="majorHAnsi" w:cs="Times New Roman"/>
          <w:sz w:val="24"/>
          <w:szCs w:val="24"/>
          <w:lang w:val="ro-RO" w:eastAsia="en-US"/>
        </w:rPr>
        <w:t>for th development of SCIM within</w:t>
      </w:r>
      <w:r w:rsidRPr="0037604E">
        <w:rPr>
          <w:rFonts w:asciiTheme="majorHAnsi" w:eastAsia="Calibri" w:hAnsiTheme="majorHAnsi" w:cs="Times New Roman"/>
          <w:sz w:val="24"/>
          <w:szCs w:val="24"/>
          <w:lang w:val="en-GB" w:eastAsia="en-US"/>
        </w:rPr>
        <w:t xml:space="preserve"> SNTGN Transgaz SA;</w:t>
      </w:r>
    </w:p>
    <w:p w:rsidR="0037604E" w:rsidRPr="0037604E" w:rsidRDefault="0037604E" w:rsidP="00FA6EB9">
      <w:pPr>
        <w:numPr>
          <w:ilvl w:val="0"/>
          <w:numId w:val="163"/>
        </w:numPr>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It was updated the </w:t>
      </w:r>
      <w:r w:rsidRPr="0037604E">
        <w:rPr>
          <w:rFonts w:asciiTheme="majorHAnsi" w:eastAsia="Calibri" w:hAnsiTheme="majorHAnsi" w:cs="Times New Roman"/>
          <w:sz w:val="24"/>
          <w:szCs w:val="24"/>
          <w:lang w:val="en-GB" w:eastAsia="en-US"/>
        </w:rPr>
        <w:t xml:space="preserve">2016 </w:t>
      </w:r>
      <w:r w:rsidRPr="0037604E">
        <w:rPr>
          <w:rFonts w:asciiTheme="majorHAnsi" w:hAnsiTheme="majorHAnsi" w:cs="Arial"/>
          <w:sz w:val="24"/>
          <w:szCs w:val="24"/>
          <w:lang w:val="en"/>
        </w:rPr>
        <w:t>Plan for the implementation of the standards set by GSG Order 400/2015</w:t>
      </w:r>
      <w:r w:rsidRPr="0037604E">
        <w:rPr>
          <w:rFonts w:asciiTheme="majorHAnsi" w:eastAsia="Calibri" w:hAnsiTheme="majorHAnsi" w:cs="Times New Roman"/>
          <w:sz w:val="24"/>
          <w:szCs w:val="24"/>
          <w:lang w:val="ro-RO" w:eastAsia="en-US"/>
        </w:rPr>
        <w:t>,</w:t>
      </w:r>
      <w:r w:rsidRPr="0037604E">
        <w:rPr>
          <w:rFonts w:asciiTheme="majorHAnsi" w:eastAsia="Times New Roman" w:hAnsiTheme="majorHAnsi" w:cs="Times New Roman"/>
          <w:sz w:val="24"/>
          <w:szCs w:val="24"/>
          <w:lang w:val="ro-RO" w:eastAsia="en-US"/>
        </w:rPr>
        <w:t xml:space="preserve"> as further amended and supplemented by GSG Order 200/2016 </w:t>
      </w:r>
      <w:r w:rsidRPr="0037604E">
        <w:rPr>
          <w:rFonts w:asciiTheme="majorHAnsi" w:eastAsia="Calibri" w:hAnsiTheme="majorHAnsi" w:cs="Times New Roman"/>
          <w:sz w:val="24"/>
          <w:szCs w:val="24"/>
          <w:lang w:val="ro-RO" w:eastAsia="en-US"/>
        </w:rPr>
        <w:t>on SCI/M development in Transgaz SA</w:t>
      </w:r>
      <w:r w:rsidRPr="0037604E">
        <w:rPr>
          <w:rFonts w:asciiTheme="majorHAnsi" w:eastAsia="Calibri" w:hAnsiTheme="majorHAnsi" w:cs="Times New Roman"/>
          <w:sz w:val="24"/>
          <w:szCs w:val="24"/>
          <w:lang w:val="en-GB" w:eastAsia="en-US"/>
        </w:rPr>
        <w:t>;</w:t>
      </w:r>
    </w:p>
    <w:p w:rsidR="0037604E" w:rsidRPr="0037604E" w:rsidRDefault="0037604E" w:rsidP="00FA6EB9">
      <w:pPr>
        <w:numPr>
          <w:ilvl w:val="0"/>
          <w:numId w:val="163"/>
        </w:numPr>
        <w:autoSpaceDE w:val="0"/>
        <w:autoSpaceDN w:val="0"/>
        <w:adjustRightInd w:val="0"/>
        <w:spacing w:after="0" w:line="240" w:lineRule="auto"/>
        <w:jc w:val="both"/>
        <w:rPr>
          <w:rFonts w:asciiTheme="majorHAnsi" w:eastAsia="Calibri" w:hAnsiTheme="majorHAnsi" w:cs="Times New Roman"/>
          <w:sz w:val="24"/>
          <w:szCs w:val="24"/>
          <w:lang w:val="en-GB" w:eastAsia="en-US"/>
        </w:rPr>
      </w:pPr>
      <w:r w:rsidRPr="0037604E">
        <w:rPr>
          <w:rFonts w:ascii="Arial" w:hAnsi="Arial" w:cs="Arial"/>
          <w:color w:val="222222"/>
          <w:lang w:val="en"/>
        </w:rPr>
        <w:t xml:space="preserve">The </w:t>
      </w:r>
      <w:r w:rsidRPr="0037604E">
        <w:rPr>
          <w:rFonts w:asciiTheme="majorHAnsi" w:hAnsiTheme="majorHAnsi" w:cs="Arial"/>
          <w:sz w:val="24"/>
          <w:szCs w:val="24"/>
          <w:lang w:val="en"/>
        </w:rPr>
        <w:t>procedure PP-106 Risk Management is under preparation according to</w:t>
      </w:r>
      <w:r w:rsidRPr="0037604E">
        <w:rPr>
          <w:rFonts w:asciiTheme="majorHAnsi" w:eastAsia="Calibri" w:hAnsiTheme="majorHAnsi" w:cs="Times New Roman"/>
          <w:sz w:val="24"/>
          <w:szCs w:val="24"/>
          <w:lang w:val="en-GB" w:eastAsia="en-US"/>
        </w:rPr>
        <w:t xml:space="preserve"> SR EN ISO 9001</w:t>
      </w:r>
      <w:r w:rsidRPr="0037604E">
        <w:rPr>
          <w:rFonts w:asciiTheme="majorHAnsi" w:eastAsia="Calibri" w:hAnsiTheme="majorHAnsi" w:cs="Times New Roman"/>
          <w:sz w:val="24"/>
          <w:szCs w:val="24"/>
          <w:lang w:eastAsia="en-US"/>
        </w:rPr>
        <w:t xml:space="preserve">:2015 </w:t>
      </w:r>
      <w:r w:rsidRPr="0037604E">
        <w:rPr>
          <w:rFonts w:asciiTheme="majorHAnsi" w:eastAsia="Calibri" w:hAnsiTheme="majorHAnsi" w:cs="Times New Roman"/>
          <w:sz w:val="24"/>
          <w:szCs w:val="24"/>
          <w:lang w:val="ro-RO" w:eastAsia="en-US"/>
        </w:rPr>
        <w:t>and PS 01 SMI</w:t>
      </w:r>
      <w:r w:rsidRPr="0037604E">
        <w:rPr>
          <w:rFonts w:asciiTheme="majorHAnsi" w:eastAsia="Calibri" w:hAnsiTheme="majorHAnsi" w:cs="Times New Roman"/>
          <w:sz w:val="24"/>
          <w:szCs w:val="24"/>
          <w:lang w:val="en-GB" w:eastAsia="en-US"/>
        </w:rPr>
        <w:t>;</w:t>
      </w:r>
      <w:r w:rsidRPr="0037604E">
        <w:rPr>
          <w:rFonts w:asciiTheme="majorHAnsi" w:eastAsia="Calibri" w:hAnsiTheme="majorHAnsi" w:cs="Times New Roman"/>
          <w:b/>
          <w:sz w:val="24"/>
          <w:szCs w:val="24"/>
          <w:lang w:val="en-GB" w:eastAsia="en-US"/>
        </w:rPr>
        <w:t xml:space="preserve"> </w:t>
      </w:r>
    </w:p>
    <w:p w:rsidR="0037604E" w:rsidRPr="0037604E" w:rsidRDefault="0037604E" w:rsidP="00FA6EB9">
      <w:pPr>
        <w:numPr>
          <w:ilvl w:val="0"/>
          <w:numId w:val="163"/>
        </w:numPr>
        <w:autoSpaceDE w:val="0"/>
        <w:autoSpaceDN w:val="0"/>
        <w:adjustRightInd w:val="0"/>
        <w:spacing w:after="0" w:line="240" w:lineRule="auto"/>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It was updated the Common Zone</w:t>
      </w:r>
      <w:r w:rsidRPr="0037604E">
        <w:rPr>
          <w:rFonts w:asciiTheme="majorHAnsi" w:eastAsia="Calibri" w:hAnsiTheme="majorHAnsi" w:cs="Times New Roman"/>
          <w:b/>
          <w:sz w:val="24"/>
          <w:szCs w:val="24"/>
          <w:lang w:val="it-IT" w:eastAsia="en-US"/>
        </w:rPr>
        <w:t xml:space="preserve"> (transgaz on intranet – ZoneInterDep – ControlIntern Managerial),</w:t>
      </w:r>
      <w:r w:rsidRPr="0037604E">
        <w:rPr>
          <w:rFonts w:asciiTheme="majorHAnsi" w:eastAsia="Calibri" w:hAnsiTheme="majorHAnsi" w:cs="Times New Roman"/>
          <w:sz w:val="24"/>
          <w:szCs w:val="24"/>
          <w:lang w:val="it-IT" w:eastAsia="en-US"/>
        </w:rPr>
        <w:t xml:space="preserve"> </w:t>
      </w:r>
      <w:r w:rsidRPr="0037604E">
        <w:rPr>
          <w:rFonts w:asciiTheme="majorHAnsi" w:hAnsiTheme="majorHAnsi" w:cs="Arial"/>
          <w:sz w:val="24"/>
          <w:szCs w:val="24"/>
          <w:lang w:val="en"/>
        </w:rPr>
        <w:t>with limited access of members of the Commission appointed by decision and of the responsible persons by division/unit/subsidiary/regional officeThis area was created to achieve a rapid and efficient communication on developing all necessary supporting documents demonstrating SCIM implementation in all company sectors;</w:t>
      </w:r>
    </w:p>
    <w:p w:rsidR="0037604E" w:rsidRPr="0037604E" w:rsidRDefault="0037604E" w:rsidP="00FA6EB9">
      <w:pPr>
        <w:numPr>
          <w:ilvl w:val="0"/>
          <w:numId w:val="163"/>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w:t>
      </w:r>
      <w:r w:rsidRPr="0037604E">
        <w:rPr>
          <w:rFonts w:asciiTheme="majorHAnsi" w:hAnsiTheme="majorHAnsi" w:cs="Arial"/>
          <w:sz w:val="24"/>
          <w:szCs w:val="24"/>
          <w:lang w:val="en"/>
        </w:rPr>
        <w:t>procedural activities</w:t>
      </w:r>
      <w:r w:rsidRPr="0037604E">
        <w:rPr>
          <w:rFonts w:asciiTheme="majorHAnsi" w:eastAsia="Calibri" w:hAnsiTheme="majorHAnsi" w:cs="Times New Roman"/>
          <w:sz w:val="24"/>
          <w:szCs w:val="24"/>
          <w:lang w:val="ro-RO" w:eastAsia="en-US"/>
        </w:rPr>
        <w:t xml:space="preserve"> – 184 - and the </w:t>
      </w:r>
      <w:r w:rsidRPr="0037604E">
        <w:rPr>
          <w:rFonts w:asciiTheme="majorHAnsi" w:hAnsiTheme="majorHAnsi" w:cs="Arial"/>
          <w:sz w:val="24"/>
          <w:szCs w:val="24"/>
          <w:lang w:val="en"/>
        </w:rPr>
        <w:t xml:space="preserve">system and process procedures – </w:t>
      </w:r>
      <w:r w:rsidRPr="0037604E">
        <w:rPr>
          <w:rFonts w:asciiTheme="majorHAnsi" w:eastAsia="Calibri" w:hAnsiTheme="majorHAnsi" w:cs="Times New Roman"/>
          <w:sz w:val="24"/>
          <w:szCs w:val="24"/>
          <w:lang w:val="ro-RO" w:eastAsia="en-US"/>
        </w:rPr>
        <w:t xml:space="preserve">158 - </w:t>
      </w:r>
      <w:r w:rsidRPr="0037604E">
        <w:rPr>
          <w:rFonts w:asciiTheme="majorHAnsi" w:hAnsiTheme="majorHAnsi" w:cs="Arial"/>
          <w:sz w:val="24"/>
          <w:szCs w:val="24"/>
          <w:lang w:val="en"/>
        </w:rPr>
        <w:t>developed at</w:t>
      </w:r>
      <w:r w:rsidRPr="0037604E">
        <w:rPr>
          <w:rFonts w:asciiTheme="majorHAnsi" w:eastAsia="Calibri" w:hAnsiTheme="majorHAnsi" w:cs="Times New Roman"/>
          <w:sz w:val="24"/>
          <w:szCs w:val="24"/>
          <w:lang w:val="ro-RO" w:eastAsia="en-US"/>
        </w:rPr>
        <w:t xml:space="preserve"> 31.12.2016- </w:t>
      </w:r>
      <w:r w:rsidRPr="0037604E">
        <w:rPr>
          <w:rFonts w:asciiTheme="majorHAnsi" w:hAnsiTheme="majorHAnsi" w:cs="Arial"/>
          <w:sz w:val="24"/>
          <w:szCs w:val="24"/>
          <w:lang w:val="en"/>
        </w:rPr>
        <w:t xml:space="preserve">within Transgaz were inventoried </w:t>
      </w:r>
      <w:r w:rsidRPr="0037604E">
        <w:rPr>
          <w:rFonts w:asciiTheme="majorHAnsi" w:eastAsia="Calibri" w:hAnsiTheme="majorHAnsi" w:cs="Times New Roman"/>
          <w:sz w:val="24"/>
          <w:szCs w:val="24"/>
          <w:lang w:val="ro-RO" w:eastAsia="en-US"/>
        </w:rPr>
        <w:t>on 31.12.2016,;</w:t>
      </w:r>
    </w:p>
    <w:p w:rsidR="0037604E" w:rsidRPr="0037604E" w:rsidRDefault="0037604E" w:rsidP="00FA6EB9">
      <w:pPr>
        <w:numPr>
          <w:ilvl w:val="0"/>
          <w:numId w:val="163"/>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Th performance indicators associated to activities and specific targets were set by division, units the Black Sea PMU, less IT and Communication Division;</w:t>
      </w:r>
    </w:p>
    <w:p w:rsidR="0037604E" w:rsidRPr="0037604E" w:rsidRDefault="0037604E" w:rsidP="00FA6EB9">
      <w:pPr>
        <w:numPr>
          <w:ilvl w:val="0"/>
          <w:numId w:val="163"/>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It was developed and updated the Company Risk Register and the Plan of Measures for Minimizing Risk</w:t>
      </w:r>
      <w:r w:rsidR="00ED4E8C">
        <w:rPr>
          <w:rFonts w:asciiTheme="majorHAnsi" w:hAnsiTheme="majorHAnsi" w:cs="Arial"/>
          <w:sz w:val="24"/>
          <w:szCs w:val="24"/>
          <w:lang w:val="en"/>
        </w:rPr>
        <w:t>s</w:t>
      </w:r>
      <w:r w:rsidRPr="0037604E">
        <w:rPr>
          <w:rFonts w:asciiTheme="majorHAnsi" w:hAnsiTheme="majorHAnsi" w:cs="Arial"/>
          <w:sz w:val="24"/>
          <w:szCs w:val="24"/>
          <w:lang w:val="en"/>
        </w:rPr>
        <w:t xml:space="preserve"> for escalated risks</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63"/>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It was held the meeting of the SCI/M monitoring and implementation Commission, with the following agenda</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information on the status of implementation and development of SCI/M in Transgaz SA on 30.06.2016</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presentation Transgaz SCI/M structure in accordance with GSG Order 400/2015</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
        </w:rPr>
        <w:t>as further amended and supplemented by GSG Order 200/2016 on Internal Control Code, and approval of</w:t>
      </w:r>
      <w:r w:rsidRPr="0037604E">
        <w:rPr>
          <w:rFonts w:asciiTheme="majorHAnsi" w:eastAsia="Calibri" w:hAnsiTheme="majorHAnsi" w:cs="Times New Roman"/>
          <w:sz w:val="24"/>
          <w:szCs w:val="24"/>
          <w:lang w:val="ro-RO" w:eastAsia="en-US"/>
        </w:rPr>
        <w:t xml:space="preserve"> SCI/M Transgaz organisational chart;</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Transgaz SA monitoring and operational risk management report</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approval of letter on the 2016SCI / M self-assessment process for completion of Self-assessment Questionnaire for 2016</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presentation of the key element - Control Environment - and related standards:</w:t>
      </w:r>
      <w:r w:rsidRPr="0037604E">
        <w:rPr>
          <w:rFonts w:asciiTheme="majorHAnsi" w:eastAsia="Calibri" w:hAnsiTheme="majorHAnsi" w:cs="Times New Roman"/>
          <w:sz w:val="24"/>
          <w:szCs w:val="24"/>
          <w:lang w:eastAsia="en-US"/>
        </w:rPr>
        <w:t xml:space="preserve"> </w:t>
      </w:r>
      <w:r w:rsidRPr="0037604E">
        <w:rPr>
          <w:rFonts w:asciiTheme="majorHAnsi" w:eastAsia="Times New Roman" w:hAnsiTheme="majorHAnsi" w:cs="Arial"/>
          <w:bCs/>
          <w:kern w:val="24"/>
          <w:sz w:val="24"/>
          <w:szCs w:val="24"/>
          <w:lang w:eastAsia="ro-RO"/>
        </w:rPr>
        <w:t xml:space="preserve">Standard 1 - </w:t>
      </w:r>
      <w:r w:rsidRPr="0037604E">
        <w:rPr>
          <w:rFonts w:asciiTheme="majorHAnsi" w:hAnsiTheme="majorHAnsi"/>
          <w:sz w:val="24"/>
          <w:szCs w:val="24"/>
          <w:lang w:val="en"/>
        </w:rPr>
        <w:t>Ethics and integrity</w:t>
      </w:r>
      <w:r w:rsidRPr="0037604E">
        <w:rPr>
          <w:rFonts w:asciiTheme="majorHAnsi" w:eastAsia="Calibri" w:hAnsiTheme="majorHAnsi" w:cs="Times New Roman"/>
          <w:sz w:val="24"/>
          <w:szCs w:val="24"/>
          <w:lang w:eastAsia="en-US"/>
        </w:rPr>
        <w:t xml:space="preserve">, </w:t>
      </w:r>
      <w:r w:rsidRPr="0037604E">
        <w:rPr>
          <w:rFonts w:asciiTheme="majorHAnsi" w:eastAsia="Times New Roman" w:hAnsiTheme="majorHAnsi" w:cs="Arial"/>
          <w:bCs/>
          <w:kern w:val="24"/>
          <w:sz w:val="24"/>
          <w:szCs w:val="24"/>
          <w:lang w:val="it-IT" w:eastAsia="ro-RO"/>
        </w:rPr>
        <w:t>Standard 2 – Responsibilities, positions and tasks</w:t>
      </w:r>
      <w:r w:rsidRPr="0037604E">
        <w:rPr>
          <w:rFonts w:asciiTheme="majorHAnsi" w:eastAsia="Calibri" w:hAnsiTheme="majorHAnsi" w:cs="Times New Roman"/>
          <w:sz w:val="24"/>
          <w:szCs w:val="24"/>
          <w:lang w:eastAsia="en-US"/>
        </w:rPr>
        <w:t xml:space="preserve">, </w:t>
      </w:r>
      <w:r w:rsidRPr="0037604E">
        <w:rPr>
          <w:rFonts w:asciiTheme="majorHAnsi" w:eastAsia="Times New Roman" w:hAnsiTheme="majorHAnsi" w:cs="Arial"/>
          <w:bCs/>
          <w:kern w:val="24"/>
          <w:sz w:val="24"/>
          <w:szCs w:val="24"/>
          <w:lang w:val="it-IT" w:eastAsia="ro-RO"/>
        </w:rPr>
        <w:t xml:space="preserve">Standard </w:t>
      </w:r>
      <w:r w:rsidRPr="0037604E">
        <w:rPr>
          <w:rFonts w:asciiTheme="majorHAnsi" w:eastAsia="Times New Roman" w:hAnsiTheme="majorHAnsi" w:cs="Arial"/>
          <w:bCs/>
          <w:kern w:val="24"/>
          <w:sz w:val="24"/>
          <w:szCs w:val="24"/>
          <w:lang w:eastAsia="ro-RO"/>
        </w:rPr>
        <w:t>3 – Competence, performance</w:t>
      </w:r>
      <w:r w:rsidRPr="0037604E">
        <w:rPr>
          <w:rFonts w:asciiTheme="majorHAnsi" w:eastAsia="Calibri" w:hAnsiTheme="majorHAnsi" w:cs="Times New Roman"/>
          <w:sz w:val="24"/>
          <w:szCs w:val="24"/>
          <w:lang w:val="ro-RO" w:eastAsia="en-US"/>
        </w:rPr>
        <w:t xml:space="preserve"> an </w:t>
      </w:r>
      <w:r w:rsidRPr="0037604E">
        <w:rPr>
          <w:rFonts w:asciiTheme="majorHAnsi" w:eastAsia="Times New Roman" w:hAnsiTheme="majorHAnsi" w:cs="Arial"/>
          <w:bCs/>
          <w:kern w:val="24"/>
          <w:sz w:val="24"/>
          <w:szCs w:val="24"/>
          <w:lang w:val="it-IT" w:eastAsia="ro-RO"/>
        </w:rPr>
        <w:t xml:space="preserve">Standard </w:t>
      </w:r>
      <w:r w:rsidRPr="0037604E">
        <w:rPr>
          <w:rFonts w:asciiTheme="majorHAnsi" w:eastAsia="Times New Roman" w:hAnsiTheme="majorHAnsi" w:cs="Arial"/>
          <w:bCs/>
          <w:kern w:val="24"/>
          <w:sz w:val="24"/>
          <w:szCs w:val="24"/>
          <w:lang w:eastAsia="ro-RO"/>
        </w:rPr>
        <w:t>4 – Organizational structure</w:t>
      </w:r>
      <w:r w:rsidRPr="0037604E">
        <w:rPr>
          <w:rFonts w:asciiTheme="majorHAnsi" w:eastAsia="Calibri" w:hAnsiTheme="majorHAnsi" w:cs="Times New Roman"/>
          <w:sz w:val="24"/>
          <w:szCs w:val="24"/>
          <w:lang w:val="ro-RO" w:eastAsia="en-US"/>
        </w:rPr>
        <w:t xml:space="preserve"> și Standardul 4 </w:t>
      </w:r>
    </w:p>
    <w:p w:rsidR="0037604E" w:rsidRPr="0037604E" w:rsidRDefault="0037604E" w:rsidP="00FA6EB9">
      <w:pPr>
        <w:numPr>
          <w:ilvl w:val="0"/>
          <w:numId w:val="171"/>
        </w:numPr>
        <w:autoSpaceDE w:val="0"/>
        <w:autoSpaceDN w:val="0"/>
        <w:adjustRightInd w:val="0"/>
        <w:spacing w:after="0" w:line="240" w:lineRule="auto"/>
        <w:ind w:hanging="425"/>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others.</w:t>
      </w:r>
    </w:p>
    <w:p w:rsidR="0037604E" w:rsidRPr="0037604E" w:rsidRDefault="0037604E" w:rsidP="00FA6EB9">
      <w:pPr>
        <w:numPr>
          <w:ilvl w:val="0"/>
          <w:numId w:val="172"/>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w:t>
      </w:r>
      <w:r w:rsidRPr="0037604E">
        <w:rPr>
          <w:rFonts w:asciiTheme="majorHAnsi" w:hAnsiTheme="majorHAnsi" w:cs="Arial"/>
          <w:sz w:val="24"/>
          <w:szCs w:val="24"/>
          <w:lang w:val="en"/>
        </w:rPr>
        <w:t xml:space="preserve">Self-assessment Questionnaire for 2016 was sent to all organisational structures within starting the process of self-assessment of the implementation stage of SCI/M </w:t>
      </w:r>
      <w:r w:rsidRPr="0037604E">
        <w:rPr>
          <w:rFonts w:asciiTheme="majorHAnsi" w:eastAsia="Calibri" w:hAnsiTheme="majorHAnsi" w:cs="Times New Roman"/>
          <w:sz w:val="24"/>
          <w:szCs w:val="24"/>
          <w:lang w:val="ro-RO" w:eastAsia="en-US"/>
        </w:rPr>
        <w:t>in the Company</w:t>
      </w:r>
      <w:r w:rsidRPr="0037604E">
        <w:rPr>
          <w:rFonts w:asciiTheme="majorHAnsi" w:eastAsia="Calibri" w:hAnsiTheme="majorHAnsi" w:cs="Times New Roman"/>
          <w:sz w:val="24"/>
          <w:szCs w:val="24"/>
          <w:lang w:eastAsia="en-US"/>
        </w:rPr>
        <w:t>;</w:t>
      </w:r>
    </w:p>
    <w:p w:rsidR="0037604E" w:rsidRPr="0037604E" w:rsidRDefault="00ED4E8C" w:rsidP="00FA6EB9">
      <w:pPr>
        <w:numPr>
          <w:ilvl w:val="0"/>
          <w:numId w:val="172"/>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Pr>
          <w:rFonts w:asciiTheme="majorHAnsi" w:hAnsiTheme="majorHAnsi" w:cs="Arial"/>
          <w:sz w:val="24"/>
          <w:szCs w:val="24"/>
          <w:lang w:val="en"/>
        </w:rPr>
        <w:t xml:space="preserve">The </w:t>
      </w:r>
      <w:r w:rsidR="0037604E" w:rsidRPr="0037604E">
        <w:rPr>
          <w:rFonts w:asciiTheme="majorHAnsi" w:hAnsiTheme="majorHAnsi" w:cs="Arial"/>
          <w:sz w:val="24"/>
          <w:szCs w:val="24"/>
          <w:lang w:val="en"/>
        </w:rPr>
        <w:t xml:space="preserve">results of evaluation questionnaires were centralized from 151 departments/officese and 15 standards are `implemented` and a standard is </w:t>
      </w:r>
      <w:r w:rsidR="0037604E" w:rsidRPr="0037604E">
        <w:rPr>
          <w:rFonts w:asciiTheme="majorHAnsi" w:hAnsiTheme="majorHAnsi" w:cs="Arial"/>
          <w:sz w:val="24"/>
          <w:szCs w:val="24"/>
          <w:lang w:val="en"/>
        </w:rPr>
        <w:lastRenderedPageBreak/>
        <w:t>`partly implemented`. The implementation of the internal/management control standards at company level is 96.90%;</w:t>
      </w:r>
    </w:p>
    <w:p w:rsidR="0037604E" w:rsidRPr="0037604E" w:rsidRDefault="0037604E" w:rsidP="00FA6EB9">
      <w:pPr>
        <w:numPr>
          <w:ilvl w:val="0"/>
          <w:numId w:val="163"/>
        </w:numPr>
        <w:autoSpaceDE w:val="0"/>
        <w:autoSpaceDN w:val="0"/>
        <w:adjustRightInd w:val="0"/>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The SCI/M implementation within the regional offices was started:</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val="ro-RO" w:eastAsia="en-US"/>
        </w:rPr>
        <w:t xml:space="preserve">regional offices </w:t>
      </w:r>
      <w:r w:rsidRPr="0037604E">
        <w:rPr>
          <w:rFonts w:asciiTheme="majorHAnsi" w:eastAsia="Calibri" w:hAnsiTheme="majorHAnsi" w:cs="Times New Roman"/>
          <w:sz w:val="24"/>
          <w:szCs w:val="24"/>
          <w:lang w:eastAsia="en-US"/>
        </w:rPr>
        <w:t xml:space="preserve">SCI/M responsibe persons were appointed and ensured access to the database in te Common zone </w:t>
      </w:r>
      <w:r w:rsidRPr="0037604E">
        <w:rPr>
          <w:rFonts w:asciiTheme="majorHAnsi" w:eastAsia="Calibri" w:hAnsiTheme="majorHAnsi" w:cs="Times New Roman"/>
          <w:b/>
          <w:sz w:val="24"/>
          <w:szCs w:val="24"/>
          <w:lang w:eastAsia="en-US"/>
        </w:rPr>
        <w:t>(transgaz on intranet – ZoneInterDep – “ControlInternManagerial”</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Ethics responsible persons were appointed by decision at the level of each regional ofice;</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Five binders were completed on the key elements of the regional offices</w:t>
      </w:r>
      <w:r w:rsidRPr="0037604E">
        <w:rPr>
          <w:rFonts w:asciiTheme="majorHAnsi" w:eastAsia="Calibri" w:hAnsiTheme="majorHAnsi" w:cs="Times New Roman"/>
          <w:sz w:val="24"/>
          <w:szCs w:val="24"/>
          <w:lang w:eastAsia="en-US"/>
        </w:rPr>
        <w:t xml:space="preserve">, with standard files related, according to </w:t>
      </w:r>
      <w:r w:rsidRPr="0037604E">
        <w:rPr>
          <w:rFonts w:asciiTheme="majorHAnsi" w:hAnsiTheme="majorHAnsi" w:cs="Arial"/>
          <w:sz w:val="24"/>
          <w:szCs w:val="24"/>
          <w:lang w:val="en"/>
        </w:rPr>
        <w:t>List of internal management/ontrol standards of GSG Order</w:t>
      </w:r>
      <w:r w:rsidRPr="0037604E">
        <w:rPr>
          <w:rFonts w:asciiTheme="majorHAnsi" w:eastAsia="Calibri" w:hAnsiTheme="majorHAnsi" w:cs="Times New Roman"/>
          <w:sz w:val="24"/>
          <w:szCs w:val="24"/>
          <w:lang w:eastAsia="en-US"/>
        </w:rPr>
        <w:t xml:space="preserve"> 400/2015</w:t>
      </w:r>
      <w:r w:rsidRPr="0037604E">
        <w:rPr>
          <w:rFonts w:asciiTheme="majorHAnsi" w:eastAsia="Times New Roman" w:hAnsiTheme="majorHAnsi" w:cs="Times New Roman"/>
          <w:sz w:val="24"/>
          <w:szCs w:val="24"/>
          <w:lang w:eastAsia="en-US"/>
        </w:rPr>
        <w:t xml:space="preserve"> as further amended and supplemented by GSG 200/2016</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the analytical sheets for the 16 standards were completed with the explanation underlying the response regarding the progress of standard implementation and the documentation related</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for Standard 5 – Targets it was prepared the List of specific targets and performance indicators by territorial office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4"/>
        </w:numPr>
        <w:autoSpaceDE w:val="0"/>
        <w:autoSpaceDN w:val="0"/>
        <w:adjustRightInd w:val="0"/>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for Standard 8 - Risk Management it was prepared the List of specific targets, risks and control instruments by territorial office and it was prepared the Risk Regiser by territorial office, according to Annex 6 of PP-91- Preparation/update of Transgaz Risk Register</w:t>
      </w:r>
      <w:r w:rsidRPr="0037604E">
        <w:rPr>
          <w:rFonts w:asciiTheme="majorHAnsi" w:eastAsia="Calibri" w:hAnsiTheme="majorHAnsi" w:cs="Times New Roman"/>
          <w:sz w:val="24"/>
          <w:szCs w:val="24"/>
          <w:lang w:eastAsia="en-US"/>
        </w:rPr>
        <w:t>.</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37604E" w:rsidP="00FA6EB9">
      <w:pPr>
        <w:numPr>
          <w:ilvl w:val="0"/>
          <w:numId w:val="159"/>
        </w:numPr>
        <w:shd w:val="clear" w:color="auto" w:fill="F2F2F2"/>
        <w:tabs>
          <w:tab w:val="left" w:pos="284"/>
          <w:tab w:val="left" w:pos="1134"/>
        </w:tabs>
        <w:spacing w:after="0" w:line="240" w:lineRule="auto"/>
        <w:ind w:left="0" w:firstLine="0"/>
        <w:contextualSpacing/>
        <w:jc w:val="both"/>
        <w:rPr>
          <w:rFonts w:ascii="Cambria" w:eastAsia="Calibri" w:hAnsi="Cambria" w:cs="Times New Roman"/>
          <w:b/>
          <w:sz w:val="24"/>
          <w:szCs w:val="24"/>
          <w:lang w:val="ro-RO" w:eastAsia="en-US"/>
        </w:rPr>
      </w:pPr>
      <w:r w:rsidRPr="0037604E">
        <w:rPr>
          <w:rFonts w:ascii="Cambria" w:eastAsia="Calibri" w:hAnsi="Cambria" w:cs="Times New Roman"/>
          <w:b/>
          <w:sz w:val="24"/>
          <w:szCs w:val="24"/>
          <w:lang w:val="ro-RO" w:eastAsia="en-US"/>
        </w:rPr>
        <w:t xml:space="preserve">Organisational structure of the Internal/Management Control System </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r w:rsidRPr="0037604E">
        <w:rPr>
          <w:rFonts w:ascii="Cambria" w:eastAsia="Calibri" w:hAnsi="Cambria" w:cs="Times New Roman"/>
          <w:sz w:val="24"/>
          <w:szCs w:val="24"/>
          <w:lang w:val="ro-RO" w:eastAsia="en-US"/>
        </w:rPr>
        <w:t xml:space="preserve">The organisational structure of the Internal/Management Control System of SNTGN Transgaz SA, according to GSG Order </w:t>
      </w:r>
      <w:r w:rsidRPr="0037604E">
        <w:rPr>
          <w:rFonts w:ascii="Cambria" w:eastAsia="Calibri" w:hAnsi="Cambria" w:cs="Times New Roman"/>
          <w:b/>
          <w:sz w:val="24"/>
          <w:szCs w:val="24"/>
          <w:lang w:val="ro-RO" w:eastAsia="en-US"/>
        </w:rPr>
        <w:t xml:space="preserve"> 200/2016, </w:t>
      </w:r>
      <w:r w:rsidRPr="0037604E">
        <w:rPr>
          <w:rFonts w:ascii="Cambria" w:eastAsia="Calibri" w:hAnsi="Cambria" w:cs="Times New Roman"/>
          <w:sz w:val="24"/>
          <w:szCs w:val="24"/>
          <w:lang w:val="ro-RO" w:eastAsia="en-US"/>
        </w:rPr>
        <w:t>is as follows:</w:t>
      </w:r>
      <w:r w:rsidRPr="0037604E" w:rsidDel="005430D9">
        <w:rPr>
          <w:rFonts w:ascii="Cambria" w:eastAsia="Calibri" w:hAnsi="Cambria" w:cs="Times New Roman"/>
          <w:sz w:val="24"/>
          <w:szCs w:val="24"/>
          <w:lang w:val="ro-RO" w:eastAsia="en-US"/>
        </w:rPr>
        <w:t xml:space="preserve"> </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r w:rsidRPr="0037604E">
        <w:rPr>
          <w:rFonts w:ascii="Cambria" w:eastAsia="Calibri" w:hAnsi="Cambria" w:cs="Times New Roman"/>
          <w:noProof/>
          <w:sz w:val="24"/>
          <w:szCs w:val="24"/>
          <w:lang w:val="ro-RO" w:eastAsia="ro-RO"/>
        </w:rPr>
        <mc:AlternateContent>
          <mc:Choice Requires="wps">
            <w:drawing>
              <wp:anchor distT="0" distB="0" distL="114300" distR="114300" simplePos="0" relativeHeight="251974656" behindDoc="0" locked="0" layoutInCell="1" allowOverlap="1" wp14:anchorId="7EB28DD7" wp14:editId="22F86F49">
                <wp:simplePos x="0" y="0"/>
                <wp:positionH relativeFrom="column">
                  <wp:posOffset>3352800</wp:posOffset>
                </wp:positionH>
                <wp:positionV relativeFrom="paragraph">
                  <wp:posOffset>1301750</wp:posOffset>
                </wp:positionV>
                <wp:extent cx="314325" cy="9525"/>
                <wp:effectExtent l="57150" t="76200" r="0" b="123825"/>
                <wp:wrapNone/>
                <wp:docPr id="31" name="Straight Arrow Connector 31"/>
                <wp:cNvGraphicFramePr/>
                <a:graphic xmlns:a="http://schemas.openxmlformats.org/drawingml/2006/main">
                  <a:graphicData uri="http://schemas.microsoft.com/office/word/2010/wordprocessingShape">
                    <wps:wsp>
                      <wps:cNvCnPr/>
                      <wps:spPr>
                        <a:xfrm flipH="1" flipV="1">
                          <a:off x="0" y="0"/>
                          <a:ext cx="314325" cy="9525"/>
                        </a:xfrm>
                        <a:prstGeom prst="straightConnector1">
                          <a:avLst/>
                        </a:prstGeom>
                        <a:noFill/>
                        <a:ln w="25400" cap="flat" cmpd="sng" algn="ctr">
                          <a:solidFill>
                            <a:srgbClr val="3366CC"/>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5FE59A31" id="_x0000_t32" coordsize="21600,21600" o:spt="32" o:oned="t" path="m,l21600,21600e" filled="f">
                <v:path arrowok="t" fillok="f" o:connecttype="none"/>
                <o:lock v:ext="edit" shapetype="t"/>
              </v:shapetype>
              <v:shape id="Straight Arrow Connector 31" o:spid="_x0000_s1026" type="#_x0000_t32" style="position:absolute;margin-left:264pt;margin-top:102.5pt;width:24.75pt;height:.75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" strokecolor="#36c" strokeweight="2pt">
                <v:stroke endarrow="block"/>
                <v:shadow on="t" color="black" opacity="24903f" origin=",.5" offset="0,.55556mm"/>
              </v:shape>
            </w:pict>
          </mc:Fallback>
        </mc:AlternateContent>
      </w:r>
      <w:r w:rsidRPr="0037604E">
        <w:rPr>
          <w:rFonts w:ascii="Cambria" w:eastAsia="Calibri" w:hAnsi="Cambria" w:cs="Times New Roman"/>
          <w:noProof/>
          <w:sz w:val="24"/>
          <w:szCs w:val="24"/>
          <w:lang w:val="ro-RO" w:eastAsia="ro-RO"/>
        </w:rPr>
        <mc:AlternateContent>
          <mc:Choice Requires="wps">
            <w:drawing>
              <wp:anchor distT="0" distB="0" distL="114300" distR="114300" simplePos="0" relativeHeight="251973632" behindDoc="0" locked="0" layoutInCell="1" allowOverlap="1" wp14:anchorId="2FD218DD" wp14:editId="2A10ABDB">
                <wp:simplePos x="0" y="0"/>
                <wp:positionH relativeFrom="column">
                  <wp:posOffset>1828800</wp:posOffset>
                </wp:positionH>
                <wp:positionV relativeFrom="paragraph">
                  <wp:posOffset>1301750</wp:posOffset>
                </wp:positionV>
                <wp:extent cx="295275" cy="0"/>
                <wp:effectExtent l="38100" t="76200" r="28575" b="133350"/>
                <wp:wrapNone/>
                <wp:docPr id="33" name="Straight Arrow Connector 33"/>
                <wp:cNvGraphicFramePr/>
                <a:graphic xmlns:a="http://schemas.openxmlformats.org/drawingml/2006/main">
                  <a:graphicData uri="http://schemas.microsoft.com/office/word/2010/wordprocessingShape">
                    <wps:wsp>
                      <wps:cNvCnPr/>
                      <wps:spPr>
                        <a:xfrm>
                          <a:off x="0" y="0"/>
                          <a:ext cx="295275" cy="0"/>
                        </a:xfrm>
                        <a:prstGeom prst="straightConnector1">
                          <a:avLst/>
                        </a:prstGeom>
                        <a:noFill/>
                        <a:ln w="25400" cap="flat" cmpd="sng" algn="ctr">
                          <a:solidFill>
                            <a:srgbClr val="3366CC"/>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53D54527" id="Straight Arrow Connector 33" o:spid="_x0000_s1026" type="#_x0000_t32" style="position:absolute;margin-left:2in;margin-top:102.5pt;width:23.25pt;height:0;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" strokecolor="#36c" strokeweight="2pt">
                <v:stroke endarrow="block"/>
                <v:shadow on="t" color="black" opacity="24903f" origin=",.5" offset="0,.55556mm"/>
              </v:shape>
            </w:pict>
          </mc:Fallback>
        </mc:AlternateContent>
      </w:r>
      <w:r w:rsidRPr="0037604E">
        <w:rPr>
          <w:rFonts w:ascii="Cambria" w:eastAsia="Calibri" w:hAnsi="Cambria" w:cs="Times New Roman"/>
          <w:noProof/>
          <w:sz w:val="24"/>
          <w:szCs w:val="24"/>
          <w:lang w:val="ro-RO" w:eastAsia="ro-RO"/>
        </w:rPr>
        <w:drawing>
          <wp:inline distT="0" distB="0" distL="0" distR="0" wp14:anchorId="5C9DB4AB" wp14:editId="2928E23C">
            <wp:extent cx="5486400" cy="3409950"/>
            <wp:effectExtent l="0" t="38100" r="0" b="9525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37604E" w:rsidRPr="0037604E" w:rsidRDefault="0037604E" w:rsidP="0037604E">
      <w:pPr>
        <w:spacing w:after="0" w:line="240" w:lineRule="auto"/>
        <w:ind w:firstLine="0"/>
        <w:jc w:val="center"/>
        <w:rPr>
          <w:rFonts w:ascii="Cambria" w:eastAsia="Calibri" w:hAnsi="Cambria" w:cs="DokChampa"/>
          <w:b/>
          <w:i/>
          <w:sz w:val="16"/>
          <w:szCs w:val="16"/>
          <w:lang w:eastAsia="en-US"/>
        </w:rPr>
      </w:pPr>
      <w:r w:rsidRPr="0037604E">
        <w:rPr>
          <w:rFonts w:ascii="Cambria" w:eastAsia="Calibri" w:hAnsi="Cambria" w:cs="DokChampa"/>
          <w:b/>
          <w:i/>
          <w:sz w:val="16"/>
          <w:szCs w:val="16"/>
          <w:lang w:eastAsia="en-US"/>
        </w:rPr>
        <w:t xml:space="preserve">Fig. </w:t>
      </w:r>
      <w:r w:rsidR="00F47A26">
        <w:rPr>
          <w:rFonts w:ascii="Cambria" w:eastAsia="Calibri" w:hAnsi="Cambria" w:cs="DokChampa"/>
          <w:b/>
          <w:i/>
          <w:sz w:val="16"/>
          <w:szCs w:val="16"/>
          <w:lang w:eastAsia="en-US"/>
        </w:rPr>
        <w:t xml:space="preserve">2 </w:t>
      </w:r>
      <w:r w:rsidR="00F47A26" w:rsidRPr="003C1EE8">
        <w:rPr>
          <w:rFonts w:ascii="Cambria" w:eastAsia="Calibri" w:hAnsi="Cambria" w:cs="DokChampa"/>
          <w:b/>
          <w:i/>
          <w:sz w:val="16"/>
          <w:szCs w:val="16"/>
          <w:lang w:eastAsia="en-US"/>
        </w:rPr>
        <w:t>-</w:t>
      </w:r>
      <w:r w:rsidRPr="0037604E">
        <w:rPr>
          <w:rFonts w:ascii="Cambria" w:eastAsia="Calibri" w:hAnsi="Cambria" w:cs="DokChampa"/>
          <w:b/>
          <w:i/>
          <w:sz w:val="16"/>
          <w:szCs w:val="16"/>
          <w:lang w:eastAsia="en-US"/>
        </w:rPr>
        <w:t xml:space="preserve"> Organizational structure of the internal/management control system of SNTGN Transgaz SA</w:t>
      </w:r>
    </w:p>
    <w:p w:rsidR="0037604E" w:rsidRPr="0037604E" w:rsidRDefault="0037604E" w:rsidP="0037604E">
      <w:pPr>
        <w:spacing w:after="0" w:line="240" w:lineRule="auto"/>
        <w:ind w:firstLine="0"/>
        <w:jc w:val="both"/>
        <w:rPr>
          <w:rFonts w:ascii="Cambria" w:eastAsia="Calibri" w:hAnsi="Cambria" w:cs="Times New Roman"/>
          <w:b/>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b/>
          <w:sz w:val="24"/>
          <w:szCs w:val="24"/>
          <w:lang w:val="ro-RO" w:eastAsia="en-US"/>
        </w:rPr>
      </w:pPr>
      <w:r w:rsidRPr="0037604E">
        <w:rPr>
          <w:rFonts w:asciiTheme="majorHAnsi" w:eastAsia="Calibri" w:hAnsiTheme="majorHAnsi" w:cs="Times New Roman"/>
          <w:b/>
          <w:sz w:val="24"/>
          <w:szCs w:val="24"/>
          <w:lang w:val="ro-RO" w:eastAsia="en-US"/>
        </w:rPr>
        <w:t xml:space="preserve">NOTE: </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b/>
          <w:sz w:val="24"/>
          <w:szCs w:val="24"/>
          <w:lang w:val="ro-RO" w:eastAsia="en-US"/>
        </w:rPr>
        <w:t xml:space="preserve">WG-SCIM– </w:t>
      </w:r>
      <w:r w:rsidRPr="0037604E">
        <w:rPr>
          <w:rFonts w:asciiTheme="majorHAnsi" w:hAnsiTheme="majorHAnsi" w:cs="Arial"/>
          <w:sz w:val="24"/>
          <w:szCs w:val="24"/>
          <w:lang w:val="en"/>
        </w:rPr>
        <w:t>Work Group by Division/Unit/Department/Medias Subsidiary/Regional Office for the development of SCIM</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b/>
          <w:sz w:val="24"/>
          <w:szCs w:val="24"/>
          <w:lang w:val="ro-RO" w:eastAsia="en-US"/>
        </w:rPr>
        <w:lastRenderedPageBreak/>
        <w:t xml:space="preserve">WG – EGR – </w:t>
      </w:r>
      <w:r w:rsidRPr="0037604E">
        <w:rPr>
          <w:rFonts w:asciiTheme="majorHAnsi" w:hAnsiTheme="majorHAnsi" w:cs="Arial"/>
          <w:sz w:val="24"/>
          <w:szCs w:val="24"/>
          <w:lang w:val="en"/>
        </w:rPr>
        <w:t>Risk Management Team by Division/Unit/Department/Medias Subsidiary/Regional Office</w:t>
      </w:r>
      <w:r w:rsidRPr="0037604E">
        <w:rPr>
          <w:rFonts w:asciiTheme="majorHAnsi" w:eastAsia="Calibri" w:hAnsiTheme="majorHAnsi" w:cs="Times New Roman"/>
          <w:sz w:val="24"/>
          <w:szCs w:val="24"/>
          <w:lang w:val="ro-RO" w:eastAsia="en-US"/>
        </w:rPr>
        <w:t xml:space="preserve">. </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For the monitoring, coordination and methodological guidance for the implementation and development of internal/management control, the d</w:t>
      </w:r>
      <w:r w:rsidRPr="0037604E">
        <w:rPr>
          <w:rFonts w:asciiTheme="majorHAnsi" w:eastAsia="Calibri" w:hAnsiTheme="majorHAnsi" w:cs="Times New Roman"/>
          <w:sz w:val="24"/>
          <w:szCs w:val="24"/>
          <w:lang w:val="ro-RO" w:eastAsia="en-US"/>
        </w:rPr>
        <w:t xml:space="preserve">irector general of SNTGN Transgaz SA established the </w:t>
      </w:r>
      <w:r w:rsidRPr="00ED4E8C">
        <w:rPr>
          <w:rFonts w:asciiTheme="majorHAnsi" w:eastAsia="Calibri" w:hAnsiTheme="majorHAnsi" w:cs="Times New Roman"/>
          <w:b/>
          <w:i/>
          <w:sz w:val="24"/>
          <w:szCs w:val="24"/>
          <w:lang w:val="ro-RO" w:eastAsia="en-US"/>
        </w:rPr>
        <w:t>Monitoring Committee</w:t>
      </w:r>
      <w:r w:rsidRPr="0037604E">
        <w:rPr>
          <w:rFonts w:asciiTheme="majorHAnsi" w:eastAsia="Calibri" w:hAnsiTheme="majorHAnsi" w:cs="Times New Roman"/>
          <w:sz w:val="24"/>
          <w:szCs w:val="24"/>
          <w:lang w:val="ro-RO" w:eastAsia="en-US"/>
        </w:rPr>
        <w:t xml:space="preserve"> under</w:t>
      </w:r>
      <w:r w:rsidRPr="0037604E">
        <w:rPr>
          <w:rFonts w:asciiTheme="majorHAnsi" w:hAnsiTheme="majorHAnsi" w:cs="Arial"/>
          <w:color w:val="222222"/>
          <w:sz w:val="24"/>
          <w:szCs w:val="24"/>
          <w:lang w:val="en"/>
        </w:rPr>
        <w:t xml:space="preserve"> </w:t>
      </w:r>
      <w:r w:rsidRPr="00ED4E8C">
        <w:rPr>
          <w:rFonts w:asciiTheme="majorHAnsi" w:hAnsiTheme="majorHAnsi" w:cs="Arial"/>
          <w:b/>
          <w:color w:val="222222"/>
          <w:sz w:val="24"/>
          <w:szCs w:val="24"/>
          <w:lang w:val="en"/>
        </w:rPr>
        <w:t xml:space="preserve">Decision </w:t>
      </w:r>
      <w:r w:rsidRPr="00ED4E8C">
        <w:rPr>
          <w:rFonts w:asciiTheme="majorHAnsi" w:eastAsia="Calibri" w:hAnsiTheme="majorHAnsi" w:cs="Times New Roman"/>
          <w:b/>
          <w:sz w:val="24"/>
          <w:szCs w:val="24"/>
          <w:lang w:val="ro-RO" w:eastAsia="en-US"/>
        </w:rPr>
        <w:t>519/19.07.2016</w:t>
      </w:r>
      <w:r w:rsidRPr="0037604E">
        <w:rPr>
          <w:rFonts w:asciiTheme="majorHAnsi" w:eastAsia="Calibri" w:hAnsiTheme="majorHAnsi" w:cs="Times New Roman"/>
          <w:sz w:val="24"/>
          <w:szCs w:val="24"/>
          <w:lang w:val="ro-RO" w:eastAsia="en-US"/>
        </w:rPr>
        <w:t>.</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The organizing and working of the </w:t>
      </w:r>
      <w:r w:rsidRPr="00ED4E8C">
        <w:rPr>
          <w:rFonts w:asciiTheme="majorHAnsi" w:hAnsiTheme="majorHAnsi" w:cs="Arial"/>
          <w:i/>
          <w:sz w:val="24"/>
          <w:szCs w:val="24"/>
          <w:lang w:val="en"/>
        </w:rPr>
        <w:t>Monitoring Committee</w:t>
      </w:r>
      <w:r w:rsidRPr="0037604E">
        <w:rPr>
          <w:rFonts w:asciiTheme="majorHAnsi" w:hAnsiTheme="majorHAnsi" w:cs="Arial"/>
          <w:sz w:val="24"/>
          <w:szCs w:val="24"/>
          <w:lang w:val="en"/>
        </w:rPr>
        <w:t xml:space="preserve"> according to procedure PP - 105 `Conducting meetings of the Committee for monitoring, coordination and methodological guidance for the implementation and development of internal/management control is the responsibility of its chairperson and is set depending on the volume and complexity of processes and activities</w:t>
      </w:r>
      <w:r w:rsidRPr="0037604E">
        <w:rPr>
          <w:rFonts w:asciiTheme="majorHAnsi" w:eastAsia="Times New Roman" w:hAnsiTheme="majorHAnsi" w:cs="TimesNewRomanPSMT"/>
          <w:sz w:val="24"/>
          <w:szCs w:val="24"/>
          <w:lang w:eastAsia="en-US"/>
        </w:rPr>
        <w:t xml:space="preserve">.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r w:rsidRPr="0037604E">
        <w:rPr>
          <w:rFonts w:asciiTheme="majorHAnsi" w:hAnsiTheme="majorHAnsi" w:cs="Arial"/>
          <w:sz w:val="24"/>
          <w:szCs w:val="24"/>
          <w:lang w:val="en"/>
        </w:rPr>
        <w:t xml:space="preserve">The </w:t>
      </w:r>
      <w:r w:rsidRPr="00ED4E8C">
        <w:rPr>
          <w:rFonts w:asciiTheme="majorHAnsi" w:hAnsiTheme="majorHAnsi" w:cs="Arial"/>
          <w:b/>
          <w:sz w:val="24"/>
          <w:szCs w:val="24"/>
          <w:lang w:val="en"/>
        </w:rPr>
        <w:t xml:space="preserve">chairman </w:t>
      </w:r>
      <w:r w:rsidRPr="0037604E">
        <w:rPr>
          <w:rFonts w:asciiTheme="majorHAnsi" w:hAnsiTheme="majorHAnsi" w:cs="Arial"/>
          <w:sz w:val="24"/>
          <w:szCs w:val="24"/>
          <w:lang w:val="en"/>
        </w:rPr>
        <w:t>of the Monitoring Committee is the deputy director-general of the company, Mr</w:t>
      </w:r>
      <w:r w:rsidRPr="0037604E">
        <w:rPr>
          <w:rFonts w:ascii="Cambria" w:eastAsia="Times New Roman" w:hAnsi="Cambria" w:cs="TimesNewRomanPSMT"/>
          <w:sz w:val="24"/>
          <w:szCs w:val="24"/>
          <w:lang w:eastAsia="en-US"/>
        </w:rPr>
        <w:t xml:space="preserve"> Gheorghe Haţegan. </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chairman of the Monitoring Committee sets the agenda of the meetings, chairs the meetings and prepares the minutes of the meetings and the decisions of the Committee.</w:t>
      </w:r>
      <w:r w:rsidRPr="0037604E">
        <w:rPr>
          <w:rFonts w:asciiTheme="majorHAnsi" w:eastAsia="Times New Roman" w:hAnsiTheme="majorHAnsi" w:cs="TimesNewRomanPSMT"/>
          <w:sz w:val="24"/>
          <w:szCs w:val="24"/>
          <w:lang w:eastAsia="en-US"/>
        </w:rPr>
        <w:t xml:space="preserve">                  </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b/>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The </w:t>
      </w:r>
      <w:r w:rsidRPr="002332FA">
        <w:rPr>
          <w:rFonts w:asciiTheme="majorHAnsi" w:hAnsiTheme="majorHAnsi" w:cs="Arial"/>
          <w:b/>
          <w:sz w:val="24"/>
          <w:szCs w:val="24"/>
          <w:lang w:val="en"/>
        </w:rPr>
        <w:t>members</w:t>
      </w:r>
      <w:r w:rsidRPr="0037604E">
        <w:rPr>
          <w:rFonts w:asciiTheme="majorHAnsi" w:hAnsiTheme="majorHAnsi" w:cs="Arial"/>
          <w:sz w:val="24"/>
          <w:szCs w:val="24"/>
          <w:lang w:val="en"/>
        </w:rPr>
        <w:t xml:space="preserve"> of the </w:t>
      </w:r>
      <w:r w:rsidRPr="002332FA">
        <w:rPr>
          <w:rFonts w:asciiTheme="majorHAnsi" w:hAnsiTheme="majorHAnsi" w:cs="Arial"/>
          <w:i/>
          <w:sz w:val="24"/>
          <w:szCs w:val="24"/>
          <w:lang w:val="en"/>
        </w:rPr>
        <w:t>Monitoring Committee</w:t>
      </w:r>
      <w:r w:rsidRPr="0037604E">
        <w:rPr>
          <w:rFonts w:asciiTheme="majorHAnsi" w:hAnsiTheme="majorHAnsi" w:cs="Arial"/>
          <w:sz w:val="24"/>
          <w:szCs w:val="24"/>
          <w:lang w:val="en"/>
        </w:rPr>
        <w:t xml:space="preserve"> are directors of divisions/units/departments/Medias Subsidiary/regional offices of the company. The members of the Monitoring Committee may designate a </w:t>
      </w:r>
      <w:r w:rsidRPr="002332FA">
        <w:rPr>
          <w:rFonts w:asciiTheme="majorHAnsi" w:hAnsiTheme="majorHAnsi" w:cs="Arial"/>
          <w:b/>
          <w:sz w:val="24"/>
          <w:szCs w:val="24"/>
          <w:lang w:val="en"/>
        </w:rPr>
        <w:t>responsible for the development of the internal/management control system within the division/unit/Subsidiary/regional office</w:t>
      </w:r>
      <w:r w:rsidRPr="0037604E">
        <w:rPr>
          <w:rFonts w:asciiTheme="majorHAnsi" w:hAnsiTheme="majorHAnsi" w:cs="Arial"/>
          <w:sz w:val="24"/>
          <w:szCs w:val="24"/>
          <w:lang w:val="en"/>
        </w:rPr>
        <w:t xml:space="preserve"> he/she is representing.</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BoldMT"/>
          <w:bCs/>
          <w:sz w:val="24"/>
          <w:szCs w:val="24"/>
          <w:lang w:eastAsia="en-US"/>
        </w:rPr>
      </w:pPr>
      <w:r w:rsidRPr="0037604E">
        <w:rPr>
          <w:rFonts w:asciiTheme="majorHAnsi" w:hAnsiTheme="majorHAnsi" w:cs="Arial"/>
          <w:sz w:val="24"/>
          <w:szCs w:val="24"/>
          <w:lang w:val="en"/>
        </w:rPr>
        <w:t xml:space="preserve">The </w:t>
      </w:r>
      <w:r w:rsidRPr="002332FA">
        <w:rPr>
          <w:rFonts w:asciiTheme="majorHAnsi" w:hAnsiTheme="majorHAnsi" w:cs="Arial"/>
          <w:b/>
          <w:sz w:val="24"/>
          <w:szCs w:val="24"/>
          <w:lang w:val="en"/>
        </w:rPr>
        <w:t>Secretary</w:t>
      </w:r>
      <w:r w:rsidRPr="0037604E">
        <w:rPr>
          <w:rFonts w:asciiTheme="majorHAnsi" w:hAnsiTheme="majorHAnsi" w:cs="Arial"/>
          <w:sz w:val="24"/>
          <w:szCs w:val="24"/>
          <w:lang w:val="en"/>
        </w:rPr>
        <w:t xml:space="preserve"> of the </w:t>
      </w:r>
      <w:r w:rsidRPr="002332FA">
        <w:rPr>
          <w:rFonts w:asciiTheme="majorHAnsi" w:hAnsiTheme="majorHAnsi" w:cs="Arial"/>
          <w:i/>
          <w:sz w:val="24"/>
          <w:szCs w:val="24"/>
          <w:lang w:val="en"/>
        </w:rPr>
        <w:t>Monitoring Committee</w:t>
      </w:r>
      <w:r w:rsidRPr="0037604E">
        <w:rPr>
          <w:rFonts w:asciiTheme="majorHAnsi" w:hAnsiTheme="majorHAnsi" w:cs="Arial"/>
          <w:sz w:val="24"/>
          <w:szCs w:val="24"/>
          <w:lang w:val="en"/>
        </w:rPr>
        <w:t xml:space="preserve"> is the </w:t>
      </w:r>
      <w:r w:rsidRPr="0037604E">
        <w:rPr>
          <w:rFonts w:asciiTheme="majorHAnsi" w:eastAsia="Times New Roman" w:hAnsiTheme="majorHAnsi" w:cs="Times New Roman"/>
          <w:sz w:val="24"/>
          <w:szCs w:val="24"/>
          <w:lang w:val="en-GB" w:eastAsia="ro-RO"/>
        </w:rPr>
        <w:t>Budgeting Strategy Unit</w:t>
      </w:r>
      <w:r w:rsidRPr="0037604E">
        <w:rPr>
          <w:rFonts w:asciiTheme="majorHAnsi" w:eastAsia="Calibri" w:hAnsiTheme="majorHAnsi" w:cs="DokChampa"/>
          <w:sz w:val="24"/>
          <w:szCs w:val="24"/>
        </w:rPr>
        <w:t xml:space="preserve"> </w:t>
      </w:r>
      <w:r w:rsidRPr="0037604E">
        <w:rPr>
          <w:rFonts w:asciiTheme="majorHAnsi" w:hAnsiTheme="majorHAnsi" w:cs="Arial"/>
          <w:sz w:val="24"/>
          <w:szCs w:val="24"/>
          <w:lang w:val="en"/>
        </w:rPr>
        <w:t>Director.</w:t>
      </w:r>
      <w:r w:rsidRPr="0037604E">
        <w:rPr>
          <w:rFonts w:asciiTheme="majorHAnsi" w:hAnsiTheme="majorHAnsi" w:cs="Arial"/>
          <w:sz w:val="24"/>
          <w:szCs w:val="24"/>
          <w:lang w:val="en"/>
        </w:rPr>
        <w:br/>
        <w:t xml:space="preserve">The </w:t>
      </w:r>
      <w:r w:rsidRPr="002332FA">
        <w:rPr>
          <w:rFonts w:asciiTheme="majorHAnsi" w:hAnsiTheme="majorHAnsi" w:cs="Arial"/>
          <w:i/>
          <w:sz w:val="24"/>
          <w:szCs w:val="24"/>
          <w:lang w:val="en"/>
        </w:rPr>
        <w:t>Monitoring Committee</w:t>
      </w:r>
      <w:r w:rsidRPr="0037604E">
        <w:rPr>
          <w:rFonts w:asciiTheme="majorHAnsi" w:hAnsiTheme="majorHAnsi" w:cs="Arial"/>
          <w:sz w:val="24"/>
          <w:szCs w:val="24"/>
          <w:lang w:val="en"/>
        </w:rPr>
        <w:t xml:space="preserve"> Secretariat is provided by the Strategic Analysis and Information Office - </w:t>
      </w:r>
      <w:r w:rsidRPr="0037604E">
        <w:rPr>
          <w:rFonts w:asciiTheme="majorHAnsi" w:eastAsia="Times New Roman" w:hAnsiTheme="majorHAnsi" w:cs="Times New Roman"/>
          <w:sz w:val="24"/>
          <w:szCs w:val="24"/>
          <w:lang w:val="en-GB" w:eastAsia="ro-RO"/>
        </w:rPr>
        <w:t xml:space="preserve">Budgeting Strategy </w:t>
      </w:r>
      <w:r w:rsidRPr="0037604E">
        <w:rPr>
          <w:rFonts w:asciiTheme="majorHAnsi" w:hAnsiTheme="majorHAnsi" w:cs="Arial"/>
          <w:sz w:val="24"/>
          <w:szCs w:val="24"/>
          <w:lang w:val="en"/>
        </w:rPr>
        <w:t xml:space="preserve">and Performance Indicators within the </w:t>
      </w:r>
      <w:r w:rsidRPr="0037604E">
        <w:rPr>
          <w:rFonts w:asciiTheme="majorHAnsi" w:eastAsia="Times New Roman" w:hAnsiTheme="majorHAnsi" w:cs="Times New Roman"/>
          <w:sz w:val="24"/>
          <w:szCs w:val="24"/>
          <w:lang w:val="en-GB" w:eastAsia="ro-RO"/>
        </w:rPr>
        <w:t>Budgeting Strategy Unit</w:t>
      </w:r>
      <w:r w:rsidRPr="0037604E">
        <w:rPr>
          <w:rFonts w:asciiTheme="majorHAnsi" w:hAnsiTheme="majorHAnsi" w:cs="Arial"/>
          <w:sz w:val="24"/>
          <w:szCs w:val="24"/>
          <w:lang w:val="en"/>
        </w:rPr>
        <w:t>, the Strategy and Corporate Management Department</w:t>
      </w:r>
      <w:r w:rsidRPr="0037604E">
        <w:rPr>
          <w:rFonts w:asciiTheme="majorHAnsi" w:eastAsia="Times New Roman" w:hAnsiTheme="majorHAnsi" w:cs="TimesNewRomanPS-BoldMT"/>
          <w:bCs/>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i/>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The </w:t>
      </w:r>
      <w:r w:rsidRPr="002332FA">
        <w:rPr>
          <w:rFonts w:asciiTheme="majorHAnsi" w:hAnsiTheme="majorHAnsi" w:cs="Arial"/>
          <w:i/>
          <w:sz w:val="24"/>
          <w:szCs w:val="24"/>
          <w:lang w:val="en"/>
        </w:rPr>
        <w:t>Monitoring Committee</w:t>
      </w:r>
      <w:r w:rsidRPr="0037604E">
        <w:rPr>
          <w:rFonts w:asciiTheme="majorHAnsi" w:hAnsiTheme="majorHAnsi" w:cs="Arial"/>
          <w:sz w:val="24"/>
          <w:szCs w:val="24"/>
          <w:lang w:val="en"/>
        </w:rPr>
        <w:t xml:space="preserve"> has the following main responsibilities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coordinates the process of updating the company's overall objectives, specific objectives and performance or outcome indicators activities for their evaluation</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monitors and evaluates annually the overall objectives of the company</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annually analyze and prioritizes significant risks that may affect the overall goals, setting risk tolerance limits, which must be approved by the company management and are mandatory for all departments and submitted application</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and approves procedures and forwards them for approval to the director-general of (members involved in the activities having procedures submitted for review and approval);</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for approval the information on conducting the risk management process developed by the Risk Management Team</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for approval the monitoring performance information at the entity level, prepared by the secretary of the Monitoring Committee, based on annual reports regarding annual performance monitoring at the level of the departments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prepares/updates/monitors annually the implementation and development plan of the of internal/management control system of the  company, including objectives, actions, responsibilities, deadlines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submits for the approval of the director-general</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the implementation and development plan of the of internal/management control system of the  company</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lastRenderedPageBreak/>
        <w:t>guides the company departments for the implementation and development of the internal/management control system</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presents to the director-general, whenever deemed necessary, but at least once a year, information on progress of implementation and development of internal/management control system</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in relation to the company plan, monitoring coordination and methodological guidance actions undertaken and other issues arising in connection with this area</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performs annually the self-assessment of the development of internal/management control system</w:t>
      </w:r>
      <w:r w:rsidRPr="0037604E">
        <w:rPr>
          <w:rFonts w:asciiTheme="majorHAnsi" w:eastAsia="Times New Roman" w:hAnsiTheme="majorHAnsi" w:cs="TimesNewRomanPSMT"/>
          <w:sz w:val="24"/>
          <w:szCs w:val="24"/>
          <w:lang w:eastAsia="en-US"/>
        </w:rPr>
        <w:t xml:space="preserve"> of the company;</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prepares and submits annual reports on the progress of implementation</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of internal/management control system based on GSG Order</w:t>
      </w:r>
      <w:r w:rsidRPr="0037604E">
        <w:rPr>
          <w:rFonts w:asciiTheme="majorHAnsi" w:eastAsia="Times New Roman" w:hAnsiTheme="majorHAnsi" w:cs="TimesNewRomanPSMT"/>
          <w:sz w:val="24"/>
          <w:szCs w:val="24"/>
          <w:lang w:eastAsia="en-US"/>
        </w:rPr>
        <w:t xml:space="preserve"> 400/2015 amended and supplemented by Order 200/2016 </w:t>
      </w:r>
      <w:r w:rsidRPr="0037604E">
        <w:rPr>
          <w:rFonts w:asciiTheme="majorHAnsi" w:hAnsiTheme="majorHAnsi" w:cs="Arial"/>
          <w:sz w:val="24"/>
          <w:szCs w:val="24"/>
          <w:lang w:val="en"/>
        </w:rPr>
        <w:t>on approval of</w:t>
      </w:r>
      <w:r w:rsidRPr="0037604E">
        <w:rPr>
          <w:rFonts w:asciiTheme="majorHAnsi" w:eastAsia="Calibri" w:hAnsiTheme="majorHAnsi" w:cs="Times New Roman"/>
          <w:sz w:val="24"/>
          <w:szCs w:val="24"/>
          <w:lang w:val="ro-RO" w:eastAsia="en-US"/>
        </w:rPr>
        <w:t xml:space="preserve"> </w:t>
      </w:r>
      <w:r w:rsidRPr="0037604E">
        <w:rPr>
          <w:rFonts w:asciiTheme="majorHAnsi" w:hAnsiTheme="majorHAnsi" w:cs="Arial"/>
          <w:sz w:val="24"/>
          <w:szCs w:val="24"/>
          <w:lang w:val="en"/>
        </w:rPr>
        <w:t>Internal Management Control Code, of the public entities at the close of the financial year of the previous year together with the annual financial statement, to the Ministry of Economy, Trade and Relations with the Business Environment</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5"/>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prepares and submits to Ministry of Economy, Trade and Relations with the Business Environment at the dates set by it, but not later than 15 March each year,</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the plans of measures prepared and updated for the implementation and development of the  internal/management control system, including the administrative documents establishing a structure dealing with internal/management control system development</w:t>
      </w:r>
      <w:r w:rsidRPr="0037604E">
        <w:rPr>
          <w:rFonts w:asciiTheme="majorHAnsi" w:eastAsia="Times New Roman" w:hAnsiTheme="majorHAnsi" w:cs="TimesNewRomanPSMT"/>
          <w:sz w:val="24"/>
          <w:szCs w:val="24"/>
          <w:lang w:eastAsia="en-US"/>
        </w:rPr>
        <w:t>.</w:t>
      </w:r>
    </w:p>
    <w:p w:rsidR="0037604E" w:rsidRPr="0037604E" w:rsidRDefault="0037604E" w:rsidP="0037604E">
      <w:pPr>
        <w:autoSpaceDE w:val="0"/>
        <w:autoSpaceDN w:val="0"/>
        <w:adjustRightInd w:val="0"/>
        <w:spacing w:after="0" w:line="240" w:lineRule="auto"/>
        <w:ind w:firstLine="0"/>
        <w:contextualSpacing/>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BoldMT"/>
          <w:bCs/>
          <w:sz w:val="24"/>
          <w:szCs w:val="24"/>
          <w:lang w:eastAsia="en-US"/>
        </w:rPr>
      </w:pPr>
      <w:r w:rsidRPr="0037604E">
        <w:rPr>
          <w:rFonts w:asciiTheme="majorHAnsi" w:hAnsiTheme="majorHAnsi" w:cs="Arial"/>
          <w:sz w:val="24"/>
          <w:szCs w:val="24"/>
          <w:lang w:val="en"/>
        </w:rPr>
        <w:t xml:space="preserve">In order to manage company risks, the general – director of Transgaz SA, by </w:t>
      </w:r>
      <w:r w:rsidRPr="002332FA">
        <w:rPr>
          <w:rFonts w:asciiTheme="majorHAnsi" w:hAnsiTheme="majorHAnsi" w:cs="Arial"/>
          <w:b/>
          <w:sz w:val="24"/>
          <w:szCs w:val="24"/>
          <w:lang w:val="en"/>
        </w:rPr>
        <w:t xml:space="preserve">Decision </w:t>
      </w:r>
      <w:r w:rsidRPr="002332FA">
        <w:rPr>
          <w:rFonts w:asciiTheme="majorHAnsi" w:eastAsia="Times New Roman" w:hAnsiTheme="majorHAnsi" w:cs="TimesNewRomanPS-BoldMT"/>
          <w:b/>
          <w:bCs/>
          <w:sz w:val="24"/>
          <w:szCs w:val="24"/>
          <w:lang w:eastAsia="en-US"/>
        </w:rPr>
        <w:t xml:space="preserve">518/19.06.2016 </w:t>
      </w:r>
      <w:r w:rsidRPr="002332FA">
        <w:rPr>
          <w:rFonts w:asciiTheme="majorHAnsi" w:hAnsiTheme="majorHAnsi" w:cs="Arial"/>
          <w:b/>
          <w:sz w:val="24"/>
          <w:szCs w:val="24"/>
          <w:lang w:val="en"/>
        </w:rPr>
        <w:t>established the Transgaz risk management and risk management teams</w:t>
      </w:r>
      <w:r w:rsidRPr="0037604E">
        <w:rPr>
          <w:rFonts w:asciiTheme="majorHAnsi" w:hAnsiTheme="majorHAnsi" w:cs="Arial"/>
          <w:sz w:val="24"/>
          <w:szCs w:val="24"/>
          <w:lang w:val="en"/>
        </w:rPr>
        <w:t xml:space="preserve"> divisions/units/departments/Medias Subsidiary/regional offices</w:t>
      </w:r>
      <w:r w:rsidRPr="0037604E">
        <w:rPr>
          <w:rFonts w:asciiTheme="majorHAnsi" w:eastAsia="Times New Roman" w:hAnsiTheme="majorHAnsi" w:cs="TimesNewRomanPS-BoldMT"/>
          <w:bCs/>
          <w:sz w:val="24"/>
          <w:szCs w:val="24"/>
          <w:lang w:eastAsia="en-US"/>
        </w:rPr>
        <w:t>.</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The Risk Management Team comprises members which are substitutes of the divisions/units/departments/Medias Subsidiary/regional offices</w:t>
      </w:r>
      <w:r w:rsidRPr="0037604E">
        <w:rPr>
          <w:rFonts w:asciiTheme="majorHAnsi" w:eastAsia="Calibri" w:hAnsiTheme="majorHAnsi" w:cs="Times New Roman"/>
          <w:sz w:val="24"/>
          <w:szCs w:val="24"/>
          <w:lang w:val="ro-RO" w:eastAsia="en-US"/>
        </w:rPr>
        <w:t xml:space="preserve"> directors </w:t>
      </w:r>
      <w:r w:rsidRPr="0037604E">
        <w:rPr>
          <w:rFonts w:asciiTheme="majorHAnsi" w:hAnsiTheme="majorHAnsi" w:cs="Arial"/>
          <w:sz w:val="24"/>
          <w:szCs w:val="24"/>
          <w:lang w:val="en"/>
        </w:rPr>
        <w:t>and</w:t>
      </w:r>
      <w:r w:rsidR="002332FA">
        <w:rPr>
          <w:rFonts w:asciiTheme="majorHAnsi" w:hAnsiTheme="majorHAnsi" w:cs="Arial"/>
          <w:sz w:val="24"/>
          <w:szCs w:val="24"/>
          <w:lang w:val="en"/>
        </w:rPr>
        <w:t xml:space="preserve"> is coordinated by the </w:t>
      </w:r>
      <w:r w:rsidR="002332FA" w:rsidRPr="002332FA">
        <w:rPr>
          <w:rFonts w:asciiTheme="majorHAnsi" w:hAnsiTheme="majorHAnsi" w:cs="Arial"/>
          <w:b/>
          <w:sz w:val="24"/>
          <w:szCs w:val="24"/>
          <w:lang w:val="en"/>
        </w:rPr>
        <w:t>chairman</w:t>
      </w:r>
      <w:r w:rsidRPr="0037604E">
        <w:rPr>
          <w:rFonts w:asciiTheme="majorHAnsi" w:hAnsiTheme="majorHAnsi" w:cs="Arial"/>
          <w:sz w:val="24"/>
          <w:szCs w:val="24"/>
          <w:lang w:val="en"/>
        </w:rPr>
        <w:t>, which is different from the person who coordinates the Monitoring Committee</w:t>
      </w:r>
      <w:r w:rsidRPr="0037604E">
        <w:rPr>
          <w:rFonts w:asciiTheme="majorHAnsi" w:eastAsia="Calibri" w:hAnsiTheme="majorHAnsi" w:cs="Times New Roman"/>
          <w:sz w:val="24"/>
          <w:szCs w:val="24"/>
          <w:lang w:val="ro-RO" w:eastAsia="en-US"/>
        </w:rPr>
        <w:t>.</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r w:rsidRPr="0037604E">
        <w:rPr>
          <w:rFonts w:asciiTheme="majorHAnsi" w:hAnsiTheme="majorHAnsi" w:cs="Arial"/>
          <w:sz w:val="24"/>
          <w:szCs w:val="24"/>
          <w:lang w:val="en"/>
        </w:rPr>
        <w:t>The president</w:t>
      </w:r>
      <w:r w:rsidRPr="0037604E">
        <w:rPr>
          <w:rFonts w:ascii="Cambria" w:eastAsia="Times New Roman" w:hAnsi="Cambria" w:cs="TimesNewRomanPSMT"/>
          <w:sz w:val="24"/>
          <w:szCs w:val="24"/>
          <w:lang w:eastAsia="en-US"/>
        </w:rPr>
        <w:t xml:space="preserve"> of the company </w:t>
      </w:r>
      <w:r w:rsidRPr="002332FA">
        <w:rPr>
          <w:rFonts w:asciiTheme="majorHAnsi" w:hAnsiTheme="majorHAnsi" w:cs="Arial"/>
          <w:i/>
          <w:sz w:val="24"/>
          <w:szCs w:val="24"/>
          <w:lang w:val="en"/>
        </w:rPr>
        <w:t>Risk Management Team</w:t>
      </w:r>
      <w:r w:rsidRPr="0037604E">
        <w:rPr>
          <w:rFonts w:asciiTheme="majorHAnsi" w:hAnsiTheme="majorHAnsi" w:cs="Arial"/>
          <w:sz w:val="24"/>
          <w:szCs w:val="24"/>
          <w:lang w:val="en"/>
        </w:rPr>
        <w:t xml:space="preserve"> </w:t>
      </w:r>
      <w:r w:rsidRPr="0037604E">
        <w:rPr>
          <w:rFonts w:ascii="Cambria" w:eastAsia="Times New Roman" w:hAnsi="Cambria" w:cs="TimesNewRomanPS-BoldMT"/>
          <w:bCs/>
          <w:sz w:val="24"/>
          <w:szCs w:val="24"/>
          <w:lang w:eastAsia="en-US"/>
        </w:rPr>
        <w:t xml:space="preserve">is the deputy director –general, Mr </w:t>
      </w:r>
      <w:r w:rsidRPr="0037604E">
        <w:rPr>
          <w:rFonts w:ascii="Cambria" w:eastAsia="Times New Roman" w:hAnsi="Cambria" w:cs="TimesNewRomanPSMT"/>
          <w:sz w:val="24"/>
          <w:szCs w:val="24"/>
          <w:lang w:eastAsia="en-US"/>
        </w:rPr>
        <w:t>Grigore Târsac.</w:t>
      </w:r>
    </w:p>
    <w:p w:rsidR="0037604E" w:rsidRPr="0037604E" w:rsidRDefault="0037604E" w:rsidP="0037604E">
      <w:pPr>
        <w:spacing w:after="0" w:line="240" w:lineRule="auto"/>
        <w:ind w:firstLine="0"/>
        <w:jc w:val="both"/>
        <w:rPr>
          <w:rFonts w:ascii="Cambria" w:eastAsia="Calibri" w:hAnsi="Cambria"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The president</w:t>
      </w:r>
      <w:r w:rsidRPr="0037604E">
        <w:rPr>
          <w:rFonts w:ascii="Cambria" w:eastAsia="Times New Roman" w:hAnsi="Cambria" w:cs="TimesNewRomanPSMT"/>
          <w:sz w:val="24"/>
          <w:szCs w:val="24"/>
          <w:lang w:eastAsia="en-US"/>
        </w:rPr>
        <w:t xml:space="preserve"> of the </w:t>
      </w:r>
      <w:r w:rsidRPr="002332FA">
        <w:rPr>
          <w:rFonts w:asciiTheme="majorHAnsi" w:hAnsiTheme="majorHAnsi" w:cs="Arial"/>
          <w:i/>
          <w:sz w:val="24"/>
          <w:szCs w:val="24"/>
          <w:lang w:val="en"/>
        </w:rPr>
        <w:t>Risk Management Team</w:t>
      </w:r>
      <w:r w:rsidRPr="0037604E">
        <w:rPr>
          <w:rFonts w:asciiTheme="majorHAnsi" w:hAnsiTheme="majorHAnsi" w:cs="Arial"/>
          <w:sz w:val="24"/>
          <w:szCs w:val="24"/>
          <w:lang w:val="en"/>
        </w:rPr>
        <w:t xml:space="preserve"> sets the agenda of the meetings, chairs the meetings and prepares the minutes of the meetings, including the debates on risks and ontrol measures established and sends them for structural entities for implementation.</w:t>
      </w:r>
    </w:p>
    <w:p w:rsidR="0037604E" w:rsidRPr="0037604E" w:rsidRDefault="0037604E" w:rsidP="0037604E">
      <w:pPr>
        <w:spacing w:after="0" w:line="240" w:lineRule="auto"/>
        <w:ind w:firstLine="0"/>
        <w:jc w:val="both"/>
        <w:rPr>
          <w:rFonts w:asciiTheme="majorHAnsi" w:eastAsia="Calibri" w:hAnsiTheme="majorHAnsi" w:cs="Times New Roman"/>
          <w:b/>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2332FA">
        <w:rPr>
          <w:rFonts w:asciiTheme="majorHAnsi" w:hAnsiTheme="majorHAnsi" w:cs="Arial"/>
          <w:b/>
          <w:sz w:val="24"/>
          <w:szCs w:val="24"/>
          <w:lang w:val="en"/>
        </w:rPr>
        <w:t>The Risk Management Team Secretary</w:t>
      </w:r>
      <w:r w:rsidRPr="0037604E">
        <w:rPr>
          <w:rFonts w:asciiTheme="majorHAnsi" w:hAnsiTheme="majorHAnsi" w:cs="Arial"/>
          <w:sz w:val="24"/>
          <w:szCs w:val="24"/>
          <w:lang w:val="en"/>
        </w:rPr>
        <w:t xml:space="preserve"> and her/his deputy are appointed by the President from the responsible persons by division/unit/department/Medias Subsidiary/regional office</w:t>
      </w:r>
      <w:r w:rsidRPr="0037604E">
        <w:rPr>
          <w:rFonts w:asciiTheme="majorHAnsi" w:eastAsia="Calibri" w:hAnsiTheme="majorHAnsi" w:cs="Times New Roman"/>
          <w:sz w:val="24"/>
          <w:szCs w:val="24"/>
          <w:lang w:val="ro-RO" w:eastAsia="en-US"/>
        </w:rPr>
        <w:t>.</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organizing and working of the Risk Management Team is the responsibility of the President and is set by process procedure PP-106 Risk Management</w:t>
      </w:r>
      <w:r w:rsidRPr="0037604E">
        <w:rPr>
          <w:rFonts w:asciiTheme="majorHAnsi" w:eastAsia="Times New Roman" w:hAnsiTheme="majorHAnsi" w:cs="TimesNewRomanPSMT"/>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secretary of the company Risk Management Team prepares the company Risk Register by centralizing</w:t>
      </w:r>
      <w:r w:rsidRPr="0037604E">
        <w:rPr>
          <w:rFonts w:ascii="Arial" w:hAnsi="Arial" w:cs="Arial"/>
          <w:lang w:val="en"/>
        </w:rPr>
        <w:t xml:space="preserve"> </w:t>
      </w:r>
      <w:r w:rsidRPr="0037604E">
        <w:rPr>
          <w:rFonts w:ascii="Cambria" w:eastAsia="Times New Roman" w:hAnsi="Cambria" w:cs="TimesNewRomanPSMT"/>
          <w:sz w:val="24"/>
          <w:szCs w:val="24"/>
          <w:lang w:eastAsia="en-US"/>
        </w:rPr>
        <w:t xml:space="preserve">risk registers by </w:t>
      </w:r>
      <w:r w:rsidRPr="0037604E">
        <w:rPr>
          <w:rFonts w:asciiTheme="majorHAnsi" w:hAnsiTheme="majorHAnsi" w:cs="Arial"/>
          <w:sz w:val="24"/>
          <w:szCs w:val="24"/>
          <w:lang w:val="en"/>
        </w:rPr>
        <w:t>division/unit/department/Medias Subsidiary/regional office</w:t>
      </w:r>
      <w:r w:rsidRPr="0037604E">
        <w:rPr>
          <w:rFonts w:asciiTheme="majorHAnsi" w:eastAsia="Times New Roman" w:hAnsiTheme="majorHAnsi" w:cs="TimesNewRomanPSMT"/>
          <w:sz w:val="24"/>
          <w:szCs w:val="24"/>
          <w:lang w:eastAsia="en-US"/>
        </w:rPr>
        <w:t xml:space="preserve">. </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On the basis of the annual reports on the conduct of risk management </w:t>
      </w:r>
      <w:r w:rsidRPr="0037604E">
        <w:rPr>
          <w:rFonts w:asciiTheme="majorHAnsi" w:eastAsia="Times New Roman" w:hAnsiTheme="majorHAnsi" w:cs="TimesNewRomanPSMT"/>
          <w:sz w:val="24"/>
          <w:szCs w:val="24"/>
          <w:lang w:eastAsia="en-US"/>
        </w:rPr>
        <w:t xml:space="preserve">by </w:t>
      </w:r>
      <w:r w:rsidRPr="0037604E">
        <w:rPr>
          <w:rFonts w:asciiTheme="majorHAnsi" w:hAnsiTheme="majorHAnsi" w:cs="Arial"/>
          <w:sz w:val="24"/>
          <w:szCs w:val="24"/>
          <w:lang w:val="en"/>
        </w:rPr>
        <w:t>division/unit/department/Medias Subsidiary/regional office</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 xml:space="preserve">but also based on the Plan </w:t>
      </w:r>
      <w:r w:rsidRPr="0037604E">
        <w:rPr>
          <w:rFonts w:asciiTheme="majorHAnsi" w:hAnsiTheme="majorHAnsi" w:cs="Arial"/>
          <w:sz w:val="24"/>
          <w:szCs w:val="24"/>
          <w:lang w:val="en"/>
        </w:rPr>
        <w:lastRenderedPageBreak/>
        <w:t>for the implementation of measures for minimizing risks</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the Secretary of the Risk Management Team</w:t>
      </w:r>
      <w:r w:rsidRPr="0037604E">
        <w:rPr>
          <w:rFonts w:asciiTheme="majorHAnsi" w:eastAsia="Times New Roman" w:hAnsiTheme="majorHAnsi" w:cs="TimesNewRomanPSMT"/>
          <w:sz w:val="24"/>
          <w:szCs w:val="24"/>
          <w:lang w:eastAsia="en-US"/>
        </w:rPr>
        <w:t xml:space="preserve"> prepares an annual report on </w:t>
      </w:r>
      <w:r w:rsidRPr="0037604E">
        <w:rPr>
          <w:rFonts w:asciiTheme="majorHAnsi" w:hAnsiTheme="majorHAnsi" w:cs="Arial"/>
          <w:sz w:val="24"/>
          <w:szCs w:val="24"/>
          <w:lang w:val="en"/>
        </w:rPr>
        <w:t>risk management, which is analyzed and discussed</w:t>
      </w:r>
      <w:r w:rsidRPr="0037604E">
        <w:rPr>
          <w:rFonts w:asciiTheme="majorHAnsi" w:eastAsia="Times New Roman" w:hAnsiTheme="majorHAnsi" w:cs="TimesNewRomanPSMT"/>
          <w:sz w:val="24"/>
          <w:szCs w:val="24"/>
          <w:lang w:eastAsia="en-US"/>
        </w:rPr>
        <w:t xml:space="preserve"> to be sent for approval to the Monitoring Commission. </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activity of the Monitoring Committee and of the Risk Management Team is advised by the Head of Internal Audit</w:t>
      </w:r>
      <w:r w:rsidRPr="0037604E">
        <w:rPr>
          <w:rFonts w:asciiTheme="majorHAnsi" w:eastAsia="Times New Roman" w:hAnsiTheme="majorHAnsi" w:cs="TimesNewRomanPSMT"/>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Risk Management Team members constitute risk management teams at the level of the division/unit/department/Medias Subsidiary/regional office coordinated by them, considting of the head of the departments in the relevant entities</w:t>
      </w:r>
      <w:r w:rsidRPr="0037604E">
        <w:rPr>
          <w:rFonts w:asciiTheme="majorHAnsi" w:eastAsia="Times New Roman" w:hAnsiTheme="majorHAnsi" w:cs="TimesNewRomanPSMT"/>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i/>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Risk Management Team of the company has the following main responsibilities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coordinates </w:t>
      </w:r>
      <w:r w:rsidRPr="00271994">
        <w:rPr>
          <w:rFonts w:asciiTheme="majorHAnsi" w:hAnsiTheme="majorHAnsi" w:cs="Arial"/>
          <w:b/>
          <w:sz w:val="24"/>
          <w:szCs w:val="24"/>
          <w:lang w:val="en"/>
        </w:rPr>
        <w:t>risk management teams</w:t>
      </w:r>
      <w:r w:rsidRPr="0037604E">
        <w:rPr>
          <w:rFonts w:asciiTheme="majorHAnsi" w:hAnsiTheme="majorHAnsi" w:cs="Arial"/>
          <w:sz w:val="24"/>
          <w:szCs w:val="24"/>
          <w:lang w:val="en"/>
        </w:rPr>
        <w:t xml:space="preserve"> established by division/unit/department/Medias Subsidiary/regional office represented</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and prioritizes significant risks that may affect the achievement of specific objectives of division/unit/department/Medias Subsidiary/regional office represented</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validates or invalidates the escalating risks</w:t>
      </w:r>
      <w:r w:rsidRPr="0037604E">
        <w:rPr>
          <w:rFonts w:asciiTheme="majorHAnsi" w:eastAsia="Times New Roman" w:hAnsiTheme="majorHAnsi" w:cs="Times New Roman"/>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proposes risk appetite for the current year</w:t>
      </w:r>
      <w:r w:rsidRPr="0037604E">
        <w:rPr>
          <w:rFonts w:asciiTheme="majorHAnsi" w:eastAsia="Times New Roman" w:hAnsiTheme="majorHAnsi" w:cs="Times New Roman"/>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proposes risk tolerance limits</w:t>
      </w:r>
      <w:r w:rsidRPr="0037604E">
        <w:rPr>
          <w:rFonts w:asciiTheme="majorHAnsi" w:eastAsia="Times New Roman" w:hAnsiTheme="majorHAnsi" w:cs="Times New Roman"/>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sends until the deadlines set in team meetings reports regarding the conduct of the company risk management process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and validates the</w:t>
      </w:r>
      <w:r w:rsidRPr="0037604E">
        <w:rPr>
          <w:rFonts w:asciiTheme="majorHAnsi" w:eastAsia="Times New Roman" w:hAnsiTheme="majorHAnsi" w:cs="Times New Roman"/>
          <w:sz w:val="24"/>
          <w:szCs w:val="24"/>
          <w:lang w:eastAsia="en-US"/>
        </w:rPr>
        <w:t xml:space="preserve"> company </w:t>
      </w:r>
      <w:r w:rsidRPr="0037604E">
        <w:rPr>
          <w:rFonts w:asciiTheme="majorHAnsi" w:hAnsiTheme="majorHAnsi" w:cs="Arial"/>
          <w:sz w:val="24"/>
          <w:szCs w:val="24"/>
          <w:lang w:val="en"/>
        </w:rPr>
        <w:t>Plan of Measures for Minimizing Risks</w:t>
      </w:r>
      <w:r w:rsidRPr="0037604E">
        <w:rPr>
          <w:rFonts w:asciiTheme="majorHAnsi" w:eastAsia="Times New Roman" w:hAnsiTheme="majorHAnsi" w:cs="Times New Roman"/>
          <w:sz w:val="24"/>
          <w:szCs w:val="24"/>
          <w:lang w:eastAsia="en-US"/>
        </w:rPr>
        <w:t xml:space="preserve"> </w:t>
      </w:r>
      <w:r w:rsidRPr="0037604E">
        <w:rPr>
          <w:rFonts w:asciiTheme="majorHAnsi" w:hAnsiTheme="majorHAnsi" w:cs="Arial"/>
          <w:sz w:val="24"/>
          <w:szCs w:val="24"/>
          <w:lang w:val="en"/>
        </w:rPr>
        <w:t>for escalated risks</w:t>
      </w:r>
      <w:r w:rsidRPr="0037604E">
        <w:rPr>
          <w:rFonts w:asciiTheme="majorHAnsi" w:eastAsia="Times New Roman" w:hAnsiTheme="majorHAnsi" w:cs="Times New Roman"/>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analyzes progress of implementation of control measures to minimize risks and establish the necessary corrections, reviews risk exposure and validates the residual risks</w:t>
      </w:r>
      <w:r w:rsidRPr="0037604E">
        <w:rPr>
          <w:rFonts w:asciiTheme="majorHAnsi" w:eastAsia="Times New Roman" w:hAnsiTheme="majorHAnsi" w:cs="Times New Roman"/>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until the deadlines set in team meetings receives from the risk management teams established by division/unit/department/Medias Subsidiary/regional office </w:t>
      </w:r>
      <w:r w:rsidRPr="0037604E">
        <w:rPr>
          <w:rFonts w:asciiTheme="majorHAnsi" w:eastAsia="Times New Roman" w:hAnsiTheme="majorHAnsi" w:cs="TimesNewRomanPSMT"/>
          <w:sz w:val="24"/>
          <w:szCs w:val="24"/>
          <w:lang w:eastAsia="en-US"/>
        </w:rPr>
        <w:t xml:space="preserve">reports on </w:t>
      </w:r>
      <w:r w:rsidRPr="0037604E">
        <w:rPr>
          <w:rFonts w:asciiTheme="majorHAnsi" w:hAnsiTheme="majorHAnsi" w:cs="Arial"/>
          <w:sz w:val="24"/>
          <w:szCs w:val="24"/>
          <w:lang w:val="en"/>
        </w:rPr>
        <w:t>the conduct of the risk management process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analyzes the report on the  conduct of the risk management process prepared by the </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Risk Management Team Secretary, based on annual reports from the division/unit/department/Medias Subsidiary/regional office</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presents to the Committee for monitoring, coordination and methodological guidance for the implementation and development of internal/management control, whenever deemed necessary, but at least once a year, information on progress of company risk management;</w:t>
      </w:r>
    </w:p>
    <w:p w:rsidR="0037604E" w:rsidRPr="0037604E" w:rsidRDefault="0037604E" w:rsidP="00FA6EB9">
      <w:pPr>
        <w:numPr>
          <w:ilvl w:val="0"/>
          <w:numId w:val="162"/>
        </w:numPr>
        <w:autoSpaceDE w:val="0"/>
        <w:autoSpaceDN w:val="0"/>
        <w:adjustRightInd w:val="0"/>
        <w:spacing w:after="0" w:line="240" w:lineRule="auto"/>
        <w:ind w:hanging="283"/>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The risk management teams established by division/unit/department/Medias Subsidiary/regional office</w:t>
      </w:r>
      <w:r w:rsidRPr="0037604E">
        <w:rPr>
          <w:rFonts w:asciiTheme="majorHAnsi" w:eastAsia="Times New Roman" w:hAnsiTheme="majorHAnsi" w:cs="TimesNewRomanPSMT"/>
          <w:sz w:val="24"/>
          <w:szCs w:val="24"/>
          <w:lang w:eastAsia="en-US"/>
        </w:rPr>
        <w:t xml:space="preserve"> </w:t>
      </w:r>
      <w:r w:rsidRPr="0037604E">
        <w:rPr>
          <w:rFonts w:asciiTheme="majorHAnsi" w:hAnsiTheme="majorHAnsi" w:cs="Arial"/>
          <w:sz w:val="24"/>
          <w:szCs w:val="24"/>
          <w:lang w:val="en"/>
        </w:rPr>
        <w:t>have the following main responsibilities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identify, evaluate and prioritize risks that may affect the achievement of goals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inform the relevant structures of their findings in order to maintain the identified risks within acceptable limits</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prepare the risk register of the division/unit/department/Medias Subsidiary/regional office </w:t>
      </w:r>
      <w:r w:rsidRPr="0037604E">
        <w:rPr>
          <w:rFonts w:asciiTheme="majorHAnsi" w:eastAsia="Times New Roman" w:hAnsiTheme="majorHAnsi" w:cs="TimesNewRomanPSMT"/>
          <w:sz w:val="24"/>
          <w:szCs w:val="24"/>
          <w:lang w:eastAsia="en-US"/>
        </w:rPr>
        <w:t xml:space="preserve">represented according to processs procedure PP- 106 </w:t>
      </w:r>
      <w:r w:rsidRPr="0037604E">
        <w:rPr>
          <w:rFonts w:asciiTheme="majorHAnsi" w:hAnsiTheme="majorHAnsi" w:cs="Arial"/>
          <w:sz w:val="24"/>
          <w:szCs w:val="24"/>
          <w:lang w:val="en"/>
        </w:rPr>
        <w:t>Risk Management</w:t>
      </w:r>
      <w:r w:rsidRPr="0037604E">
        <w:rPr>
          <w:rFonts w:asciiTheme="majorHAnsi" w:eastAsia="Times New Roman" w:hAnsiTheme="majorHAnsi" w:cs="TimesNewRomanPSMT"/>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validate or invalidate the classifying solution for the risks proposed</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approve proposed escalation risks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rank the risks and develop risk profile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t xml:space="preserve">analyze and adopt the retained risk control measures </w:t>
      </w:r>
      <w:r w:rsidRPr="0037604E">
        <w:rPr>
          <w:rFonts w:asciiTheme="majorHAnsi" w:eastAsia="Calibri" w:hAnsiTheme="majorHAnsi" w:cs="Times New Roman"/>
          <w:sz w:val="24"/>
          <w:szCs w:val="24"/>
          <w:lang w:eastAsia="en-US"/>
        </w:rPr>
        <w:t>and appoint the person responsible for implementing actions/measures for keeping risks under control;</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hAnsiTheme="majorHAnsi" w:cs="Arial"/>
          <w:sz w:val="24"/>
          <w:szCs w:val="24"/>
          <w:lang w:val="en"/>
        </w:rPr>
        <w:lastRenderedPageBreak/>
        <w:t>debate the progress of implementation of control measures, establish the necessary corrections, review and sets the exposure to residual risk which is assessed</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1"/>
        </w:numPr>
        <w:autoSpaceDE w:val="0"/>
        <w:autoSpaceDN w:val="0"/>
        <w:adjustRightInd w:val="0"/>
        <w:spacing w:after="0" w:line="240" w:lineRule="auto"/>
        <w:ind w:hanging="426"/>
        <w:contextualSpacing/>
        <w:jc w:val="both"/>
        <w:rPr>
          <w:rFonts w:asciiTheme="majorHAnsi" w:eastAsia="Times New Roman" w:hAnsiTheme="majorHAnsi" w:cs="TimesNewRomanPSMT"/>
          <w:sz w:val="24"/>
          <w:szCs w:val="24"/>
          <w:lang w:eastAsia="en-US"/>
        </w:rPr>
      </w:pPr>
      <w:r w:rsidRPr="0037604E">
        <w:rPr>
          <w:rFonts w:asciiTheme="majorHAnsi" w:eastAsia="Calibri" w:hAnsiTheme="majorHAnsi" w:cs="Times New Roman"/>
          <w:sz w:val="24"/>
          <w:szCs w:val="24"/>
          <w:lang w:eastAsia="en-US"/>
        </w:rPr>
        <w:t>set closure of risk resolved.</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BoldMT"/>
          <w:b/>
          <w:bCs/>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BoldMT"/>
          <w:bCs/>
          <w:sz w:val="24"/>
          <w:szCs w:val="24"/>
          <w:lang w:eastAsia="en-US"/>
        </w:rPr>
      </w:pPr>
      <w:r w:rsidRPr="0037604E">
        <w:rPr>
          <w:rFonts w:asciiTheme="majorHAnsi" w:hAnsiTheme="majorHAnsi" w:cs="Arial"/>
          <w:sz w:val="24"/>
          <w:szCs w:val="24"/>
          <w:lang w:val="en"/>
        </w:rPr>
        <w:t>The company Risk Management Team Secretary (his/her deputy) has the following main responsibilities</w:t>
      </w:r>
      <w:r w:rsidRPr="0037604E">
        <w:rPr>
          <w:rFonts w:asciiTheme="majorHAnsi" w:eastAsia="Times New Roman" w:hAnsiTheme="majorHAnsi" w:cs="TimesNewRomanPS-BoldMT"/>
          <w:bCs/>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Theme="majorHAnsi" w:eastAsia="Times New Roman" w:hAnsiTheme="majorHAnsi" w:cs="TimesNewRomanPS-BoldMT"/>
          <w:bCs/>
          <w:sz w:val="24"/>
          <w:szCs w:val="24"/>
          <w:lang w:eastAsia="en-US"/>
        </w:rPr>
      </w:pPr>
    </w:p>
    <w:p w:rsidR="0037604E" w:rsidRPr="0037604E" w:rsidRDefault="0037604E" w:rsidP="00FA6EB9">
      <w:pPr>
        <w:numPr>
          <w:ilvl w:val="0"/>
          <w:numId w:val="168"/>
        </w:numPr>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centralizes Risk Registers by</w:t>
      </w:r>
      <w:r w:rsidRPr="0037604E">
        <w:rPr>
          <w:rFonts w:asciiTheme="majorHAnsi" w:eastAsia="Calibri" w:hAnsiTheme="majorHAnsi" w:cs="Times New Roman"/>
          <w:sz w:val="24"/>
          <w:szCs w:val="24"/>
          <w:lang w:eastAsia="en-US"/>
        </w:rPr>
        <w:t xml:space="preserve"> </w:t>
      </w:r>
      <w:r w:rsidRPr="0037604E">
        <w:rPr>
          <w:rFonts w:asciiTheme="majorHAnsi" w:hAnsiTheme="majorHAnsi" w:cs="Arial"/>
          <w:sz w:val="24"/>
          <w:szCs w:val="24"/>
          <w:lang w:val="en"/>
        </w:rPr>
        <w:t>division/unit/department/Medias Subsidiary/regional office</w:t>
      </w:r>
      <w:r w:rsidRPr="0037604E">
        <w:rPr>
          <w:rFonts w:asciiTheme="majorHAnsi" w:eastAsia="Calibri" w:hAnsiTheme="majorHAnsi" w:cs="Times New Roman"/>
          <w:sz w:val="24"/>
          <w:szCs w:val="24"/>
          <w:lang w:eastAsia="en-US"/>
        </w:rPr>
        <w:t xml:space="preserve"> for </w:t>
      </w:r>
      <w:r w:rsidRPr="0037604E">
        <w:rPr>
          <w:rFonts w:asciiTheme="majorHAnsi" w:hAnsiTheme="majorHAnsi" w:cs="Arial"/>
          <w:sz w:val="24"/>
          <w:szCs w:val="24"/>
          <w:lang w:val="en"/>
        </w:rPr>
        <w:t xml:space="preserve">all inherent risks identified and escalated and prepares the company Risk Register </w:t>
      </w:r>
      <w:r w:rsidRPr="0037604E">
        <w:rPr>
          <w:rFonts w:asciiTheme="majorHAnsi" w:eastAsia="Calibri" w:hAnsiTheme="majorHAnsi" w:cs="Times New Roman"/>
          <w:sz w:val="24"/>
          <w:szCs w:val="24"/>
          <w:lang w:eastAsia="en-US"/>
        </w:rPr>
        <w:t>for escalated risks and updates it annually;</w:t>
      </w:r>
    </w:p>
    <w:p w:rsidR="0037604E" w:rsidRPr="0037604E" w:rsidRDefault="0037604E" w:rsidP="00FA6EB9">
      <w:pPr>
        <w:numPr>
          <w:ilvl w:val="0"/>
          <w:numId w:val="168"/>
        </w:numPr>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summarizes the Report for monitoring the progress of implementation of measures to minimize risks by division/unit/department/Medias Subsidiary/regional office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8"/>
        </w:numPr>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summarizes the</w:t>
      </w:r>
      <w:r w:rsidRPr="0037604E">
        <w:rPr>
          <w:rFonts w:asciiTheme="majorHAnsi" w:eastAsia="Calibri" w:hAnsiTheme="majorHAnsi" w:cs="Times New Roman"/>
          <w:sz w:val="24"/>
          <w:szCs w:val="24"/>
          <w:lang w:eastAsia="en-US"/>
        </w:rPr>
        <w:t xml:space="preserve"> </w:t>
      </w:r>
      <w:r w:rsidRPr="0037604E">
        <w:rPr>
          <w:rFonts w:asciiTheme="majorHAnsi" w:hAnsiTheme="majorHAnsi" w:cs="Arial"/>
          <w:sz w:val="24"/>
          <w:szCs w:val="24"/>
          <w:lang w:val="en"/>
        </w:rPr>
        <w:t>Plan of Measures for Minimizing Risks  by</w:t>
      </w:r>
      <w:r w:rsidRPr="0037604E">
        <w:rPr>
          <w:rFonts w:asciiTheme="majorHAnsi" w:eastAsia="Calibri" w:hAnsiTheme="majorHAnsi" w:cs="Times New Roman"/>
          <w:sz w:val="24"/>
          <w:szCs w:val="24"/>
          <w:lang w:eastAsia="en-US"/>
        </w:rPr>
        <w:t xml:space="preserve"> </w:t>
      </w:r>
      <w:r w:rsidRPr="0037604E">
        <w:rPr>
          <w:rFonts w:asciiTheme="majorHAnsi" w:hAnsiTheme="majorHAnsi" w:cs="Arial"/>
          <w:sz w:val="24"/>
          <w:szCs w:val="24"/>
          <w:lang w:val="en"/>
        </w:rPr>
        <w:t>division/unit/department/Medias Subsidiary/regional office</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8"/>
        </w:numPr>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prepares the  company </w:t>
      </w:r>
      <w:r w:rsidRPr="0037604E">
        <w:rPr>
          <w:rFonts w:asciiTheme="majorHAnsi" w:hAnsiTheme="majorHAnsi" w:cs="Arial"/>
          <w:sz w:val="24"/>
          <w:szCs w:val="24"/>
          <w:lang w:val="en"/>
        </w:rPr>
        <w:t>Plan of Measures for Minimizing Risks for escalated risks</w:t>
      </w:r>
      <w:r w:rsidRPr="0037604E">
        <w:rPr>
          <w:rFonts w:asciiTheme="majorHAnsi" w:eastAsia="Calibri" w:hAnsiTheme="majorHAnsi" w:cs="Times New Roman"/>
          <w:sz w:val="24"/>
          <w:szCs w:val="24"/>
          <w:lang w:eastAsia="en-US"/>
        </w:rPr>
        <w:t>;</w:t>
      </w:r>
    </w:p>
    <w:p w:rsidR="0037604E" w:rsidRPr="0037604E" w:rsidRDefault="0037604E" w:rsidP="00FA6EB9">
      <w:pPr>
        <w:numPr>
          <w:ilvl w:val="0"/>
          <w:numId w:val="168"/>
        </w:numPr>
        <w:spacing w:after="0" w:line="240" w:lineRule="auto"/>
        <w:ind w:hanging="283"/>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prepares </w:t>
      </w:r>
      <w:r w:rsidRPr="0037604E">
        <w:rPr>
          <w:rFonts w:asciiTheme="majorHAnsi" w:hAnsiTheme="majorHAnsi" w:cs="Arial"/>
          <w:sz w:val="24"/>
          <w:szCs w:val="24"/>
          <w:lang w:val="en"/>
        </w:rPr>
        <w:t>the annual report regarding the risk management process at the company level</w:t>
      </w:r>
      <w:r w:rsidRPr="0037604E">
        <w:rPr>
          <w:rFonts w:asciiTheme="majorHAnsi" w:eastAsia="Calibri" w:hAnsiTheme="majorHAnsi" w:cs="Times New Roman"/>
          <w:sz w:val="24"/>
          <w:szCs w:val="24"/>
          <w:lang w:eastAsia="en-US"/>
        </w:rPr>
        <w:t>.</w:t>
      </w:r>
    </w:p>
    <w:p w:rsidR="0037604E" w:rsidRPr="0037604E" w:rsidRDefault="0037604E" w:rsidP="0037604E">
      <w:pPr>
        <w:spacing w:after="0" w:line="240" w:lineRule="auto"/>
        <w:ind w:firstLine="0"/>
        <w:contextualSpacing/>
        <w:jc w:val="both"/>
        <w:rPr>
          <w:rFonts w:ascii="Cambria" w:eastAsia="Calibri" w:hAnsi="Cambria" w:cs="Times New Roman"/>
          <w:sz w:val="24"/>
          <w:szCs w:val="24"/>
          <w:lang w:eastAsia="en-US"/>
        </w:rPr>
      </w:pPr>
    </w:p>
    <w:p w:rsidR="0037604E" w:rsidRPr="0037604E" w:rsidRDefault="0037604E" w:rsidP="0037604E">
      <w:pPr>
        <w:shd w:val="clear" w:color="auto" w:fill="DBE5F1" w:themeFill="accent1" w:themeFillTint="33"/>
        <w:spacing w:after="0" w:line="240" w:lineRule="auto"/>
        <w:ind w:firstLine="0"/>
        <w:outlineLvl w:val="2"/>
        <w:rPr>
          <w:rFonts w:asciiTheme="majorHAnsi" w:eastAsia="Calibri" w:hAnsiTheme="majorHAnsi" w:cs="Times New Roman"/>
          <w:b/>
          <w:bCs/>
          <w:i/>
          <w:iCs/>
          <w:sz w:val="24"/>
          <w:szCs w:val="24"/>
          <w:lang w:eastAsia="en-US"/>
        </w:rPr>
      </w:pPr>
      <w:bookmarkStart w:id="48" w:name="_Toc475967025"/>
      <w:r w:rsidRPr="0037604E">
        <w:rPr>
          <w:rFonts w:asciiTheme="majorHAnsi" w:eastAsia="Times New Roman" w:hAnsiTheme="majorHAnsi" w:cstheme="majorBidi"/>
          <w:b/>
          <w:bCs/>
          <w:i/>
          <w:iCs/>
          <w:sz w:val="24"/>
          <w:szCs w:val="24"/>
          <w:lang w:eastAsia="en-US"/>
        </w:rPr>
        <w:t>3.1.14 Ris</w:t>
      </w:r>
      <w:bookmarkEnd w:id="48"/>
      <w:r w:rsidRPr="0037604E">
        <w:rPr>
          <w:rFonts w:asciiTheme="majorHAnsi" w:eastAsia="Times New Roman" w:hAnsiTheme="majorHAnsi" w:cstheme="majorBidi"/>
          <w:b/>
          <w:bCs/>
          <w:i/>
          <w:iCs/>
          <w:sz w:val="24"/>
          <w:szCs w:val="24"/>
          <w:lang w:eastAsia="en-US"/>
        </w:rPr>
        <w:t>k Management</w:t>
      </w:r>
    </w:p>
    <w:p w:rsidR="0037604E" w:rsidRPr="0037604E" w:rsidRDefault="0037604E" w:rsidP="0037604E">
      <w:pPr>
        <w:spacing w:after="0" w:line="240" w:lineRule="auto"/>
        <w:ind w:firstLine="0"/>
        <w:contextualSpacing/>
        <w:jc w:val="both"/>
        <w:rPr>
          <w:rFonts w:asciiTheme="majorHAnsi" w:eastAsia="Times New Roman" w:hAnsiTheme="majorHAnsi" w:cs="Times New Roman"/>
          <w:b/>
          <w:sz w:val="24"/>
          <w:szCs w:val="24"/>
          <w:lang w:eastAsia="ro-RO"/>
        </w:rPr>
      </w:pPr>
    </w:p>
    <w:p w:rsidR="0037604E" w:rsidRPr="0037604E" w:rsidRDefault="0037604E" w:rsidP="0037604E">
      <w:pPr>
        <w:spacing w:after="0" w:line="240" w:lineRule="auto"/>
        <w:ind w:firstLine="0"/>
        <w:jc w:val="both"/>
        <w:rPr>
          <w:rFonts w:asciiTheme="majorHAnsi" w:eastAsia="TimesNewRoman" w:hAnsiTheme="majorHAnsi" w:cs="DokChampa"/>
          <w:sz w:val="24"/>
          <w:szCs w:val="24"/>
          <w:lang w:val="ro-RO" w:eastAsia="en-US"/>
        </w:rPr>
      </w:pPr>
      <w:r w:rsidRPr="0037604E">
        <w:rPr>
          <w:rFonts w:asciiTheme="majorHAnsi" w:hAnsiTheme="majorHAnsi" w:cs="Arial"/>
          <w:sz w:val="24"/>
          <w:szCs w:val="24"/>
          <w:lang w:val="en"/>
        </w:rPr>
        <w:t>By the type of activities performed the company is exposed to the risks identified above and therefore in the event that any of the risks identified materialize, the business activity, financial condition and/or the results of operations of Transgaz could be adversely affected</w:t>
      </w:r>
      <w:r w:rsidRPr="0037604E">
        <w:rPr>
          <w:rFonts w:asciiTheme="majorHAnsi" w:eastAsia="TimesNewRoman" w:hAnsiTheme="majorHAnsi" w:cs="DokChampa"/>
          <w:sz w:val="24"/>
          <w:szCs w:val="24"/>
          <w:lang w:val="ro-RO" w:eastAsia="en-US"/>
        </w:rPr>
        <w:t>.</w:t>
      </w:r>
    </w:p>
    <w:p w:rsidR="0037604E" w:rsidRPr="0037604E" w:rsidRDefault="0037604E" w:rsidP="0037604E">
      <w:pPr>
        <w:spacing w:after="0" w:line="240" w:lineRule="auto"/>
        <w:ind w:firstLine="0"/>
        <w:contextualSpacing/>
        <w:jc w:val="both"/>
        <w:rPr>
          <w:rFonts w:asciiTheme="majorHAnsi" w:eastAsia="Times New Roman" w:hAnsiTheme="majorHAnsi" w:cs="Times New Roman"/>
          <w:b/>
          <w:sz w:val="24"/>
          <w:szCs w:val="24"/>
          <w:lang w:eastAsia="ro-RO"/>
        </w:rPr>
      </w:pPr>
    </w:p>
    <w:p w:rsidR="0037604E" w:rsidRPr="0037604E" w:rsidRDefault="0037604E" w:rsidP="0037604E">
      <w:pPr>
        <w:spacing w:after="0" w:line="240" w:lineRule="auto"/>
        <w:ind w:firstLine="0"/>
        <w:rPr>
          <w:rFonts w:asciiTheme="majorHAnsi" w:eastAsia="TimesNewRoman" w:hAnsiTheme="majorHAnsi" w:cs="DokChampa"/>
          <w:sz w:val="24"/>
          <w:szCs w:val="24"/>
          <w:lang w:val="ro-RO" w:eastAsia="en-US"/>
        </w:rPr>
      </w:pPr>
      <w:r w:rsidRPr="0037604E">
        <w:rPr>
          <w:rFonts w:asciiTheme="majorHAnsi" w:hAnsiTheme="majorHAnsi" w:cs="Arial"/>
          <w:sz w:val="24"/>
          <w:szCs w:val="24"/>
          <w:lang w:val="en"/>
        </w:rPr>
        <w:t>The company risks identified and requiring adequate management and control include</w:t>
      </w:r>
      <w:r w:rsidRPr="0037604E">
        <w:rPr>
          <w:rFonts w:asciiTheme="majorHAnsi" w:eastAsia="TimesNewRoman" w:hAnsiTheme="majorHAnsi" w:cs="DokChampa"/>
          <w:sz w:val="24"/>
          <w:szCs w:val="24"/>
          <w:lang w:val="ro-RO" w:eastAsia="en-US"/>
        </w:rPr>
        <w:t>:</w:t>
      </w:r>
    </w:p>
    <w:p w:rsidR="0037604E" w:rsidRPr="0037604E" w:rsidRDefault="0037604E" w:rsidP="0037604E">
      <w:pPr>
        <w:spacing w:after="0" w:line="240" w:lineRule="auto"/>
        <w:ind w:firstLine="0"/>
        <w:rPr>
          <w:rFonts w:eastAsia="TimesNewRoman" w:cs="DokChampa"/>
          <w:sz w:val="24"/>
          <w:szCs w:val="24"/>
          <w:lang w:val="ro-RO" w:eastAsia="en-US"/>
        </w:rPr>
      </w:pPr>
    </w:p>
    <w:tbl>
      <w:tblPr>
        <w:tblW w:w="4952" w:type="pct"/>
        <w:tblCellSpacing w:w="20" w:type="dxa"/>
        <w:tblInd w:w="-27"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934"/>
      </w:tblGrid>
      <w:tr w:rsidR="0037604E" w:rsidRPr="0037604E" w:rsidTr="0037604E">
        <w:trPr>
          <w:tblCellSpacing w:w="20" w:type="dxa"/>
        </w:trPr>
        <w:tc>
          <w:tcPr>
            <w:tcW w:w="4957" w:type="pct"/>
            <w:shd w:val="clear" w:color="auto" w:fill="CAE9C0"/>
          </w:tcPr>
          <w:p w:rsidR="0037604E" w:rsidRPr="0037604E" w:rsidRDefault="0037604E" w:rsidP="0037604E">
            <w:pPr>
              <w:spacing w:after="0" w:line="240" w:lineRule="auto"/>
              <w:ind w:firstLine="0"/>
              <w:rPr>
                <w:rFonts w:asciiTheme="majorHAnsi" w:eastAsia="TimesNewRoman" w:hAnsiTheme="majorHAnsi" w:cs="DokChampa"/>
                <w:b/>
                <w:sz w:val="20"/>
                <w:szCs w:val="20"/>
                <w:lang w:val="ro-RO" w:eastAsia="en-US"/>
              </w:rPr>
            </w:pPr>
            <w:r w:rsidRPr="0037604E">
              <w:rPr>
                <w:rFonts w:asciiTheme="majorHAnsi" w:eastAsia="TimesNewRoman" w:hAnsiTheme="majorHAnsi" w:cs="DokChampa"/>
                <w:b/>
                <w:sz w:val="20"/>
                <w:szCs w:val="20"/>
                <w:lang w:val="ro-RO" w:eastAsia="en-US"/>
              </w:rPr>
              <w:t>Gas sector risks</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The risk associated with government intervention in key sectors of infrastructure</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jc w:val="both"/>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Changing of regulatory framework for gas market and of legal regulations applicable to the company's business</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The impact of competing projects on the work of international gas transmission</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Seasonal fluctuation of business</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Changing gas prices in Romania</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shd w:val="clear" w:color="auto" w:fill="CAE9C0"/>
          </w:tcPr>
          <w:p w:rsidR="0037604E" w:rsidRPr="0037604E" w:rsidRDefault="0037604E" w:rsidP="0037604E">
            <w:pPr>
              <w:spacing w:after="0" w:line="240" w:lineRule="auto"/>
              <w:ind w:firstLine="0"/>
              <w:rPr>
                <w:rFonts w:asciiTheme="majorHAnsi" w:eastAsia="TimesNewRoman" w:hAnsiTheme="majorHAnsi" w:cs="DokChampa"/>
                <w:b/>
                <w:sz w:val="20"/>
                <w:szCs w:val="20"/>
                <w:highlight w:val="red"/>
                <w:lang w:val="ro-RO" w:eastAsia="en-US"/>
              </w:rPr>
            </w:pPr>
            <w:r w:rsidRPr="0037604E">
              <w:rPr>
                <w:rFonts w:asciiTheme="majorHAnsi" w:hAnsiTheme="majorHAnsi" w:cs="Arial"/>
                <w:b/>
                <w:sz w:val="20"/>
                <w:szCs w:val="20"/>
                <w:lang w:val="en"/>
              </w:rPr>
              <w:t>Risks related to gas transmission</w:t>
            </w:r>
            <w:r w:rsidRPr="0037604E">
              <w:rPr>
                <w:rFonts w:asciiTheme="majorHAnsi" w:eastAsia="TimesNewRoman" w:hAnsiTheme="majorHAnsi" w:cs="DokChampa"/>
                <w:b/>
                <w:sz w:val="20"/>
                <w:szCs w:val="20"/>
                <w:lang w:val="ro-RO" w:eastAsia="en-US"/>
              </w:rPr>
              <w:t xml:space="preserve"> </w:t>
            </w:r>
          </w:p>
        </w:tc>
      </w:tr>
      <w:tr w:rsidR="0037604E" w:rsidRPr="0037604E" w:rsidTr="0037604E">
        <w:trPr>
          <w:trHeight w:val="291"/>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eastAsia="TimesNewRoman" w:hAnsiTheme="majorHAnsi" w:cs="DokChampa"/>
                <w:sz w:val="20"/>
                <w:szCs w:val="20"/>
                <w:lang w:val="ro-RO" w:eastAsia="en-US"/>
              </w:rPr>
              <w:t>Regulated nature of gas transmission activity;</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Variations in the price of gas purchased by the company</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Risk related to implementation of the new business model of Transgaz</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eastAsia="TimesNewRoman" w:hAnsiTheme="majorHAnsi" w:cs="DokChampa"/>
                <w:sz w:val="20"/>
                <w:szCs w:val="20"/>
                <w:lang w:val="ro-RO" w:eastAsia="en-US"/>
              </w:rPr>
              <w:t>Conclusion of international gas transmission contracts based on intergovernmental agreements;</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jc w:val="both"/>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Failure to meet minimum investment plan - Transgaz obligation under the Concession Agreement</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tcPr>
          <w:p w:rsidR="0037604E" w:rsidRPr="0037604E" w:rsidRDefault="0037604E" w:rsidP="0037604E">
            <w:pPr>
              <w:spacing w:after="0" w:line="240" w:lineRule="auto"/>
              <w:ind w:firstLine="0"/>
              <w:jc w:val="both"/>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The risk of failing to improve the profitability of current activity and reduction of technological consumption</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eastAsia="TimesNewRoman" w:hAnsiTheme="majorHAnsi" w:cs="DokChampa"/>
                <w:sz w:val="20"/>
                <w:szCs w:val="20"/>
                <w:lang w:val="ro-RO" w:eastAsia="en-US"/>
              </w:rPr>
              <w:t>Risk associated with limited access to own sources for funding development plans;</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eastAsia="TimesNewRoman" w:hAnsiTheme="majorHAnsi" w:cs="DokChampa"/>
                <w:sz w:val="20"/>
                <w:szCs w:val="20"/>
                <w:lang w:val="ro-RO" w:eastAsia="en-US"/>
              </w:rPr>
              <w:t>Impossibility to develop other profit geenrating activities as main domain of activity</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eastAsia="TimesNewRoman" w:hAnsiTheme="majorHAnsi" w:cs="DokChampa"/>
                <w:sz w:val="20"/>
                <w:szCs w:val="20"/>
                <w:lang w:val="ro-RO" w:eastAsia="en-US"/>
              </w:rPr>
              <w:t xml:space="preserve">The risk that ANRE does not accept </w:t>
            </w:r>
            <w:r w:rsidRPr="0037604E">
              <w:rPr>
                <w:rFonts w:asciiTheme="majorHAnsi" w:hAnsiTheme="majorHAnsi" w:cs="Arial"/>
                <w:sz w:val="20"/>
                <w:szCs w:val="20"/>
                <w:lang w:val="en"/>
              </w:rPr>
              <w:t xml:space="preserve">the remuneration of investments </w:t>
            </w:r>
            <w:r w:rsidRPr="0037604E">
              <w:rPr>
                <w:rFonts w:asciiTheme="majorHAnsi" w:eastAsia="TimesNewRoman" w:hAnsiTheme="majorHAnsi" w:cs="DokChampa"/>
                <w:sz w:val="20"/>
                <w:szCs w:val="20"/>
                <w:lang w:val="ro-RO" w:eastAsia="en-US"/>
              </w:rPr>
              <w:t xml:space="preserve">made and their introduction in the RAB </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hAnsiTheme="majorHAnsi" w:cs="Arial"/>
                <w:sz w:val="20"/>
                <w:szCs w:val="20"/>
                <w:lang w:val="en"/>
              </w:rPr>
              <w:t>The risk that the National Transmission System can be affected by natural disasters</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 xml:space="preserve">The risk regarding the regime of classified information </w:t>
            </w:r>
            <w:r w:rsidRPr="0037604E">
              <w:rPr>
                <w:rFonts w:asciiTheme="majorHAnsi" w:eastAsia="TimesNewRoman" w:hAnsiTheme="majorHAnsi" w:cs="DokChampa"/>
                <w:sz w:val="20"/>
                <w:szCs w:val="20"/>
                <w:lang w:val="ro-RO" w:eastAsia="en-US"/>
              </w:rPr>
              <w:t>of SNTGN Transgaz SA;</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lang w:val="ro-RO" w:eastAsia="en-US"/>
              </w:rPr>
            </w:pPr>
            <w:r w:rsidRPr="0037604E">
              <w:rPr>
                <w:rFonts w:asciiTheme="majorHAnsi" w:hAnsiTheme="majorHAnsi" w:cs="Arial"/>
                <w:sz w:val="20"/>
                <w:szCs w:val="20"/>
                <w:lang w:val="en"/>
              </w:rPr>
              <w:t>Strong unions that can hinder the process of optimizing and streamlining the company activity</w:t>
            </w:r>
            <w:r w:rsidRPr="0037604E">
              <w:rPr>
                <w:rFonts w:asciiTheme="majorHAnsi" w:eastAsia="TimesNewRoman" w:hAnsiTheme="majorHAnsi" w:cs="DokChampa"/>
                <w:sz w:val="20"/>
                <w:szCs w:val="20"/>
                <w:lang w:val="ro-RO" w:eastAsia="en-US"/>
              </w:rPr>
              <w:t>.</w:t>
            </w:r>
          </w:p>
        </w:tc>
      </w:tr>
      <w:tr w:rsidR="0037604E" w:rsidRPr="0037604E" w:rsidTr="0037604E">
        <w:trPr>
          <w:tblCellSpacing w:w="20" w:type="dxa"/>
        </w:trPr>
        <w:tc>
          <w:tcPr>
            <w:tcW w:w="4957" w:type="pct"/>
            <w:shd w:val="clear" w:color="auto" w:fill="CAE9C0"/>
          </w:tcPr>
          <w:p w:rsidR="0037604E" w:rsidRPr="0037604E" w:rsidRDefault="0037604E" w:rsidP="0037604E">
            <w:pPr>
              <w:spacing w:after="0" w:line="240" w:lineRule="auto"/>
              <w:ind w:firstLine="0"/>
              <w:rPr>
                <w:rFonts w:asciiTheme="majorHAnsi" w:eastAsia="TimesNewRoman" w:hAnsiTheme="majorHAnsi" w:cs="DokChampa"/>
                <w:b/>
                <w:sz w:val="20"/>
                <w:szCs w:val="20"/>
                <w:highlight w:val="red"/>
                <w:lang w:val="ro-RO" w:eastAsia="en-US"/>
              </w:rPr>
            </w:pPr>
            <w:r w:rsidRPr="0037604E">
              <w:rPr>
                <w:rFonts w:asciiTheme="majorHAnsi" w:hAnsiTheme="majorHAnsi" w:cs="Arial"/>
                <w:b/>
                <w:sz w:val="20"/>
                <w:szCs w:val="20"/>
                <w:lang w:val="en"/>
              </w:rPr>
              <w:lastRenderedPageBreak/>
              <w:t>Financial risks</w:t>
            </w:r>
            <w:r w:rsidRPr="0037604E">
              <w:rPr>
                <w:rFonts w:asciiTheme="majorHAnsi" w:eastAsia="TimesNewRoman" w:hAnsiTheme="majorHAnsi" w:cs="DokChampa"/>
                <w:b/>
                <w:sz w:val="20"/>
                <w:szCs w:val="20"/>
                <w:lang w:val="ro-RO" w:eastAsia="en-US"/>
              </w:rPr>
              <w:t xml:space="preserve"> </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TimesNewRoman" w:hAnsiTheme="majorHAnsi" w:cs="DokChampa"/>
                <w:sz w:val="20"/>
                <w:szCs w:val="20"/>
                <w:highlight w:val="red"/>
                <w:lang w:val="ro-RO" w:eastAsia="en-US"/>
              </w:rPr>
            </w:pPr>
            <w:r w:rsidRPr="0037604E">
              <w:rPr>
                <w:rFonts w:asciiTheme="majorHAnsi" w:eastAsia="TimesNewRoman" w:hAnsiTheme="majorHAnsi" w:cs="DokChampa"/>
                <w:sz w:val="20"/>
                <w:szCs w:val="20"/>
                <w:lang w:val="ro-RO" w:eastAsia="en-US"/>
              </w:rPr>
              <w:t>Credit;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highlight w:val="red"/>
                <w:lang w:val="ro-RO" w:eastAsia="en-US"/>
              </w:rPr>
            </w:pPr>
            <w:r w:rsidRPr="0037604E">
              <w:rPr>
                <w:rFonts w:asciiTheme="majorHAnsi" w:hAnsiTheme="majorHAnsi" w:cs="Arial"/>
                <w:sz w:val="20"/>
                <w:szCs w:val="20"/>
                <w:lang w:val="en"/>
              </w:rPr>
              <w:t>Exchange rates</w:t>
            </w:r>
            <w:r w:rsidRPr="0037604E">
              <w:rPr>
                <w:rFonts w:asciiTheme="majorHAnsi" w:eastAsia="Calibri"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highlight w:val="red"/>
                <w:lang w:val="ro-RO" w:eastAsia="en-US"/>
              </w:rPr>
            </w:pPr>
            <w:r w:rsidRPr="0037604E">
              <w:rPr>
                <w:rFonts w:asciiTheme="majorHAnsi" w:hAnsiTheme="majorHAnsi" w:cs="Arial"/>
                <w:sz w:val="20"/>
                <w:szCs w:val="20"/>
                <w:lang w:val="en"/>
              </w:rPr>
              <w:t>Interest rate</w:t>
            </w:r>
            <w:r w:rsidRPr="0037604E">
              <w:rPr>
                <w:rFonts w:asciiTheme="majorHAnsi" w:eastAsia="Calibri" w:hAnsiTheme="majorHAnsi" w:cs="DokChampa"/>
                <w:sz w:val="20"/>
                <w:szCs w:val="20"/>
                <w:lang w:val="ro-RO" w:eastAsia="en-US"/>
              </w:rPr>
              <w:t>;</w:t>
            </w:r>
          </w:p>
        </w:tc>
      </w:tr>
      <w:tr w:rsidR="0037604E" w:rsidRPr="0037604E" w:rsidTr="0037604E">
        <w:trPr>
          <w:tblCellSpacing w:w="20" w:type="dxa"/>
        </w:trPr>
        <w:tc>
          <w:tcPr>
            <w:tcW w:w="495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highlight w:val="red"/>
                <w:lang w:val="ro-RO" w:eastAsia="en-US"/>
              </w:rPr>
            </w:pPr>
            <w:r w:rsidRPr="0037604E">
              <w:rPr>
                <w:rFonts w:asciiTheme="majorHAnsi" w:hAnsiTheme="majorHAnsi" w:cs="Arial"/>
                <w:sz w:val="20"/>
                <w:szCs w:val="20"/>
                <w:lang w:val="en"/>
              </w:rPr>
              <w:t>Liquidities</w:t>
            </w:r>
            <w:r w:rsidRPr="0037604E">
              <w:rPr>
                <w:rFonts w:asciiTheme="majorHAnsi" w:eastAsia="Calibri" w:hAnsiTheme="majorHAnsi" w:cs="DokChampa"/>
                <w:sz w:val="20"/>
                <w:szCs w:val="20"/>
                <w:lang w:val="ro-RO" w:eastAsia="en-US"/>
              </w:rPr>
              <w:t>.</w:t>
            </w:r>
          </w:p>
        </w:tc>
      </w:tr>
    </w:tbl>
    <w:p w:rsidR="0037604E" w:rsidRPr="0037604E" w:rsidRDefault="0037604E" w:rsidP="0037604E">
      <w:pPr>
        <w:spacing w:after="0" w:line="240" w:lineRule="auto"/>
        <w:ind w:firstLine="0"/>
        <w:contextualSpacing/>
        <w:jc w:val="both"/>
        <w:rPr>
          <w:rFonts w:asciiTheme="majorHAnsi" w:eastAsia="Times New Roman" w:hAnsiTheme="majorHAnsi" w:cs="Times New Roman"/>
          <w:b/>
          <w:sz w:val="24"/>
          <w:szCs w:val="24"/>
          <w:lang w:eastAsia="ro-RO"/>
        </w:rPr>
      </w:pPr>
    </w:p>
    <w:p w:rsidR="0037604E" w:rsidRPr="0037604E" w:rsidRDefault="0037604E" w:rsidP="0037604E">
      <w:pPr>
        <w:spacing w:after="0" w:line="240" w:lineRule="auto"/>
        <w:ind w:firstLine="0"/>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 xml:space="preserve">Activities performed to establish company </w:t>
      </w:r>
      <w:r w:rsidRPr="00271994">
        <w:rPr>
          <w:rFonts w:asciiTheme="majorHAnsi" w:hAnsiTheme="majorHAnsi" w:cs="Arial"/>
          <w:b/>
          <w:sz w:val="24"/>
          <w:szCs w:val="24"/>
          <w:lang w:val="en"/>
        </w:rPr>
        <w:t>operational risks</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3"/>
        </w:numPr>
        <w:autoSpaceDE w:val="0"/>
        <w:autoSpaceDN w:val="0"/>
        <w:adjustRightInd w:val="0"/>
        <w:spacing w:after="0" w:line="240" w:lineRule="auto"/>
        <w:ind w:left="540" w:right="-140"/>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 xml:space="preserve">preparation of procedure </w:t>
      </w:r>
      <w:r w:rsidRPr="00271994">
        <w:rPr>
          <w:rFonts w:asciiTheme="majorHAnsi" w:hAnsiTheme="majorHAnsi" w:cs="Arial"/>
          <w:b/>
          <w:sz w:val="24"/>
          <w:szCs w:val="24"/>
          <w:lang w:val="en"/>
        </w:rPr>
        <w:t>PP- 91 Preparation/updating of risk register</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3"/>
        </w:numPr>
        <w:autoSpaceDE w:val="0"/>
        <w:autoSpaceDN w:val="0"/>
        <w:adjustRightInd w:val="0"/>
        <w:spacing w:after="0" w:line="240" w:lineRule="auto"/>
        <w:ind w:left="540"/>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establishing specific objectives and performance indicators associated with specific work and objectives by divisions and units</w:t>
      </w:r>
      <w:r w:rsidRPr="0037604E">
        <w:rPr>
          <w:rFonts w:asciiTheme="majorHAnsi" w:eastAsia="Calibri" w:hAnsiTheme="majorHAnsi" w:cs="DokChampa"/>
          <w:sz w:val="24"/>
          <w:szCs w:val="24"/>
          <w:lang w:val="ro-RO" w:eastAsia="en-US"/>
        </w:rPr>
        <w:t xml:space="preserve"> – </w:t>
      </w:r>
      <w:r w:rsidRPr="00271994">
        <w:rPr>
          <w:rFonts w:asciiTheme="majorHAnsi" w:hAnsiTheme="majorHAnsi" w:cs="Arial"/>
          <w:b/>
          <w:sz w:val="24"/>
          <w:szCs w:val="24"/>
          <w:lang w:val="en"/>
        </w:rPr>
        <w:t>Annex</w:t>
      </w:r>
      <w:r w:rsidRPr="00271994">
        <w:rPr>
          <w:rFonts w:asciiTheme="majorHAnsi" w:eastAsia="Calibri" w:hAnsiTheme="majorHAnsi" w:cs="DokChampa"/>
          <w:b/>
          <w:sz w:val="24"/>
          <w:szCs w:val="24"/>
          <w:lang w:val="ro-RO" w:eastAsia="en-US"/>
        </w:rPr>
        <w:t xml:space="preserve"> 1</w:t>
      </w:r>
      <w:r w:rsidRPr="0037604E">
        <w:rPr>
          <w:rFonts w:asciiTheme="majorHAnsi" w:eastAsia="Calibri" w:hAnsiTheme="majorHAnsi" w:cs="DokChampa"/>
          <w:sz w:val="24"/>
          <w:szCs w:val="24"/>
          <w:lang w:val="ro-RO" w:eastAsia="en-US"/>
        </w:rPr>
        <w:t xml:space="preserve"> – </w:t>
      </w:r>
      <w:r w:rsidRPr="0037604E">
        <w:rPr>
          <w:rFonts w:asciiTheme="majorHAnsi" w:hAnsiTheme="majorHAnsi" w:cs="Arial"/>
          <w:sz w:val="24"/>
          <w:szCs w:val="24"/>
          <w:lang w:val="en"/>
        </w:rPr>
        <w:t>Specific objectives and performance indicators by division/unit/department/Medias Subsidiary/regional office in</w:t>
      </w:r>
      <w:r w:rsidRPr="0037604E">
        <w:rPr>
          <w:rFonts w:asciiTheme="majorHAnsi" w:eastAsia="Calibri" w:hAnsiTheme="majorHAnsi" w:cs="DokChampa"/>
          <w:sz w:val="24"/>
          <w:szCs w:val="24"/>
          <w:lang w:val="ro-RO" w:eastAsia="en-US"/>
        </w:rPr>
        <w:t xml:space="preserve"> PP-91 </w:t>
      </w:r>
      <w:r w:rsidRPr="0037604E">
        <w:rPr>
          <w:rFonts w:asciiTheme="majorHAnsi" w:hAnsiTheme="majorHAnsi" w:cs="Arial"/>
          <w:sz w:val="24"/>
          <w:szCs w:val="24"/>
          <w:lang w:val="en"/>
        </w:rPr>
        <w:t>Preparation/updating of risk register</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3"/>
        </w:numPr>
        <w:autoSpaceDE w:val="0"/>
        <w:autoSpaceDN w:val="0"/>
        <w:adjustRightInd w:val="0"/>
        <w:spacing w:after="0" w:line="240" w:lineRule="auto"/>
        <w:ind w:left="540"/>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establishing performance indicators associated with specific activities and targets by divisions, units</w:t>
      </w:r>
      <w:r w:rsidRPr="0037604E">
        <w:rPr>
          <w:rFonts w:asciiTheme="majorHAnsi" w:eastAsia="Calibri" w:hAnsiTheme="majorHAnsi" w:cs="DokChampa"/>
          <w:sz w:val="24"/>
          <w:szCs w:val="24"/>
          <w:lang w:val="ro-RO" w:eastAsia="en-US"/>
        </w:rPr>
        <w:t>, the Black sea PMU;</w:t>
      </w:r>
    </w:p>
    <w:p w:rsidR="0037604E" w:rsidRPr="0037604E" w:rsidRDefault="0037604E" w:rsidP="00FA6EB9">
      <w:pPr>
        <w:numPr>
          <w:ilvl w:val="0"/>
          <w:numId w:val="173"/>
        </w:numPr>
        <w:autoSpaceDE w:val="0"/>
        <w:autoSpaceDN w:val="0"/>
        <w:adjustRightInd w:val="0"/>
        <w:spacing w:after="0" w:line="240" w:lineRule="auto"/>
        <w:ind w:left="540" w:right="-140"/>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 xml:space="preserve">establishing activities specific </w:t>
      </w:r>
      <w:r w:rsidRPr="0037604E">
        <w:rPr>
          <w:rFonts w:asciiTheme="majorHAnsi" w:eastAsia="Calibri" w:hAnsiTheme="majorHAnsi" w:cs="DokChampa"/>
          <w:sz w:val="24"/>
          <w:szCs w:val="24"/>
          <w:lang w:val="ro-RO" w:eastAsia="en-US"/>
        </w:rPr>
        <w:t xml:space="preserve">to the department/office within the division/unit/independent department to meet specific targets  and the performance indicators and inherent risks by activities –Annex 1a – Department/office targets, </w:t>
      </w:r>
      <w:r w:rsidRPr="0037604E">
        <w:rPr>
          <w:rFonts w:asciiTheme="majorHAnsi" w:hAnsiTheme="majorHAnsi" w:cs="Arial"/>
          <w:sz w:val="24"/>
          <w:szCs w:val="24"/>
          <w:lang w:val="en"/>
        </w:rPr>
        <w:t>activities, performance indicators, risks, risk level and control instruments</w:t>
      </w:r>
      <w:r w:rsidRPr="0037604E">
        <w:rPr>
          <w:rFonts w:asciiTheme="majorHAnsi" w:eastAsia="Calibri" w:hAnsiTheme="majorHAnsi" w:cs="DokChampa"/>
          <w:sz w:val="24"/>
          <w:szCs w:val="24"/>
          <w:lang w:val="ro-RO" w:eastAsia="en-US"/>
        </w:rPr>
        <w:t xml:space="preserve"> in PP-91 </w:t>
      </w:r>
      <w:r w:rsidRPr="0037604E">
        <w:rPr>
          <w:rFonts w:asciiTheme="majorHAnsi" w:hAnsiTheme="majorHAnsi" w:cs="Arial"/>
          <w:sz w:val="24"/>
          <w:szCs w:val="24"/>
          <w:lang w:val="en"/>
        </w:rPr>
        <w:t>Preparation/updating of risk register</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3"/>
        </w:numPr>
        <w:autoSpaceDE w:val="0"/>
        <w:autoSpaceDN w:val="0"/>
        <w:adjustRightInd w:val="0"/>
        <w:spacing w:after="0" w:line="240" w:lineRule="auto"/>
        <w:ind w:left="540" w:right="-140"/>
        <w:contextualSpacing/>
        <w:jc w:val="both"/>
        <w:rPr>
          <w:rFonts w:asciiTheme="majorHAnsi" w:eastAsia="Calibri" w:hAnsiTheme="majorHAnsi" w:cs="DokChampa"/>
          <w:sz w:val="24"/>
          <w:szCs w:val="24"/>
          <w:lang w:val="ro-RO" w:eastAsia="en-US"/>
        </w:rPr>
      </w:pPr>
      <w:r w:rsidRPr="0037604E">
        <w:rPr>
          <w:rFonts w:asciiTheme="majorHAnsi" w:eastAsia="Calibri" w:hAnsiTheme="majorHAnsi" w:cs="DokChampa"/>
          <w:sz w:val="24"/>
          <w:szCs w:val="24"/>
          <w:lang w:val="ro-RO" w:eastAsia="en-US"/>
        </w:rPr>
        <w:t xml:space="preserve">preparation of Plans to </w:t>
      </w:r>
      <w:r w:rsidRPr="0037604E">
        <w:rPr>
          <w:rFonts w:asciiTheme="majorHAnsi" w:hAnsiTheme="majorHAnsi" w:cs="Arial"/>
          <w:sz w:val="24"/>
          <w:szCs w:val="24"/>
          <w:lang w:val="en"/>
        </w:rPr>
        <w:t>minimize identified (inherent) risks for the risks identified by division/unit and until the department/office level</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3"/>
        </w:numPr>
        <w:autoSpaceDE w:val="0"/>
        <w:autoSpaceDN w:val="0"/>
        <w:adjustRightInd w:val="0"/>
        <w:spacing w:after="0" w:line="240" w:lineRule="auto"/>
        <w:ind w:left="540" w:right="-140"/>
        <w:contextualSpacing/>
        <w:jc w:val="both"/>
        <w:rPr>
          <w:rFonts w:asciiTheme="majorHAnsi" w:eastAsia="Calibri" w:hAnsiTheme="majorHAnsi" w:cs="DokChampa"/>
          <w:sz w:val="24"/>
          <w:szCs w:val="24"/>
          <w:lang w:val="ro-RO" w:eastAsia="en-US"/>
        </w:rPr>
      </w:pPr>
      <w:r w:rsidRPr="0037604E">
        <w:rPr>
          <w:rFonts w:asciiTheme="majorHAnsi" w:eastAsia="Calibri" w:hAnsiTheme="majorHAnsi" w:cs="DokChampa"/>
          <w:sz w:val="24"/>
          <w:szCs w:val="24"/>
          <w:lang w:val="ro-RO" w:eastAsia="en-US"/>
        </w:rPr>
        <w:t xml:space="preserve">preparation and undating of the company Risk Register for </w:t>
      </w:r>
      <w:r w:rsidRPr="0037604E">
        <w:rPr>
          <w:rFonts w:asciiTheme="majorHAnsi" w:hAnsiTheme="majorHAnsi" w:cs="Arial"/>
          <w:sz w:val="24"/>
          <w:szCs w:val="24"/>
          <w:lang w:val="en"/>
        </w:rPr>
        <w:t xml:space="preserve">escalating risks and </w:t>
      </w:r>
      <w:r w:rsidRPr="0037604E">
        <w:rPr>
          <w:rFonts w:asciiTheme="majorHAnsi" w:eastAsia="Calibri" w:hAnsiTheme="majorHAnsi" w:cs="DokChampa"/>
          <w:sz w:val="24"/>
          <w:szCs w:val="24"/>
          <w:lang w:val="ro-RO" w:eastAsia="en-US"/>
        </w:rPr>
        <w:t>and the Plan of Measures to Minimize Risks for escalated risks for the top management.</w:t>
      </w: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 xml:space="preserve">Since risk management is a very complex process and the number of company sections is relatively high initially office, department, company, </w:t>
      </w:r>
      <w:r w:rsidRPr="00271994">
        <w:rPr>
          <w:rFonts w:asciiTheme="majorHAnsi" w:hAnsiTheme="majorHAnsi" w:cs="Arial"/>
          <w:b/>
          <w:sz w:val="24"/>
          <w:szCs w:val="24"/>
          <w:lang w:val="en"/>
        </w:rPr>
        <w:t>operational</w:t>
      </w:r>
      <w:r w:rsidRPr="0037604E">
        <w:rPr>
          <w:rFonts w:asciiTheme="majorHAnsi" w:hAnsiTheme="majorHAnsi" w:cs="Arial"/>
          <w:sz w:val="24"/>
          <w:szCs w:val="24"/>
          <w:lang w:val="en"/>
        </w:rPr>
        <w:t xml:space="preserve"> risks were identified, and risk registers were prepared by office, department, </w:t>
      </w:r>
      <w:r w:rsidR="00F6518B" w:rsidRPr="0037604E">
        <w:rPr>
          <w:rFonts w:asciiTheme="majorHAnsi" w:hAnsiTheme="majorHAnsi" w:cs="Arial"/>
          <w:sz w:val="24"/>
          <w:szCs w:val="24"/>
          <w:lang w:val="en"/>
        </w:rPr>
        <w:t>and company</w:t>
      </w:r>
      <w:r w:rsidRPr="0037604E">
        <w:rPr>
          <w:rFonts w:asciiTheme="majorHAnsi" w:hAnsiTheme="majorHAnsi" w:cs="Arial"/>
          <w:sz w:val="24"/>
          <w:szCs w:val="24"/>
          <w:lang w:val="en"/>
        </w:rPr>
        <w:t xml:space="preserve"> (according to PP-91).</w:t>
      </w:r>
      <w:r w:rsidRPr="0037604E">
        <w:rPr>
          <w:rFonts w:asciiTheme="majorHAnsi" w:eastAsia="Calibri" w:hAnsiTheme="majorHAnsi" w:cs="DokChampa"/>
          <w:sz w:val="24"/>
          <w:szCs w:val="24"/>
          <w:lang w:val="ro-RO" w:eastAsia="en-US"/>
        </w:rPr>
        <w:t xml:space="preserve"> </w:t>
      </w: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r w:rsidRPr="0037604E">
        <w:rPr>
          <w:rFonts w:asciiTheme="majorHAnsi" w:hAnsiTheme="majorHAnsi" w:cs="Arial"/>
          <w:lang w:val="en"/>
        </w:rPr>
        <w:t xml:space="preserve">Subsequently the </w:t>
      </w:r>
      <w:r w:rsidRPr="00F6518B">
        <w:rPr>
          <w:rFonts w:asciiTheme="majorHAnsi" w:hAnsiTheme="majorHAnsi" w:cs="Arial"/>
          <w:b/>
          <w:lang w:val="en"/>
        </w:rPr>
        <w:t>Risk Management</w:t>
      </w:r>
      <w:r w:rsidRPr="0037604E">
        <w:rPr>
          <w:rFonts w:asciiTheme="majorHAnsi" w:hAnsiTheme="majorHAnsi" w:cs="Arial"/>
          <w:lang w:val="en"/>
        </w:rPr>
        <w:t xml:space="preserve"> procedure was developed following that the risks identified are analyzed by the Risk Management Team and the Monitoring Committee for the preparation of the company final Risk Register and of the plans for minimizing risks</w:t>
      </w:r>
      <w:r w:rsidRPr="0037604E">
        <w:rPr>
          <w:rFonts w:asciiTheme="majorHAnsi" w:eastAsia="Calibri" w:hAnsiTheme="majorHAnsi" w:cs="DokChampa"/>
          <w:sz w:val="24"/>
          <w:szCs w:val="24"/>
          <w:lang w:val="ro-RO" w:eastAsia="en-US"/>
        </w:rPr>
        <w:t>.</w:t>
      </w:r>
    </w:p>
    <w:p w:rsidR="0037604E" w:rsidRPr="0037604E" w:rsidRDefault="0037604E" w:rsidP="0037604E">
      <w:pPr>
        <w:spacing w:after="0" w:line="240" w:lineRule="auto"/>
        <w:ind w:firstLine="0"/>
        <w:jc w:val="both"/>
        <w:rPr>
          <w:rFonts w:asciiTheme="majorHAnsi" w:eastAsia="Calibri" w:hAnsiTheme="majorHAnsi" w:cs="DokChampa"/>
          <w:b/>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All measures taken until now refer to operational risks, but it should be also considered and other company risks identified</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4"/>
        </w:numPr>
        <w:spacing w:after="0" w:line="240" w:lineRule="auto"/>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Risks related to the economic environment</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4"/>
        </w:numPr>
        <w:spacing w:after="0" w:line="240" w:lineRule="auto"/>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Risks related to the gas sector</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4"/>
        </w:numPr>
        <w:spacing w:after="0" w:line="240" w:lineRule="auto"/>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Risks related to natural gas transmission activity (laws, regulations</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4"/>
        </w:numPr>
        <w:spacing w:after="0" w:line="240" w:lineRule="auto"/>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Financial risks</w:t>
      </w:r>
      <w:r w:rsidRPr="0037604E">
        <w:rPr>
          <w:rFonts w:asciiTheme="majorHAnsi" w:eastAsia="Calibri" w:hAnsiTheme="majorHAnsi" w:cs="DokChampa"/>
          <w:sz w:val="24"/>
          <w:szCs w:val="24"/>
          <w:lang w:val="ro-RO" w:eastAsia="en-US"/>
        </w:rPr>
        <w:t>;</w:t>
      </w:r>
    </w:p>
    <w:p w:rsidR="0037604E" w:rsidRPr="0037604E" w:rsidRDefault="0037604E" w:rsidP="00FA6EB9">
      <w:pPr>
        <w:numPr>
          <w:ilvl w:val="0"/>
          <w:numId w:val="174"/>
        </w:numPr>
        <w:spacing w:after="0" w:line="240" w:lineRule="auto"/>
        <w:contextualSpacing/>
        <w:jc w:val="both"/>
        <w:rPr>
          <w:rFonts w:asciiTheme="majorHAnsi" w:eastAsia="Calibri" w:hAnsiTheme="majorHAnsi" w:cs="DokChampa"/>
          <w:sz w:val="24"/>
          <w:szCs w:val="24"/>
          <w:lang w:val="ro-RO" w:eastAsia="en-US"/>
        </w:rPr>
      </w:pPr>
      <w:r w:rsidRPr="0037604E">
        <w:rPr>
          <w:rFonts w:asciiTheme="majorHAnsi" w:hAnsiTheme="majorHAnsi" w:cs="Arial"/>
          <w:sz w:val="24"/>
          <w:szCs w:val="24"/>
          <w:lang w:val="en"/>
        </w:rPr>
        <w:t>Risks due to natural disasters (earthquakes, floods)</w:t>
      </w:r>
      <w:r w:rsidRPr="0037604E">
        <w:rPr>
          <w:rFonts w:asciiTheme="majorHAnsi" w:eastAsia="Calibri" w:hAnsiTheme="majorHAnsi" w:cs="DokChampa"/>
          <w:sz w:val="24"/>
          <w:szCs w:val="24"/>
          <w:lang w:val="ro-RO" w:eastAsia="en-US"/>
        </w:rPr>
        <w:t>.</w:t>
      </w:r>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eastAsia="ro-RO"/>
        </w:rPr>
      </w:pPr>
      <w:r w:rsidRPr="0037604E">
        <w:rPr>
          <w:rFonts w:asciiTheme="majorHAnsi" w:eastAsia="Times New Roman" w:hAnsiTheme="majorHAnsi" w:cstheme="majorBidi"/>
          <w:b/>
          <w:bCs/>
          <w:i/>
          <w:iCs/>
          <w:sz w:val="26"/>
          <w:szCs w:val="26"/>
          <w:lang w:val="en-GB" w:eastAsia="ro-RO"/>
        </w:rPr>
        <w:t xml:space="preserve">3.1.15 Other aspects </w:t>
      </w:r>
      <w:bookmarkEnd w:id="46"/>
      <w:r w:rsidRPr="0037604E">
        <w:rPr>
          <w:rFonts w:asciiTheme="majorHAnsi" w:eastAsia="Times New Roman" w:hAnsiTheme="majorHAnsi" w:cstheme="majorBidi"/>
          <w:b/>
          <w:bCs/>
          <w:i/>
          <w:iCs/>
          <w:sz w:val="26"/>
          <w:szCs w:val="26"/>
          <w:lang w:val="en-GB" w:eastAsia="ro-RO"/>
        </w:rPr>
        <w:t>of the company’s activity</w:t>
      </w:r>
      <w:bookmarkEnd w:id="47"/>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In order to implement the strategy of the Management Plan between 2013-2017 SNTGN Transgaz SA, given the EU's requirements regarding the development of the NTS interconnection with the similar transmission systems in neighbouring countries and the discovery of significant natural gas reserves in the Black Sea in December 2013</w:t>
      </w:r>
      <w:r w:rsidRPr="0037604E">
        <w:rPr>
          <w:rFonts w:ascii="Cambria" w:eastAsia="Calibri" w:hAnsi="Cambria" w:cs="Times New Roman"/>
          <w:i/>
          <w:sz w:val="24"/>
          <w:szCs w:val="24"/>
          <w:lang w:val="en-GB" w:eastAsia="en-US"/>
        </w:rPr>
        <w:t xml:space="preserve"> the</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i/>
          <w:sz w:val="24"/>
          <w:szCs w:val="24"/>
          <w:lang w:val="en-GB" w:eastAsia="en-US"/>
        </w:rPr>
        <w:t xml:space="preserve">Black Sea Project Management </w:t>
      </w:r>
      <w:r w:rsidRPr="0037604E">
        <w:rPr>
          <w:rFonts w:ascii="Cambria" w:eastAsia="Calibri" w:hAnsi="Cambria" w:cs="Times New Roman"/>
          <w:sz w:val="24"/>
          <w:szCs w:val="24"/>
          <w:lang w:val="en-GB" w:eastAsia="en-US"/>
        </w:rPr>
        <w:t>Unit was established within Transgaz</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lastRenderedPageBreak/>
        <w:t>The main activity of Black Sea PMU is to ensure the integrated management of the infrastructure development projects of the Romania’s National Transmission System for Gas (NTS) to teke gas from the Black Sea in accordance with the NTS Development Plan 2014-2023</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A series of activities and discussions of technical, legal, economic, financial and regulatory nature were started in this regard with the stakeholders for the successful implementation of the necessary infrastructure projects.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FA6EB9">
      <w:pPr>
        <w:numPr>
          <w:ilvl w:val="0"/>
          <w:numId w:val="16"/>
        </w:numPr>
        <w:spacing w:after="0" w:line="240" w:lineRule="auto"/>
        <w:ind w:left="284" w:hanging="218"/>
        <w:contextualSpacing/>
        <w:jc w:val="both"/>
        <w:rPr>
          <w:rFonts w:ascii="Cambria" w:eastAsia="Calibri" w:hAnsi="Cambria" w:cs="Arial"/>
          <w:b/>
          <w:sz w:val="24"/>
          <w:szCs w:val="24"/>
          <w:lang w:val="en-GB" w:eastAsia="en-US"/>
        </w:rPr>
      </w:pPr>
      <w:r w:rsidRPr="0037604E">
        <w:rPr>
          <w:rFonts w:ascii="Cambria" w:eastAsia="Calibri" w:hAnsi="Cambria" w:cs="Arial"/>
          <w:b/>
          <w:sz w:val="24"/>
          <w:szCs w:val="24"/>
          <w:lang w:val="en-GB" w:eastAsia="en-US"/>
        </w:rPr>
        <w:t>Cooperation with companies holding development licenses for blocks in the Black Sea</w:t>
      </w:r>
    </w:p>
    <w:p w:rsidR="0037604E" w:rsidRPr="0037604E" w:rsidRDefault="0037604E" w:rsidP="0037604E">
      <w:pPr>
        <w:spacing w:after="0" w:line="240" w:lineRule="auto"/>
        <w:ind w:firstLine="0"/>
        <w:contextualSpacing/>
        <w:jc w:val="both"/>
        <w:rPr>
          <w:rFonts w:asciiTheme="majorHAnsi" w:eastAsia="Calibri" w:hAnsiTheme="majorHAnsi" w:cs="Times New Roman"/>
          <w:sz w:val="24"/>
          <w:szCs w:val="24"/>
          <w:lang w:val="en-GB" w:eastAsia="en-US"/>
        </w:rPr>
      </w:pPr>
    </w:p>
    <w:p w:rsidR="0037604E" w:rsidRPr="0037604E" w:rsidRDefault="0037604E" w:rsidP="00FA6EB9">
      <w:pPr>
        <w:numPr>
          <w:ilvl w:val="0"/>
          <w:numId w:val="52"/>
        </w:numPr>
        <w:spacing w:after="0" w:line="240" w:lineRule="auto"/>
        <w:contextualSpacing/>
        <w:jc w:val="both"/>
        <w:rPr>
          <w:rFonts w:asciiTheme="majorHAnsi" w:eastAsia="Calibri" w:hAnsiTheme="majorHAnsi" w:cs="Times New Roman"/>
          <w:b/>
          <w:i/>
          <w:sz w:val="24"/>
          <w:szCs w:val="24"/>
          <w:lang w:val="en-GB" w:eastAsia="en-US"/>
        </w:rPr>
      </w:pPr>
      <w:r w:rsidRPr="0037604E">
        <w:rPr>
          <w:rFonts w:asciiTheme="majorHAnsi" w:eastAsia="Calibri" w:hAnsiTheme="majorHAnsi" w:cs="Times New Roman"/>
          <w:b/>
          <w:i/>
          <w:sz w:val="24"/>
          <w:szCs w:val="24"/>
          <w:lang w:val="en-GB" w:eastAsia="en-US"/>
        </w:rPr>
        <w:t xml:space="preserve">Cooperation with ExxonMobil and OMV Petrom </w:t>
      </w:r>
    </w:p>
    <w:p w:rsidR="0037604E" w:rsidRPr="0037604E" w:rsidRDefault="0037604E" w:rsidP="0037604E">
      <w:pPr>
        <w:tabs>
          <w:tab w:val="left" w:pos="1080"/>
          <w:tab w:val="left" w:pos="1170"/>
        </w:tabs>
        <w:spacing w:after="0" w:line="240" w:lineRule="auto"/>
        <w:ind w:left="720" w:hanging="11"/>
        <w:contextualSpacing/>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GB"/>
        </w:rPr>
        <w:t xml:space="preserve">Under the Cooperation Agreement signed in 2014 </w:t>
      </w:r>
      <w:r w:rsidRPr="0037604E">
        <w:rPr>
          <w:rFonts w:asciiTheme="majorHAnsi" w:eastAsia="Calibri" w:hAnsiTheme="majorHAnsi" w:cs="Times New Roman"/>
          <w:sz w:val="24"/>
          <w:szCs w:val="24"/>
          <w:lang w:val="ro-RO" w:eastAsia="en-US"/>
        </w:rPr>
        <w:t xml:space="preserve">Transgaz continued the cooperation with </w:t>
      </w:r>
      <w:r w:rsidRPr="0037604E">
        <w:rPr>
          <w:rFonts w:asciiTheme="majorHAnsi" w:hAnsiTheme="majorHAnsi"/>
          <w:sz w:val="24"/>
          <w:lang w:val="ro-RO"/>
        </w:rPr>
        <w:t>ExxonMobil nd OMV Petrom</w:t>
      </w:r>
      <w:r w:rsidRPr="0037604E">
        <w:rPr>
          <w:rFonts w:asciiTheme="majorHAnsi" w:eastAsia="Calibri" w:hAnsiTheme="majorHAnsi" w:cs="Times New Roman"/>
          <w:sz w:val="24"/>
          <w:szCs w:val="24"/>
          <w:lang w:val="ro-RO" w:eastAsia="en-US"/>
        </w:rPr>
        <w:t>, the exchnage of technical, economic, financial and legal information aiming at the coordination of NTS necessary developments an offshore developments in the Black Sea blocks.</w:t>
      </w:r>
    </w:p>
    <w:p w:rsidR="0037604E" w:rsidRPr="0037604E" w:rsidRDefault="0037604E" w:rsidP="0037604E">
      <w:pPr>
        <w:tabs>
          <w:tab w:val="left" w:pos="1080"/>
          <w:tab w:val="left" w:pos="1170"/>
        </w:tabs>
        <w:spacing w:after="0" w:line="240" w:lineRule="auto"/>
        <w:ind w:left="720" w:hanging="436"/>
        <w:contextualSpacing/>
        <w:jc w:val="both"/>
        <w:rPr>
          <w:rFonts w:asciiTheme="majorHAnsi" w:eastAsia="Calibri" w:hAnsiTheme="majorHAnsi" w:cs="Times New Roman"/>
          <w:sz w:val="24"/>
          <w:szCs w:val="24"/>
          <w:lang w:val="ro-RO" w:eastAsia="en-US"/>
        </w:rPr>
      </w:pPr>
    </w:p>
    <w:p w:rsidR="0037604E" w:rsidRPr="0037604E" w:rsidRDefault="0037604E" w:rsidP="00FA6EB9">
      <w:pPr>
        <w:numPr>
          <w:ilvl w:val="0"/>
          <w:numId w:val="52"/>
        </w:numPr>
        <w:tabs>
          <w:tab w:val="left" w:pos="1080"/>
          <w:tab w:val="left" w:pos="1170"/>
        </w:tabs>
        <w:spacing w:after="0" w:line="240" w:lineRule="auto"/>
        <w:contextualSpacing/>
        <w:jc w:val="both"/>
        <w:rPr>
          <w:rFonts w:asciiTheme="majorHAnsi" w:hAnsiTheme="majorHAnsi"/>
          <w:sz w:val="24"/>
          <w:lang w:val="ro-RO"/>
        </w:rPr>
      </w:pPr>
      <w:r w:rsidRPr="0037604E">
        <w:rPr>
          <w:rFonts w:asciiTheme="majorHAnsi" w:eastAsia="Calibri" w:hAnsiTheme="majorHAnsi" w:cs="Times New Roman"/>
          <w:b/>
          <w:i/>
          <w:sz w:val="24"/>
          <w:szCs w:val="24"/>
          <w:lang w:val="en-GB" w:eastAsia="en-US"/>
        </w:rPr>
        <w:t>Cooperation with Black Sea Oil&amp;Gas S.R.L./Petro Ventures Europe B.V/Gas Plus International B.V</w:t>
      </w:r>
      <w:r w:rsidRPr="0037604E">
        <w:rPr>
          <w:rFonts w:asciiTheme="majorHAnsi" w:eastAsia="Calibri" w:hAnsiTheme="majorHAnsi" w:cs="Times New Roman"/>
          <w:i/>
          <w:sz w:val="24"/>
          <w:szCs w:val="24"/>
          <w:lang w:val="en-GB" w:eastAsia="en-US"/>
        </w:rPr>
        <w:t>.</w:t>
      </w:r>
      <w:r w:rsidRPr="0037604E">
        <w:rPr>
          <w:rFonts w:asciiTheme="majorHAnsi" w:hAnsiTheme="majorHAnsi" w:cs="Arial"/>
          <w:sz w:val="24"/>
          <w:szCs w:val="24"/>
          <w:lang w:val="en-GB"/>
        </w:rPr>
        <w:t xml:space="preserve"> </w:t>
      </w:r>
    </w:p>
    <w:p w:rsidR="0037604E" w:rsidRPr="00F6518B" w:rsidRDefault="0037604E" w:rsidP="00F6518B">
      <w:pPr>
        <w:tabs>
          <w:tab w:val="left" w:pos="1080"/>
          <w:tab w:val="left" w:pos="1170"/>
        </w:tabs>
        <w:spacing w:after="0" w:line="240" w:lineRule="auto"/>
        <w:ind w:left="720" w:firstLine="0"/>
        <w:contextualSpacing/>
        <w:jc w:val="both"/>
        <w:rPr>
          <w:rFonts w:asciiTheme="majorHAnsi" w:hAnsiTheme="majorHAnsi"/>
          <w:sz w:val="24"/>
          <w:lang w:val="ro-RO"/>
        </w:rPr>
      </w:pPr>
      <w:r w:rsidRPr="0037604E">
        <w:rPr>
          <w:rFonts w:asciiTheme="majorHAnsi" w:hAnsiTheme="majorHAnsi" w:cs="Arial"/>
          <w:sz w:val="24"/>
          <w:szCs w:val="24"/>
          <w:lang w:val="en-GB"/>
        </w:rPr>
        <w:t xml:space="preserve">Under the Cooperation Agreement signed in </w:t>
      </w:r>
      <w:r w:rsidRPr="0037604E">
        <w:rPr>
          <w:rFonts w:asciiTheme="majorHAnsi" w:eastAsia="Calibri" w:hAnsiTheme="majorHAnsi" w:cs="Times New Roman"/>
          <w:sz w:val="24"/>
          <w:szCs w:val="24"/>
          <w:lang w:val="ro-RO" w:eastAsia="en-US"/>
        </w:rPr>
        <w:t xml:space="preserve">2015 with Black Sea Oil &amp; Gas S.R.L., Petro Ventures Europe B.V. and Gas Plus Internațional B.V., Transgaz cooperated with the representatives of the parties involved to mutually inform each other on the progress made and on the harmonisation fo the development and implementation schedules of the two projects. </w:t>
      </w:r>
    </w:p>
    <w:p w:rsidR="0037604E" w:rsidRPr="0037604E" w:rsidRDefault="0037604E" w:rsidP="0037604E">
      <w:pPr>
        <w:spacing w:after="0" w:line="240" w:lineRule="auto"/>
        <w:ind w:left="284" w:firstLine="0"/>
        <w:contextualSpacing/>
        <w:jc w:val="both"/>
        <w:rPr>
          <w:rFonts w:ascii="Cambria" w:eastAsia="Calibri" w:hAnsi="Cambria" w:cs="Arial"/>
          <w:b/>
          <w:sz w:val="24"/>
          <w:szCs w:val="24"/>
          <w:lang w:val="en-GB" w:eastAsia="en-US"/>
        </w:rPr>
      </w:pPr>
    </w:p>
    <w:p w:rsidR="0037604E" w:rsidRPr="0037604E" w:rsidRDefault="0037604E" w:rsidP="00FA6EB9">
      <w:pPr>
        <w:numPr>
          <w:ilvl w:val="0"/>
          <w:numId w:val="1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Obtainin</w:t>
      </w:r>
      <w:r w:rsidR="00F6518B">
        <w:rPr>
          <w:rFonts w:ascii="Cambria" w:eastAsia="Calibri" w:hAnsi="Cambria" w:cs="Times New Roman"/>
          <w:b/>
          <w:sz w:val="24"/>
          <w:szCs w:val="24"/>
          <w:lang w:val="en-GB" w:eastAsia="en-US"/>
        </w:rPr>
        <w:t>g grants in order to finance</w:t>
      </w:r>
      <w:r w:rsidRPr="0037604E">
        <w:rPr>
          <w:rFonts w:ascii="Cambria" w:eastAsia="Calibri" w:hAnsi="Cambria" w:cs="Times New Roman"/>
          <w:b/>
          <w:sz w:val="24"/>
          <w:szCs w:val="24"/>
          <w:lang w:val="en-GB" w:eastAsia="en-US"/>
        </w:rPr>
        <w:t xml:space="preserve"> projects </w:t>
      </w:r>
    </w:p>
    <w:p w:rsidR="0037604E" w:rsidRPr="0037604E" w:rsidRDefault="0037604E" w:rsidP="0037604E">
      <w:pPr>
        <w:spacing w:after="0" w:line="240" w:lineRule="auto"/>
        <w:ind w:firstLine="0"/>
        <w:contextualSpacing/>
        <w:jc w:val="both"/>
        <w:rPr>
          <w:rFonts w:ascii="Cambria" w:eastAsia="Calibri" w:hAnsi="Cambria" w:cs="Times New Roman"/>
          <w:sz w:val="24"/>
          <w:szCs w:val="24"/>
          <w:lang w:val="en-GB" w:eastAsia="en-US"/>
        </w:rPr>
      </w:pPr>
    </w:p>
    <w:p w:rsidR="0037604E" w:rsidRPr="0037604E" w:rsidRDefault="0037604E" w:rsidP="00FA6EB9">
      <w:pPr>
        <w:numPr>
          <w:ilvl w:val="0"/>
          <w:numId w:val="52"/>
        </w:numPr>
        <w:spacing w:after="0" w:line="240" w:lineRule="auto"/>
        <w:contextualSpacing/>
        <w:jc w:val="both"/>
        <w:rPr>
          <w:rFonts w:ascii="Cambria" w:eastAsia="Calibri" w:hAnsi="Cambria" w:cs="Times New Roman"/>
          <w:b/>
          <w:i/>
          <w:sz w:val="24"/>
          <w:szCs w:val="24"/>
          <w:lang w:val="en-GB" w:eastAsia="en-US"/>
        </w:rPr>
      </w:pPr>
      <w:r w:rsidRPr="0037604E">
        <w:rPr>
          <w:rFonts w:ascii="Cambria" w:eastAsia="Calibri" w:hAnsi="Cambria" w:cs="Times New Roman"/>
          <w:b/>
          <w:i/>
          <w:sz w:val="24"/>
          <w:szCs w:val="24"/>
          <w:lang w:val="en-GB" w:eastAsia="en-US"/>
        </w:rPr>
        <w:t>Grant under the CEF</w:t>
      </w:r>
    </w:p>
    <w:p w:rsidR="0037604E" w:rsidRPr="0037604E" w:rsidRDefault="0037604E" w:rsidP="0037604E">
      <w:pPr>
        <w:spacing w:after="0" w:line="240" w:lineRule="auto"/>
        <w:ind w:left="360" w:firstLine="0"/>
        <w:contextualSpacing/>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Cambria" w:hAnsi="Cambria" w:cs="Arial"/>
          <w:sz w:val="24"/>
          <w:szCs w:val="24"/>
          <w:lang w:val="en-GB"/>
        </w:rPr>
        <w:t xml:space="preserve">The Black Sea PMU provided support to the EU Funds and International Relations Division to formulate answers for clarification and additional information requested by </w:t>
      </w:r>
      <w:r w:rsidRPr="0037604E">
        <w:rPr>
          <w:rFonts w:asciiTheme="majorHAnsi" w:eastAsia="Calibri" w:hAnsiTheme="majorHAnsi" w:cs="Times New Roman"/>
          <w:sz w:val="24"/>
          <w:szCs w:val="24"/>
          <w:lang w:val="ro-RO" w:eastAsia="en-US"/>
        </w:rPr>
        <w:t xml:space="preserve"> </w:t>
      </w:r>
      <w:r w:rsidRPr="0037604E">
        <w:rPr>
          <w:rFonts w:ascii="Cambria" w:hAnsi="Cambria" w:cs="Arial"/>
          <w:sz w:val="24"/>
          <w:szCs w:val="24"/>
          <w:lang w:val="en-GB"/>
        </w:rPr>
        <w:t>Innovation &amp; Networks Executive Agency (INEA) to prepare the Grant Agreement for the execution works under the BRUA Project  Phase 1</w:t>
      </w:r>
      <w:r w:rsidRPr="0037604E">
        <w:rPr>
          <w:rFonts w:asciiTheme="majorHAnsi" w:eastAsia="Calibri" w:hAnsiTheme="majorHAnsi" w:cs="Times New Roman"/>
          <w:sz w:val="24"/>
          <w:szCs w:val="24"/>
          <w:lang w:val="ro-RO" w:eastAsia="en-US"/>
        </w:rPr>
        <w:t>, contract which was signed at Budapest in 09.09.2016</w:t>
      </w:r>
      <w:r w:rsidRPr="0037604E">
        <w:rPr>
          <w:rFonts w:asciiTheme="majorHAnsi" w:hAnsiTheme="majorHAnsi"/>
          <w:sz w:val="24"/>
          <w:lang w:val="ro-RO"/>
        </w:rPr>
        <w:t>.</w:t>
      </w:r>
    </w:p>
    <w:p w:rsidR="0037604E" w:rsidRPr="0037604E" w:rsidRDefault="0037604E" w:rsidP="0037604E">
      <w:pPr>
        <w:spacing w:after="0" w:line="240" w:lineRule="auto"/>
        <w:ind w:firstLine="0"/>
        <w:jc w:val="both"/>
        <w:rPr>
          <w:rFonts w:asciiTheme="majorHAnsi" w:hAnsiTheme="majorHAnsi"/>
          <w:sz w:val="24"/>
          <w:lang w:val="ro-RO"/>
        </w:rPr>
      </w:pPr>
    </w:p>
    <w:p w:rsidR="0037604E" w:rsidRPr="0037604E" w:rsidRDefault="0037604E" w:rsidP="00FA6EB9">
      <w:pPr>
        <w:numPr>
          <w:ilvl w:val="0"/>
          <w:numId w:val="52"/>
        </w:numPr>
        <w:spacing w:after="0" w:line="240" w:lineRule="auto"/>
        <w:ind w:left="0" w:firstLine="0"/>
        <w:contextualSpacing/>
        <w:jc w:val="both"/>
        <w:rPr>
          <w:rFonts w:asciiTheme="majorHAnsi" w:eastAsia="Calibri" w:hAnsiTheme="majorHAnsi" w:cs="Times New Roman"/>
          <w:b/>
          <w:i/>
          <w:sz w:val="24"/>
          <w:szCs w:val="24"/>
          <w:lang w:val="ro-RO" w:eastAsia="en-US"/>
        </w:rPr>
      </w:pPr>
      <w:r w:rsidRPr="0037604E">
        <w:rPr>
          <w:rFonts w:asciiTheme="majorHAnsi" w:eastAsia="Calibri" w:hAnsiTheme="majorHAnsi" w:cs="Times New Roman"/>
          <w:b/>
          <w:i/>
          <w:sz w:val="24"/>
          <w:szCs w:val="24"/>
          <w:lang w:val="ro-RO" w:eastAsia="en-US"/>
        </w:rPr>
        <w:t>Financing f</w:t>
      </w:r>
      <w:r w:rsidR="00F6518B">
        <w:rPr>
          <w:rFonts w:asciiTheme="majorHAnsi" w:eastAsia="Calibri" w:hAnsiTheme="majorHAnsi" w:cs="Times New Roman"/>
          <w:b/>
          <w:i/>
          <w:sz w:val="24"/>
          <w:szCs w:val="24"/>
          <w:lang w:val="ro-RO" w:eastAsia="en-US"/>
        </w:rPr>
        <w:t>r</w:t>
      </w:r>
      <w:r w:rsidRPr="0037604E">
        <w:rPr>
          <w:rFonts w:asciiTheme="majorHAnsi" w:eastAsia="Calibri" w:hAnsiTheme="majorHAnsi" w:cs="Times New Roman"/>
          <w:b/>
          <w:i/>
          <w:sz w:val="24"/>
          <w:szCs w:val="24"/>
          <w:lang w:val="ro-RO" w:eastAsia="en-US"/>
        </w:rPr>
        <w:t>om international bank institutions</w:t>
      </w:r>
    </w:p>
    <w:p w:rsidR="0037604E" w:rsidRPr="0037604E" w:rsidRDefault="0037604E" w:rsidP="0037604E">
      <w:pPr>
        <w:spacing w:after="0" w:line="240" w:lineRule="auto"/>
        <w:ind w:firstLine="0"/>
        <w:contextualSpacing/>
        <w:jc w:val="both"/>
        <w:rPr>
          <w:rFonts w:asciiTheme="majorHAnsi" w:eastAsia="Calibri" w:hAnsiTheme="majorHAnsi" w:cs="Times New Roman"/>
          <w:b/>
          <w:i/>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Cambria" w:hAnsi="Cambria" w:cs="Arial"/>
          <w:sz w:val="24"/>
          <w:szCs w:val="24"/>
          <w:lang w:val="en-GB"/>
        </w:rPr>
        <w:t xml:space="preserve">The Black Sea PMU provided support in the discussions and meetings beteen </w:t>
      </w:r>
      <w:r w:rsidRPr="0037604E">
        <w:rPr>
          <w:rFonts w:asciiTheme="majorHAnsi" w:eastAsia="Calibri" w:hAnsiTheme="majorHAnsi" w:cs="Times New Roman"/>
          <w:sz w:val="24"/>
          <w:szCs w:val="24"/>
          <w:lang w:val="ro-RO" w:eastAsia="en-US"/>
        </w:rPr>
        <w:t>Transgaz and international bank institutions to obtain funds for the BRUA Project.</w:t>
      </w:r>
    </w:p>
    <w:p w:rsidR="0037604E" w:rsidRPr="0037604E" w:rsidRDefault="0037604E" w:rsidP="0037604E">
      <w:pPr>
        <w:spacing w:after="0" w:line="240" w:lineRule="auto"/>
        <w:ind w:firstLine="0"/>
        <w:contextualSpacing/>
        <w:jc w:val="both"/>
        <w:rPr>
          <w:rFonts w:asciiTheme="majorHAnsi" w:hAnsiTheme="majorHAnsi" w:cs="Arial"/>
          <w:sz w:val="24"/>
          <w:szCs w:val="24"/>
          <w:lang w:val="en-GB"/>
        </w:rPr>
      </w:pPr>
    </w:p>
    <w:p w:rsidR="0037604E" w:rsidRPr="0037604E" w:rsidRDefault="0037604E" w:rsidP="00FA6EB9">
      <w:pPr>
        <w:numPr>
          <w:ilvl w:val="0"/>
          <w:numId w:val="52"/>
        </w:numPr>
        <w:spacing w:after="0" w:line="240" w:lineRule="auto"/>
        <w:contextualSpacing/>
        <w:jc w:val="both"/>
        <w:rPr>
          <w:rFonts w:asciiTheme="majorHAnsi" w:eastAsia="Calibri" w:hAnsiTheme="majorHAnsi" w:cs="Times New Roman"/>
          <w:b/>
          <w:sz w:val="24"/>
          <w:szCs w:val="24"/>
          <w:lang w:val="en-GB" w:eastAsia="en-US"/>
        </w:rPr>
      </w:pPr>
      <w:r w:rsidRPr="0037604E">
        <w:rPr>
          <w:rFonts w:asciiTheme="majorHAnsi" w:eastAsia="Calibri" w:hAnsiTheme="majorHAnsi" w:cs="Times New Roman"/>
          <w:b/>
          <w:sz w:val="24"/>
          <w:szCs w:val="24"/>
          <w:lang w:val="en-GB" w:eastAsia="en-US"/>
        </w:rPr>
        <w:t xml:space="preserve">Cooperation with the USTDA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en-GB"/>
        </w:rPr>
      </w:pPr>
    </w:p>
    <w:p w:rsidR="0037604E" w:rsidRPr="0037604E" w:rsidRDefault="0037604E" w:rsidP="0037604E">
      <w:pPr>
        <w:spacing w:after="0" w:line="240" w:lineRule="auto"/>
        <w:ind w:firstLine="0"/>
        <w:contextualSpacing/>
        <w:jc w:val="both"/>
        <w:rPr>
          <w:rFonts w:asciiTheme="majorHAnsi" w:hAnsiTheme="majorHAnsi"/>
          <w:sz w:val="24"/>
        </w:rPr>
      </w:pPr>
      <w:r w:rsidRPr="0037604E">
        <w:rPr>
          <w:rFonts w:asciiTheme="majorHAnsi" w:eastAsia="Times New Roman" w:hAnsiTheme="majorHAnsi" w:cs="Times New Roman"/>
          <w:sz w:val="24"/>
          <w:szCs w:val="24"/>
          <w:lang w:val="en-GB"/>
        </w:rPr>
        <w:t>The cooperation with the United States Trade D</w:t>
      </w:r>
      <w:r w:rsidR="00F6518B">
        <w:rPr>
          <w:rFonts w:asciiTheme="majorHAnsi" w:eastAsia="Times New Roman" w:hAnsiTheme="majorHAnsi" w:cs="Times New Roman"/>
          <w:sz w:val="24"/>
          <w:szCs w:val="24"/>
          <w:lang w:val="en-GB"/>
        </w:rPr>
        <w:t>evelopment Agency was continued</w:t>
      </w:r>
      <w:r w:rsidRPr="0037604E">
        <w:rPr>
          <w:rFonts w:asciiTheme="majorHAnsi" w:eastAsia="Times New Roman" w:hAnsiTheme="majorHAnsi" w:cs="Times New Roman"/>
          <w:sz w:val="24"/>
          <w:szCs w:val="24"/>
          <w:lang w:val="en-GB"/>
        </w:rPr>
        <w:t xml:space="preserve"> based on the Grant Agreement concluded with </w:t>
      </w:r>
      <w:r w:rsidRPr="0037604E">
        <w:rPr>
          <w:rFonts w:asciiTheme="majorHAnsi" w:eastAsia="Calibri" w:hAnsiTheme="majorHAnsi" w:cs="Times New Roman"/>
          <w:sz w:val="24"/>
          <w:szCs w:val="24"/>
          <w:lang w:val="ro-RO" w:eastAsia="en-US"/>
        </w:rPr>
        <w:t>Transgaz in</w:t>
      </w:r>
      <w:r w:rsidRPr="0037604E">
        <w:rPr>
          <w:rFonts w:asciiTheme="majorHAnsi" w:hAnsiTheme="majorHAnsi" w:cs="Arial"/>
          <w:sz w:val="24"/>
          <w:szCs w:val="24"/>
          <w:lang w:val="en-GB"/>
        </w:rPr>
        <w:t xml:space="preserve"> September 2015. USTDA approved the contractor selected by </w:t>
      </w:r>
      <w:r w:rsidRPr="0037604E">
        <w:rPr>
          <w:rFonts w:asciiTheme="majorHAnsi" w:eastAsia="Calibri" w:hAnsiTheme="majorHAnsi" w:cs="Times New Roman"/>
          <w:sz w:val="24"/>
          <w:szCs w:val="24"/>
          <w:lang w:val="ro-RO" w:eastAsia="en-US"/>
        </w:rPr>
        <w:t>Transgaz in charge with the assessment, validationa nd improvement</w:t>
      </w:r>
      <w:r w:rsidRPr="0037604E">
        <w:rPr>
          <w:rFonts w:asciiTheme="majorHAnsi" w:hAnsiTheme="majorHAnsi"/>
          <w:sz w:val="24"/>
          <w:lang w:val="ro-RO"/>
        </w:rPr>
        <w:t xml:space="preserve"> </w:t>
      </w:r>
      <w:r w:rsidRPr="0037604E">
        <w:rPr>
          <w:rFonts w:asciiTheme="majorHAnsi" w:hAnsiTheme="majorHAnsi" w:cs="Arial"/>
          <w:sz w:val="24"/>
          <w:szCs w:val="24"/>
          <w:lang w:val="en-GB"/>
        </w:rPr>
        <w:t>of the feasibility studies for the projects Development on the Romanian territory of the National Gas Transmission System on the Bulgaria - Romania - Hungary - Austria (BRUA) Corridor and the Black Sea shore – Podisor Gas Transmission Pipeline.</w:t>
      </w:r>
      <w:r w:rsidRPr="0037604E">
        <w:rPr>
          <w:rFonts w:asciiTheme="majorHAnsi" w:eastAsia="Calibri" w:hAnsiTheme="majorHAnsi" w:cs="Times New Roman"/>
          <w:iCs/>
          <w:sz w:val="24"/>
          <w:szCs w:val="24"/>
          <w:lang w:val="ro-RO" w:eastAsia="en-US"/>
        </w:rPr>
        <w:t xml:space="preserve"> The draft Agreement agred by the parties was sent to USTDA for approval. Following draft clarifications and supplementation, the agreement on the feasibility study for the </w:t>
      </w:r>
      <w:r w:rsidRPr="0037604E">
        <w:rPr>
          <w:rFonts w:asciiTheme="majorHAnsi" w:eastAsia="Calibri" w:hAnsiTheme="majorHAnsi" w:cs="Times New Roman"/>
          <w:iCs/>
          <w:sz w:val="24"/>
          <w:szCs w:val="24"/>
          <w:lang w:val="ro-RO" w:eastAsia="en-US"/>
        </w:rPr>
        <w:lastRenderedPageBreak/>
        <w:t xml:space="preserve">implementation of the Transgaz project for NTS extension in </w:t>
      </w:r>
      <w:r w:rsidRPr="0037604E">
        <w:rPr>
          <w:rFonts w:asciiTheme="majorHAnsi" w:eastAsia="Calibri" w:hAnsiTheme="majorHAnsi" w:cs="Times New Roman"/>
          <w:iCs/>
          <w:sz w:val="24"/>
          <w:szCs w:val="24"/>
          <w:lang w:eastAsia="en-US"/>
        </w:rPr>
        <w:t xml:space="preserve">Romania was approved by USTDA </w:t>
      </w:r>
      <w:r w:rsidRPr="0037604E">
        <w:rPr>
          <w:rFonts w:asciiTheme="majorHAnsi" w:eastAsia="Calibri" w:hAnsiTheme="majorHAnsi" w:cs="Times New Roman"/>
          <w:iCs/>
          <w:sz w:val="24"/>
          <w:szCs w:val="24"/>
          <w:lang w:val="ro-RO" w:eastAsia="en-US"/>
        </w:rPr>
        <w:t>and signed by</w:t>
      </w:r>
      <w:r w:rsidRPr="0037604E">
        <w:rPr>
          <w:rFonts w:asciiTheme="majorHAnsi" w:eastAsia="Calibri" w:hAnsiTheme="majorHAnsi" w:cs="Times New Roman"/>
          <w:iCs/>
          <w:sz w:val="24"/>
          <w:szCs w:val="24"/>
          <w:lang w:eastAsia="en-US"/>
        </w:rPr>
        <w:t xml:space="preserve"> Transgaz and Granherne Inc.</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On 31.12.2016 this contract was in progress, and </w:t>
      </w:r>
      <w:r w:rsidRPr="0037604E">
        <w:rPr>
          <w:rFonts w:ascii="Cambria" w:hAnsi="Cambria" w:cs="Arial"/>
          <w:sz w:val="24"/>
          <w:szCs w:val="24"/>
          <w:lang w:val="en-GB"/>
        </w:rPr>
        <w:t>The Black Sea PMU made available for the contractor the entire information requested by it regrding the financial model</w:t>
      </w:r>
      <w:r w:rsidRPr="0037604E">
        <w:rPr>
          <w:rFonts w:asciiTheme="majorHAnsi" w:eastAsia="Calibri" w:hAnsiTheme="majorHAnsi" w:cs="Times New Roman"/>
          <w:sz w:val="24"/>
          <w:szCs w:val="24"/>
          <w:lang w:val="ro-RO" w:eastAsia="en-US"/>
        </w:rPr>
        <w:t>, the cost-benefit analysis, etc. for the BRUA Project.</w:t>
      </w:r>
    </w:p>
    <w:p w:rsidR="0037604E" w:rsidRPr="0037604E" w:rsidRDefault="0037604E" w:rsidP="0037604E">
      <w:pPr>
        <w:spacing w:after="0" w:line="240" w:lineRule="auto"/>
        <w:ind w:firstLine="0"/>
        <w:contextualSpacing/>
        <w:jc w:val="both"/>
        <w:rPr>
          <w:rFonts w:asciiTheme="majorHAnsi" w:hAnsiTheme="majorHAnsi" w:cs="Arial"/>
          <w:sz w:val="24"/>
          <w:szCs w:val="24"/>
          <w:lang w:val="en-GB"/>
        </w:rPr>
      </w:pPr>
    </w:p>
    <w:p w:rsidR="0037604E" w:rsidRPr="0037604E" w:rsidRDefault="0037604E" w:rsidP="0037604E">
      <w:pPr>
        <w:shd w:val="clear" w:color="auto" w:fill="F2F2F2"/>
        <w:spacing w:after="0" w:line="240" w:lineRule="auto"/>
        <w:ind w:firstLine="0"/>
        <w:jc w:val="both"/>
        <w:rPr>
          <w:rFonts w:asciiTheme="majorHAnsi" w:eastAsia="Calibri" w:hAnsiTheme="majorHAnsi" w:cs="Times New Roman"/>
          <w:b/>
          <w:sz w:val="24"/>
          <w:szCs w:val="24"/>
          <w:lang w:eastAsia="en-US"/>
        </w:rPr>
      </w:pPr>
      <w:r w:rsidRPr="0037604E">
        <w:rPr>
          <w:rFonts w:asciiTheme="majorHAnsi" w:eastAsia="Calibri" w:hAnsiTheme="majorHAnsi" w:cs="Times New Roman"/>
          <w:b/>
          <w:sz w:val="24"/>
          <w:szCs w:val="24"/>
          <w:lang w:eastAsia="en-US"/>
        </w:rPr>
        <w:t>Reports requested by ACER and CESEC</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For loading on ACER website, according to the annual reporting obligation of Transgaz as a promoter of projects of common interest, the </w:t>
      </w:r>
      <w:r w:rsidRPr="0037604E">
        <w:rPr>
          <w:rFonts w:asciiTheme="majorHAnsi" w:hAnsiTheme="majorHAnsi" w:cs="Arial"/>
          <w:sz w:val="24"/>
          <w:szCs w:val="24"/>
          <w:lang w:val="en-GB"/>
        </w:rPr>
        <w:t xml:space="preserve">Black Sea PMU was </w:t>
      </w:r>
      <w:r w:rsidRPr="0037604E">
        <w:rPr>
          <w:rFonts w:asciiTheme="majorHAnsi" w:hAnsiTheme="majorHAnsi" w:cs="Arial"/>
          <w:sz w:val="24"/>
          <w:szCs w:val="24"/>
          <w:lang w:val="en"/>
        </w:rPr>
        <w:t>involved in filling in the forms Monitoring the implementation of projects of common interest in 2016 - Gas transmission pipelines - Progress Report for PCI project implementation according to Article 5 (4) of</w:t>
      </w:r>
      <w:r w:rsidR="00F6518B">
        <w:rPr>
          <w:rFonts w:asciiTheme="majorHAnsi" w:hAnsiTheme="majorHAnsi" w:cs="Arial"/>
          <w:sz w:val="24"/>
          <w:szCs w:val="24"/>
          <w:lang w:val="en"/>
        </w:rPr>
        <w:t xml:space="preserve"> Regulation EU 347/2013 for the</w:t>
      </w:r>
      <w:r w:rsidRPr="0037604E">
        <w:rPr>
          <w:rFonts w:asciiTheme="majorHAnsi" w:hAnsiTheme="majorHAnsi" w:cs="Arial"/>
          <w:sz w:val="24"/>
          <w:szCs w:val="24"/>
          <w:lang w:val="en"/>
        </w:rPr>
        <w:t xml:space="preserve"> projects:</w:t>
      </w:r>
    </w:p>
    <w:p w:rsidR="0037604E" w:rsidRPr="0037604E" w:rsidRDefault="0037604E" w:rsidP="00FA6EB9">
      <w:pPr>
        <w:numPr>
          <w:ilvl w:val="0"/>
          <w:numId w:val="17"/>
        </w:numPr>
        <w:autoSpaceDE w:val="0"/>
        <w:autoSpaceDN w:val="0"/>
        <w:adjustRightInd w:val="0"/>
        <w:spacing w:after="0" w:line="240" w:lineRule="auto"/>
        <w:ind w:firstLine="66"/>
        <w:jc w:val="both"/>
        <w:rPr>
          <w:rFonts w:asciiTheme="majorHAnsi" w:hAnsiTheme="majorHAnsi" w:cs="Times New Roman"/>
          <w:sz w:val="24"/>
          <w:szCs w:val="24"/>
        </w:rPr>
      </w:pPr>
      <w:r w:rsidRPr="0037604E">
        <w:rPr>
          <w:rFonts w:asciiTheme="majorHAnsi" w:eastAsia="Calibri" w:hAnsiTheme="majorHAnsi" w:cs="Times New Roman"/>
          <w:sz w:val="24"/>
          <w:szCs w:val="24"/>
          <w:lang w:val="ro-RO" w:eastAsia="en-US"/>
        </w:rPr>
        <w:t xml:space="preserve">6.24.2 </w:t>
      </w:r>
      <w:r w:rsidRPr="0037604E">
        <w:rPr>
          <w:rFonts w:asciiTheme="majorHAnsi" w:hAnsiTheme="majorHAnsi" w:cs="Times New Roman"/>
          <w:sz w:val="24"/>
          <w:szCs w:val="24"/>
        </w:rPr>
        <w:t xml:space="preserve">Development on the Romanian territory of the National Gas Transmission System on the Bulgaria — Romania — Hungary — Austria Corridor — transmission pipeline Podișor — Horia GMS and 3 new compressor stations (Jupa, Bibești and Podișor) (1st phase) </w:t>
      </w:r>
      <w:r w:rsidRPr="0037604E">
        <w:rPr>
          <w:rFonts w:asciiTheme="majorHAnsi" w:eastAsia="Calibri" w:hAnsiTheme="majorHAnsi" w:cs="Times New Roman"/>
          <w:sz w:val="24"/>
          <w:szCs w:val="24"/>
          <w:lang w:val="ro-RO" w:eastAsia="en-US"/>
        </w:rPr>
        <w:t>;</w:t>
      </w:r>
    </w:p>
    <w:p w:rsidR="0037604E" w:rsidRPr="0037604E" w:rsidRDefault="0037604E" w:rsidP="00FA6EB9">
      <w:pPr>
        <w:numPr>
          <w:ilvl w:val="0"/>
          <w:numId w:val="17"/>
        </w:numPr>
        <w:autoSpaceDE w:val="0"/>
        <w:autoSpaceDN w:val="0"/>
        <w:adjustRightInd w:val="0"/>
        <w:spacing w:after="0" w:line="240" w:lineRule="auto"/>
        <w:ind w:firstLine="66"/>
        <w:jc w:val="both"/>
        <w:rPr>
          <w:rFonts w:asciiTheme="majorHAnsi" w:hAnsiTheme="majorHAnsi" w:cs="Times New Roman"/>
          <w:color w:val="000000"/>
          <w:sz w:val="24"/>
          <w:szCs w:val="24"/>
        </w:rPr>
      </w:pPr>
      <w:r w:rsidRPr="0037604E">
        <w:rPr>
          <w:rFonts w:asciiTheme="majorHAnsi" w:eastAsia="Calibri" w:hAnsiTheme="majorHAnsi" w:cs="Times New Roman"/>
          <w:color w:val="000000"/>
          <w:sz w:val="24"/>
          <w:szCs w:val="24"/>
          <w:lang w:val="ro-RO" w:eastAsia="en-US"/>
        </w:rPr>
        <w:t xml:space="preserve">6.24.7 </w:t>
      </w:r>
      <w:r w:rsidRPr="0037604E">
        <w:rPr>
          <w:rFonts w:asciiTheme="majorHAnsi" w:hAnsiTheme="majorHAnsi" w:cs="Times New Roman"/>
          <w:color w:val="000000"/>
          <w:sz w:val="24"/>
          <w:szCs w:val="24"/>
        </w:rPr>
        <w:t>Expansion of the transmission capacity in Romania towards Hungary up to 4.4 bcm/year (2</w:t>
      </w:r>
      <w:r w:rsidRPr="0037604E">
        <w:rPr>
          <w:rFonts w:asciiTheme="majorHAnsi" w:hAnsiTheme="majorHAnsi" w:cs="Times New Roman"/>
          <w:color w:val="000000"/>
          <w:sz w:val="24"/>
          <w:szCs w:val="24"/>
          <w:vertAlign w:val="superscript"/>
        </w:rPr>
        <w:t>nd</w:t>
      </w:r>
      <w:r w:rsidRPr="0037604E">
        <w:rPr>
          <w:rFonts w:asciiTheme="majorHAnsi" w:hAnsiTheme="majorHAnsi" w:cs="Times New Roman"/>
          <w:color w:val="000000"/>
          <w:sz w:val="24"/>
          <w:szCs w:val="24"/>
        </w:rPr>
        <w:t xml:space="preserve"> phase) </w:t>
      </w:r>
    </w:p>
    <w:p w:rsidR="0037604E" w:rsidRPr="0037604E" w:rsidRDefault="0037604E" w:rsidP="00FA6EB9">
      <w:pPr>
        <w:numPr>
          <w:ilvl w:val="0"/>
          <w:numId w:val="17"/>
        </w:numPr>
        <w:autoSpaceDE w:val="0"/>
        <w:autoSpaceDN w:val="0"/>
        <w:adjustRightInd w:val="0"/>
        <w:spacing w:after="0" w:line="240" w:lineRule="auto"/>
        <w:ind w:firstLine="66"/>
        <w:jc w:val="both"/>
        <w:rPr>
          <w:rFonts w:asciiTheme="majorHAnsi" w:hAnsiTheme="majorHAnsi" w:cs="Times New Roman"/>
          <w:color w:val="000000"/>
          <w:sz w:val="24"/>
          <w:szCs w:val="24"/>
        </w:rPr>
      </w:pPr>
      <w:r w:rsidRPr="0037604E">
        <w:rPr>
          <w:rFonts w:asciiTheme="majorHAnsi" w:eastAsia="Calibri" w:hAnsiTheme="majorHAnsi" w:cs="Times New Roman"/>
          <w:color w:val="000000"/>
          <w:sz w:val="24"/>
          <w:szCs w:val="24"/>
          <w:lang w:val="ro-RO" w:eastAsia="en-US"/>
        </w:rPr>
        <w:t xml:space="preserve">6.24.8 </w:t>
      </w:r>
      <w:r w:rsidRPr="0037604E">
        <w:rPr>
          <w:rFonts w:asciiTheme="majorHAnsi" w:hAnsiTheme="majorHAnsi" w:cs="Times New Roman"/>
          <w:color w:val="000000"/>
          <w:sz w:val="24"/>
          <w:szCs w:val="24"/>
        </w:rPr>
        <w:t xml:space="preserve">Black Sea shore — Podișor (RO) pipeline for taking over the Black sea gas; </w:t>
      </w:r>
    </w:p>
    <w:p w:rsidR="0037604E" w:rsidRPr="0037604E" w:rsidRDefault="0037604E" w:rsidP="00FA6EB9">
      <w:pPr>
        <w:numPr>
          <w:ilvl w:val="0"/>
          <w:numId w:val="138"/>
        </w:numPr>
        <w:tabs>
          <w:tab w:val="left" w:pos="1080"/>
          <w:tab w:val="left" w:pos="1440"/>
        </w:tabs>
        <w:autoSpaceDE w:val="0"/>
        <w:autoSpaceDN w:val="0"/>
        <w:adjustRightInd w:val="0"/>
        <w:spacing w:after="0" w:line="240" w:lineRule="auto"/>
        <w:ind w:hanging="294"/>
        <w:contextualSpacing/>
        <w:jc w:val="both"/>
        <w:rPr>
          <w:rFonts w:asciiTheme="majorHAnsi" w:eastAsia="Calibri" w:hAnsiTheme="majorHAnsi" w:cs="Times New Roman"/>
          <w:color w:val="000000"/>
          <w:sz w:val="24"/>
          <w:szCs w:val="24"/>
          <w:lang w:val="ro-RO" w:eastAsia="en-US"/>
        </w:rPr>
      </w:pPr>
      <w:r w:rsidRPr="0037604E">
        <w:rPr>
          <w:rFonts w:asciiTheme="majorHAnsi" w:eastAsia="Calibri" w:hAnsiTheme="majorHAnsi" w:cs="Times New Roman"/>
          <w:color w:val="000000"/>
          <w:sz w:val="24"/>
          <w:szCs w:val="24"/>
          <w:lang w:val="ro-RO" w:eastAsia="en-US"/>
        </w:rPr>
        <w:t xml:space="preserve">6.25.3 </w:t>
      </w:r>
      <w:r w:rsidRPr="0037604E">
        <w:rPr>
          <w:rFonts w:asciiTheme="majorHAnsi" w:hAnsiTheme="majorHAnsi" w:cs="Times New Roman"/>
          <w:color w:val="000000"/>
          <w:sz w:val="24"/>
          <w:szCs w:val="24"/>
        </w:rPr>
        <w:t xml:space="preserve">Further enlargement of the Bulgaria </w:t>
      </w:r>
      <w:r w:rsidRPr="0037604E">
        <w:rPr>
          <w:rFonts w:asciiTheme="majorHAnsi" w:hAnsiTheme="majorHAnsi" w:cs="Times New Roman"/>
          <w:i/>
          <w:iCs/>
          <w:color w:val="000000"/>
          <w:sz w:val="24"/>
          <w:szCs w:val="24"/>
        </w:rPr>
        <w:t xml:space="preserve">— </w:t>
      </w:r>
      <w:r w:rsidRPr="0037604E">
        <w:rPr>
          <w:rFonts w:asciiTheme="majorHAnsi" w:hAnsiTheme="majorHAnsi" w:cs="Times New Roman"/>
          <w:color w:val="000000"/>
          <w:sz w:val="24"/>
          <w:szCs w:val="24"/>
        </w:rPr>
        <w:t xml:space="preserve">Romania </w:t>
      </w:r>
      <w:r w:rsidRPr="0037604E">
        <w:rPr>
          <w:rFonts w:asciiTheme="majorHAnsi" w:hAnsiTheme="majorHAnsi" w:cs="Times New Roman"/>
          <w:i/>
          <w:iCs/>
          <w:color w:val="000000"/>
          <w:sz w:val="24"/>
          <w:szCs w:val="24"/>
        </w:rPr>
        <w:t xml:space="preserve">— </w:t>
      </w:r>
      <w:r w:rsidRPr="0037604E">
        <w:rPr>
          <w:rFonts w:asciiTheme="majorHAnsi" w:hAnsiTheme="majorHAnsi" w:cs="Times New Roman"/>
          <w:color w:val="000000"/>
          <w:sz w:val="24"/>
          <w:szCs w:val="24"/>
        </w:rPr>
        <w:t xml:space="preserve">Hungary </w:t>
      </w:r>
      <w:r w:rsidRPr="0037604E">
        <w:rPr>
          <w:rFonts w:asciiTheme="majorHAnsi" w:hAnsiTheme="majorHAnsi" w:cs="Times New Roman"/>
          <w:i/>
          <w:iCs/>
          <w:color w:val="000000"/>
          <w:sz w:val="24"/>
          <w:szCs w:val="24"/>
        </w:rPr>
        <w:t xml:space="preserve">— </w:t>
      </w:r>
      <w:r w:rsidRPr="0037604E">
        <w:rPr>
          <w:rFonts w:asciiTheme="majorHAnsi" w:hAnsiTheme="majorHAnsi" w:cs="Times New Roman"/>
          <w:color w:val="000000"/>
          <w:sz w:val="24"/>
          <w:szCs w:val="24"/>
        </w:rPr>
        <w:t>Austria bidirectional transmission corridor [currently known as "ROHUAT/BRUA", phase 3]</w:t>
      </w:r>
      <w:r w:rsidRPr="0037604E">
        <w:rPr>
          <w:rFonts w:asciiTheme="majorHAnsi" w:eastAsia="Calibri" w:hAnsiTheme="majorHAnsi" w:cs="Times New Roman"/>
          <w:color w:val="000000"/>
          <w:sz w:val="24"/>
          <w:szCs w:val="24"/>
          <w:lang w:val="ro-RO" w:eastAsia="en-US"/>
        </w:rPr>
        <w:t>.</w:t>
      </w:r>
    </w:p>
    <w:p w:rsidR="0037604E" w:rsidRPr="0037604E" w:rsidRDefault="0037604E" w:rsidP="0037604E">
      <w:pPr>
        <w:tabs>
          <w:tab w:val="left" w:pos="1080"/>
          <w:tab w:val="left" w:pos="1440"/>
        </w:tabs>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tabs>
          <w:tab w:val="left" w:pos="1080"/>
          <w:tab w:val="left" w:pos="1440"/>
        </w:tabs>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w:t>
      </w:r>
      <w:r w:rsidRPr="0037604E">
        <w:rPr>
          <w:rFonts w:asciiTheme="majorHAnsi" w:hAnsiTheme="majorHAnsi" w:cs="Arial"/>
          <w:sz w:val="24"/>
          <w:szCs w:val="24"/>
          <w:lang w:val="en-GB"/>
        </w:rPr>
        <w:t xml:space="preserve">Black Sea PMU provided support to the International relations Unit to complete information requested </w:t>
      </w:r>
      <w:r w:rsidRPr="0037604E">
        <w:rPr>
          <w:rFonts w:asciiTheme="majorHAnsi" w:eastAsia="Calibri" w:hAnsiTheme="majorHAnsi" w:cs="Times New Roman"/>
          <w:sz w:val="24"/>
          <w:szCs w:val="24"/>
          <w:lang w:val="ro-RO" w:eastAsia="en-US"/>
        </w:rPr>
        <w:t xml:space="preserve">by the European Commission - DG Energy – by different forms, regarding the projects managed by the </w:t>
      </w:r>
      <w:r w:rsidRPr="0037604E">
        <w:rPr>
          <w:rFonts w:asciiTheme="majorHAnsi" w:hAnsiTheme="majorHAnsi" w:cs="Arial"/>
          <w:sz w:val="24"/>
          <w:szCs w:val="24"/>
          <w:lang w:val="en-GB"/>
        </w:rPr>
        <w:t>Black Sea PMU</w:t>
      </w:r>
      <w:r w:rsidRPr="0037604E">
        <w:rPr>
          <w:rFonts w:asciiTheme="majorHAnsi" w:eastAsia="Calibri" w:hAnsiTheme="majorHAnsi" w:cs="Times New Roman"/>
          <w:sz w:val="24"/>
          <w:szCs w:val="24"/>
          <w:lang w:val="ro-RO" w:eastAsia="en-US"/>
        </w:rPr>
        <w:t xml:space="preserve">. We mention the questionnaire </w:t>
      </w:r>
      <w:r w:rsidRPr="0037604E">
        <w:rPr>
          <w:rFonts w:asciiTheme="majorHAnsi" w:eastAsia="Calibri" w:hAnsiTheme="majorHAnsi" w:cs="Times New Roman"/>
          <w:i/>
          <w:sz w:val="24"/>
          <w:szCs w:val="24"/>
          <w:lang w:val="ro-RO" w:eastAsia="en-US"/>
        </w:rPr>
        <w:t>`</w:t>
      </w:r>
      <w:r w:rsidRPr="0037604E">
        <w:rPr>
          <w:rFonts w:asciiTheme="majorHAnsi" w:eastAsia="MS Mincho" w:hAnsiTheme="majorHAnsi" w:cs="Times New Roman"/>
          <w:i/>
          <w:sz w:val="24"/>
          <w:szCs w:val="24"/>
          <w:lang w:val="en-GB" w:eastAsia="en-US"/>
        </w:rPr>
        <w:t>Financial screening of projects in the framework of the Central and South-Eastern European Gas Connectivity (CESEC) initiative`</w:t>
      </w:r>
      <w:r w:rsidRPr="0037604E">
        <w:rPr>
          <w:rFonts w:asciiTheme="majorHAnsi" w:eastAsia="MS Mincho" w:hAnsiTheme="majorHAnsi" w:cs="Times New Roman"/>
          <w:sz w:val="24"/>
          <w:szCs w:val="24"/>
          <w:lang w:val="en-GB" w:eastAsia="en-US"/>
        </w:rPr>
        <w:t xml:space="preserve"> sent by Grant Thornton Greece, the consultant of the European Commission. Based on this questionnaire the European Commision is carrying out a financial analysis of the projects on the CESEC list.</w:t>
      </w:r>
    </w:p>
    <w:p w:rsidR="0037604E" w:rsidRPr="0037604E" w:rsidRDefault="0037604E" w:rsidP="0037604E">
      <w:pPr>
        <w:spacing w:after="0" w:line="240" w:lineRule="auto"/>
        <w:ind w:firstLine="0"/>
        <w:jc w:val="both"/>
        <w:rPr>
          <w:rFonts w:asciiTheme="majorHAnsi" w:hAnsiTheme="majorHAnsi" w:cs="Arial"/>
          <w:sz w:val="24"/>
          <w:szCs w:val="24"/>
          <w:lang w:val="en-GB"/>
        </w:rPr>
      </w:pPr>
    </w:p>
    <w:p w:rsidR="0037604E" w:rsidRPr="0037604E" w:rsidRDefault="0037604E" w:rsidP="0037604E">
      <w:pPr>
        <w:shd w:val="clear" w:color="auto" w:fill="F2F2F2"/>
        <w:spacing w:after="0" w:line="240" w:lineRule="auto"/>
        <w:ind w:firstLine="0"/>
        <w:jc w:val="both"/>
        <w:rPr>
          <w:rFonts w:asciiTheme="majorHAnsi" w:eastAsia="Calibri" w:hAnsiTheme="majorHAnsi" w:cs="Times New Roman"/>
          <w:b/>
          <w:sz w:val="24"/>
          <w:szCs w:val="24"/>
          <w:lang w:eastAsia="en-US"/>
        </w:rPr>
      </w:pPr>
      <w:r w:rsidRPr="0037604E">
        <w:rPr>
          <w:rFonts w:asciiTheme="majorHAnsi" w:eastAsia="Calibri" w:hAnsiTheme="majorHAnsi" w:cs="Times New Roman"/>
          <w:b/>
          <w:sz w:val="24"/>
          <w:szCs w:val="24"/>
          <w:lang w:eastAsia="en-US"/>
        </w:rPr>
        <w:t>The process of obtaining the Environmental permit for the BRUA Project</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environmental consultant completed the Environmental Impact Report and Appropriate Assessment Study (SEA). The documentation was submitted on </w:t>
      </w:r>
      <w:r w:rsidRPr="0037604E">
        <w:rPr>
          <w:rFonts w:asciiTheme="majorHAnsi" w:eastAsia="Calibri" w:hAnsiTheme="majorHAnsi" w:cs="Times New Roman"/>
          <w:sz w:val="24"/>
          <w:szCs w:val="24"/>
          <w:lang w:val="ro-RO" w:eastAsia="en-US"/>
        </w:rPr>
        <w:t xml:space="preserve">08.03.2016 </w:t>
      </w:r>
      <w:r w:rsidRPr="0037604E">
        <w:rPr>
          <w:rFonts w:asciiTheme="majorHAnsi" w:hAnsiTheme="majorHAnsi" w:cs="Arial"/>
          <w:sz w:val="24"/>
          <w:szCs w:val="24"/>
          <w:lang w:val="en"/>
        </w:rPr>
        <w:t>at the National Agency for Environment Protection Agency (NEPA). Following the submission of environmental documentation in March, NEPA informed Transgaz that the SEA stage will be carried out in the first phase. NEPA sent comments on SEA at the end of March. These were implemented and the SEA prepared again was submitted to NEPA on 7 April. Subsequently NEPA requested new additions to the SEA that were submitted between April and June 2016.</w:t>
      </w:r>
      <w:r w:rsidRPr="0037604E">
        <w:rPr>
          <w:rFonts w:asciiTheme="majorHAnsi" w:eastAsia="Calibri" w:hAnsiTheme="majorHAnsi" w:cs="Times New Roman"/>
          <w:sz w:val="24"/>
          <w:szCs w:val="24"/>
          <w:lang w:val="ro-RO" w:eastAsia="en-US"/>
        </w:rPr>
        <w:t xml:space="preserve"> </w:t>
      </w:r>
    </w:p>
    <w:p w:rsidR="0037604E" w:rsidRPr="0037604E" w:rsidRDefault="0037604E" w:rsidP="0037604E">
      <w:pPr>
        <w:spacing w:after="0" w:line="240" w:lineRule="auto"/>
        <w:ind w:firstLine="0"/>
        <w:jc w:val="both"/>
        <w:rPr>
          <w:rFonts w:ascii="Cambria" w:eastAsia="Calibri" w:hAnsi="Cambria" w:cs="Times New Roman"/>
          <w:color w:val="FF0000"/>
          <w:sz w:val="24"/>
          <w:szCs w:val="24"/>
          <w:lang w:val="en-GB"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As part of the procedure for obtaining an Environmental Permit NEPA requested the custodians of the Natura 2000 sites crossed by the project their opinion. Also, between 30 May and 3 June Technical Analysis Committee meetings took place at the environmental protection agencies of the counties where the BRUA pipeline route crosses or is in the proximity of the Natura 2000 sites, namely Giurgiu, Olt, Valcea, Gorj , Hunedoare, Caras-Severin and Timis counties. </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hAnsiTheme="majorHAnsi" w:cs="Arial"/>
          <w:lang w:val="en"/>
        </w:rPr>
      </w:pPr>
      <w:r w:rsidRPr="0037604E">
        <w:rPr>
          <w:rFonts w:asciiTheme="majorHAnsi" w:hAnsiTheme="majorHAnsi" w:cs="Arial"/>
          <w:lang w:val="en"/>
        </w:rPr>
        <w:lastRenderedPageBreak/>
        <w:t>On 15.06.2016 the environmental impact report was submitted to NEPA integrating also the conclusions of the SEA.</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According to Letter DPC no. </w:t>
      </w:r>
      <w:r w:rsidRPr="0037604E">
        <w:rPr>
          <w:rFonts w:asciiTheme="majorHAnsi" w:eastAsia="Calibri" w:hAnsiTheme="majorHAnsi" w:cs="Times New Roman"/>
          <w:sz w:val="24"/>
          <w:szCs w:val="24"/>
          <w:lang w:val="ro-RO" w:eastAsia="en-US"/>
        </w:rPr>
        <w:t xml:space="preserve">30.496/05.07.2016 and Decision 541/25.07.2016, starting with the </w:t>
      </w:r>
      <w:r w:rsidRPr="0037604E">
        <w:rPr>
          <w:rFonts w:asciiTheme="majorHAnsi" w:hAnsiTheme="majorHAnsi" w:cs="Arial"/>
          <w:sz w:val="24"/>
          <w:szCs w:val="24"/>
          <w:lang w:val="en"/>
        </w:rPr>
        <w:t>second half of July, the PMU no longer manages environmental issues</w:t>
      </w:r>
      <w:r w:rsidRPr="0037604E">
        <w:rPr>
          <w:rFonts w:asciiTheme="majorHAnsi" w:eastAsia="Calibri" w:hAnsiTheme="majorHAnsi" w:cs="Times New Roman"/>
          <w:sz w:val="24"/>
          <w:szCs w:val="24"/>
          <w:lang w:val="ro-RO" w:eastAsia="en-US"/>
        </w:rPr>
        <w:t xml:space="preserve">, which are </w:t>
      </w:r>
      <w:r w:rsidRPr="0037604E">
        <w:rPr>
          <w:rFonts w:asciiTheme="majorHAnsi" w:hAnsiTheme="majorHAnsi" w:cs="Arial"/>
          <w:sz w:val="24"/>
          <w:szCs w:val="24"/>
          <w:lang w:val="en"/>
        </w:rPr>
        <w:t>undertaken by Environment and Archaeology Office</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Cambria" w:eastAsia="Calibri" w:hAnsi="Cambria" w:cs="Times New Roman"/>
          <w:color w:val="FF0000"/>
          <w:sz w:val="24"/>
          <w:szCs w:val="24"/>
          <w:lang w:val="en-GB" w:eastAsia="en-US"/>
        </w:rPr>
      </w:pPr>
    </w:p>
    <w:p w:rsidR="0037604E" w:rsidRPr="0037604E" w:rsidRDefault="0037604E" w:rsidP="0037604E">
      <w:pPr>
        <w:shd w:val="clear" w:color="auto" w:fill="F2F2F2"/>
        <w:spacing w:after="0" w:line="240" w:lineRule="auto"/>
        <w:ind w:firstLine="0"/>
        <w:jc w:val="both"/>
        <w:rPr>
          <w:rFonts w:ascii="Cambria" w:eastAsia="Calibri" w:hAnsi="Cambria" w:cs="Times New Roman"/>
          <w:b/>
          <w:sz w:val="24"/>
          <w:szCs w:val="24"/>
          <w:lang w:val="en-GB" w:eastAsia="en-US"/>
        </w:rPr>
      </w:pPr>
      <w:r w:rsidRPr="0037604E">
        <w:rPr>
          <w:rFonts w:ascii="Cambria" w:eastAsia="Calibri" w:hAnsi="Cambria" w:cs="Times New Roman"/>
          <w:b/>
          <w:sz w:val="24"/>
          <w:szCs w:val="24"/>
          <w:lang w:val="en-GB" w:eastAsia="en-US"/>
        </w:rPr>
        <w:t>Cooperation with the TSOs and the national regulators on the Romania, Hungary and Austria corridor</w:t>
      </w:r>
    </w:p>
    <w:p w:rsidR="0037604E" w:rsidRPr="0037604E" w:rsidRDefault="0037604E" w:rsidP="0037604E">
      <w:pPr>
        <w:spacing w:after="0" w:line="240" w:lineRule="auto"/>
        <w:ind w:firstLine="0"/>
        <w:jc w:val="both"/>
        <w:rPr>
          <w:rFonts w:ascii="Arial" w:hAnsi="Arial" w:cs="Arial"/>
          <w:color w:val="222222"/>
          <w:lang w:val="en-GB"/>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Transgaz, together with the transmission system operators FGSZ Hungary and Gas Connect Austria mde a market test on the Capacity Allocation Concepts in the Open Season regarding the RO-HU-AT corridor. </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hd w:val="clear" w:color="auto" w:fill="F2F2F2"/>
        <w:spacing w:after="0" w:line="240" w:lineRule="auto"/>
        <w:ind w:firstLine="0"/>
        <w:jc w:val="both"/>
        <w:rPr>
          <w:rFonts w:asciiTheme="majorHAnsi" w:eastAsia="Calibri" w:hAnsiTheme="majorHAnsi" w:cs="Times New Roman"/>
          <w:b/>
          <w:sz w:val="24"/>
          <w:szCs w:val="24"/>
          <w:lang w:eastAsia="en-US"/>
        </w:rPr>
      </w:pPr>
      <w:r w:rsidRPr="0037604E">
        <w:rPr>
          <w:rFonts w:asciiTheme="majorHAnsi" w:eastAsia="Calibri" w:hAnsiTheme="majorHAnsi" w:cs="Times New Roman"/>
          <w:b/>
          <w:sz w:val="24"/>
          <w:szCs w:val="24"/>
          <w:lang w:eastAsia="en-US"/>
        </w:rPr>
        <w:t xml:space="preserve">Voluntary liquidation of the Nabucco Gas Pipeline International GmbH </w:t>
      </w:r>
      <w:r w:rsidR="003C793F" w:rsidRPr="0037604E">
        <w:rPr>
          <w:rFonts w:asciiTheme="majorHAnsi" w:eastAsia="Calibri" w:hAnsiTheme="majorHAnsi" w:cs="Times New Roman"/>
          <w:b/>
          <w:sz w:val="24"/>
          <w:szCs w:val="24"/>
          <w:lang w:eastAsia="en-US"/>
        </w:rPr>
        <w:t>Company</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Transgaz through representatives appointed from the Black Sea PMU continue to participate </w:t>
      </w:r>
      <w:r w:rsidRPr="0037604E">
        <w:rPr>
          <w:rFonts w:ascii="Cambria" w:eastAsia="Calibri" w:hAnsi="Cambria" w:cs="Times New Roman"/>
          <w:sz w:val="24"/>
          <w:szCs w:val="24"/>
          <w:lang w:val="en-GB" w:eastAsia="en-US"/>
        </w:rPr>
        <w:t>along with other partners in the voluntary liquidation process of the company Nabucco Gas Pipeline International GmbH (NIC).</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Theme="majorHAnsi" w:eastAsia="Calibri" w:hAnsiTheme="majorHAnsi" w:cs="Times New Roman"/>
          <w:sz w:val="24"/>
          <w:szCs w:val="24"/>
          <w:lang w:val="ro-RO" w:eastAsia="en-US"/>
        </w:rPr>
        <w:t>It was finalized the draft cancellation agreement (of the JVA) and asset distribution (NIC) (TADA)</w:t>
      </w:r>
      <w:r w:rsidRPr="0037604E">
        <w:rPr>
          <w:rFonts w:asciiTheme="majorHAnsi" w:eastAsia="Calibri" w:hAnsiTheme="majorHAnsi" w:cs="Times New Roman"/>
          <w:i/>
          <w:sz w:val="24"/>
          <w:szCs w:val="24"/>
          <w:lang w:val="ro-RO" w:eastAsia="en-US"/>
        </w:rPr>
        <w:t>,</w:t>
      </w:r>
      <w:r w:rsidRPr="0037604E">
        <w:rPr>
          <w:rFonts w:asciiTheme="majorHAnsi" w:eastAsia="Calibri" w:hAnsiTheme="majorHAnsi" w:cs="Times New Roman"/>
          <w:sz w:val="24"/>
          <w:szCs w:val="24"/>
          <w:lang w:val="ro-RO" w:eastAsia="en-US"/>
        </w:rPr>
        <w:t xml:space="preserve"> agreement regulating</w:t>
      </w:r>
      <w:r w:rsidRPr="0037604E">
        <w:rPr>
          <w:rFonts w:asciiTheme="majorHAnsi" w:hAnsiTheme="majorHAnsi"/>
          <w:sz w:val="24"/>
          <w:lang w:val="ro-RO"/>
        </w:rPr>
        <w:t xml:space="preserve"> </w:t>
      </w:r>
      <w:r w:rsidRPr="0037604E">
        <w:rPr>
          <w:rFonts w:ascii="Cambria" w:eastAsia="Calibri" w:hAnsi="Cambria" w:cs="Times New Roman"/>
          <w:sz w:val="24"/>
          <w:szCs w:val="24"/>
          <w:lang w:val="en-GB" w:eastAsia="en-US"/>
        </w:rPr>
        <w:t xml:space="preserve">the possibility and method of distribution between the shareholders of the remaining NIC assets. The final draft of the agreement will be approved internally by each shareholder. Regarding Transgaz </w:t>
      </w:r>
      <w:r w:rsidRPr="0037604E">
        <w:rPr>
          <w:rFonts w:asciiTheme="majorHAnsi" w:eastAsia="Calibri" w:hAnsiTheme="majorHAnsi" w:cs="Times New Roman"/>
          <w:sz w:val="24"/>
          <w:szCs w:val="24"/>
          <w:lang w:val="ro-RO" w:eastAsia="en-US"/>
        </w:rPr>
        <w:t>TADA</w:t>
      </w:r>
      <w:r w:rsidRPr="0037604E">
        <w:rPr>
          <w:rFonts w:ascii="Cambria" w:eastAsia="Calibri" w:hAnsi="Cambria" w:cs="Times New Roman"/>
          <w:sz w:val="24"/>
          <w:szCs w:val="24"/>
          <w:lang w:val="en-GB" w:eastAsia="en-US"/>
        </w:rPr>
        <w:t xml:space="preserve"> was approved in May according to the EGMS Resolution </w:t>
      </w:r>
      <w:r w:rsidRPr="0037604E">
        <w:rPr>
          <w:rFonts w:asciiTheme="majorHAnsi" w:eastAsia="Calibri" w:hAnsiTheme="majorHAnsi" w:cs="Times New Roman"/>
          <w:sz w:val="24"/>
          <w:szCs w:val="24"/>
          <w:lang w:val="ro-RO" w:eastAsia="en-US"/>
        </w:rPr>
        <w:t>3/29 April 2016. TADA was signed by all Nabucco associates and became applicable as of 15.09.2016.</w:t>
      </w:r>
    </w:p>
    <w:p w:rsidR="0037604E" w:rsidRPr="0037604E" w:rsidRDefault="0037604E" w:rsidP="0037604E">
      <w:pPr>
        <w:spacing w:after="0" w:line="240" w:lineRule="auto"/>
        <w:ind w:firstLine="0"/>
        <w:jc w:val="both"/>
        <w:rPr>
          <w:rFonts w:ascii="Cambria" w:hAnsi="Cambria"/>
          <w:sz w:val="24"/>
          <w:lang w:val="en-GB"/>
        </w:rPr>
      </w:pPr>
    </w:p>
    <w:p w:rsidR="0037604E" w:rsidRPr="0037604E" w:rsidRDefault="0037604E" w:rsidP="0037604E">
      <w:pPr>
        <w:shd w:val="clear" w:color="auto" w:fill="F2F2F2"/>
        <w:spacing w:after="0" w:line="240" w:lineRule="auto"/>
        <w:ind w:firstLine="0"/>
        <w:jc w:val="both"/>
        <w:rPr>
          <w:rFonts w:asciiTheme="majorHAnsi" w:eastAsia="Calibri" w:hAnsiTheme="majorHAnsi" w:cs="Times New Roman"/>
          <w:b/>
          <w:sz w:val="24"/>
          <w:szCs w:val="24"/>
          <w:lang w:eastAsia="en-US"/>
        </w:rPr>
      </w:pPr>
      <w:r w:rsidRPr="0037604E">
        <w:rPr>
          <w:rFonts w:asciiTheme="majorHAnsi" w:eastAsia="Calibri" w:hAnsiTheme="majorHAnsi" w:cs="Times New Roman"/>
          <w:b/>
          <w:sz w:val="24"/>
          <w:szCs w:val="24"/>
          <w:lang w:eastAsia="en-US"/>
        </w:rPr>
        <w:t xml:space="preserve">Relation with the </w:t>
      </w:r>
      <w:r w:rsidRPr="0037604E">
        <w:rPr>
          <w:rFonts w:asciiTheme="majorHAnsi" w:hAnsiTheme="majorHAnsi" w:cs="Arial"/>
          <w:b/>
          <w:color w:val="222222"/>
          <w:sz w:val="24"/>
          <w:szCs w:val="24"/>
          <w:lang w:val="en"/>
        </w:rPr>
        <w:t>Competent Authority for projects of common interest</w:t>
      </w:r>
      <w:r w:rsidRPr="0037604E">
        <w:rPr>
          <w:rFonts w:asciiTheme="majorHAnsi" w:eastAsia="Calibri" w:hAnsiTheme="majorHAnsi" w:cs="Times New Roman"/>
          <w:b/>
          <w:sz w:val="24"/>
          <w:szCs w:val="24"/>
          <w:lang w:eastAsia="en-US"/>
        </w:rPr>
        <w:t xml:space="preserve"> (ACPIC)</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hd w:val="clear" w:color="auto" w:fill="FFFFFF"/>
        <w:spacing w:after="0" w:line="240" w:lineRule="auto"/>
        <w:ind w:firstLine="0"/>
        <w:jc w:val="both"/>
        <w:rPr>
          <w:rFonts w:asciiTheme="majorHAnsi" w:eastAsia="MS Mincho" w:hAnsiTheme="majorHAnsi" w:cs="Times New Roman"/>
          <w:sz w:val="24"/>
          <w:szCs w:val="24"/>
          <w:lang w:val="ro-RO" w:eastAsia="en-US"/>
        </w:rPr>
      </w:pPr>
      <w:r w:rsidRPr="0037604E">
        <w:rPr>
          <w:rFonts w:asciiTheme="majorHAnsi" w:hAnsiTheme="majorHAnsi" w:cs="Arial"/>
          <w:sz w:val="24"/>
          <w:szCs w:val="24"/>
          <w:lang w:val="en"/>
        </w:rPr>
        <w:t xml:space="preserve">Within the authorization procedure cooperation relations are carried out with </w:t>
      </w:r>
      <w:r w:rsidRPr="0037604E">
        <w:rPr>
          <w:rFonts w:asciiTheme="majorHAnsi" w:eastAsia="MS Mincho" w:hAnsiTheme="majorHAnsi" w:cs="Times New Roman"/>
          <w:sz w:val="24"/>
          <w:szCs w:val="24"/>
          <w:lang w:val="ro-RO" w:eastAsia="en-US"/>
        </w:rPr>
        <w:t>ACPIC for PCI</w:t>
      </w:r>
      <w:r w:rsidRPr="0037604E">
        <w:rPr>
          <w:rFonts w:asciiTheme="majorHAnsi" w:eastAsia="MS Mincho" w:hAnsiTheme="majorHAnsi" w:cs="Times New Roman"/>
          <w:bCs/>
          <w:sz w:val="24"/>
          <w:szCs w:val="24"/>
          <w:lang w:eastAsia="en-US"/>
        </w:rPr>
        <w:t xml:space="preserve"> 6.24.2 </w:t>
      </w:r>
      <w:r w:rsidRPr="0037604E">
        <w:rPr>
          <w:rFonts w:asciiTheme="majorHAnsi" w:hAnsiTheme="majorHAnsi" w:cs="Times New Roman"/>
          <w:sz w:val="24"/>
          <w:szCs w:val="24"/>
        </w:rPr>
        <w:t>Development on the Romanian territory of the National Gas Transmission System on the Bulgaria — Romania — Hungary — Austria Corridor — transmission pipeline Podișor — Horia GMS and 3 new compressor stations (Jupa, Bibești and Podișor) (1st phase)</w:t>
      </w:r>
      <w:r w:rsidRPr="0037604E">
        <w:rPr>
          <w:rFonts w:asciiTheme="majorHAnsi" w:eastAsia="MS Mincho" w:hAnsiTheme="majorHAnsi" w:cs="Times New Roman"/>
          <w:sz w:val="24"/>
          <w:szCs w:val="24"/>
          <w:lang w:eastAsia="en-US"/>
        </w:rPr>
        <w:t xml:space="preserve">, hereinafter referred to as the BRUA Project, Phase 1, to meet the </w:t>
      </w:r>
      <w:r w:rsidRPr="0037604E">
        <w:rPr>
          <w:rFonts w:asciiTheme="majorHAnsi" w:hAnsiTheme="majorHAnsi" w:cs="Arial"/>
          <w:sz w:val="24"/>
          <w:szCs w:val="24"/>
          <w:lang w:val="en"/>
        </w:rPr>
        <w:t xml:space="preserve">obligations and responsibilities of each party in accordance with </w:t>
      </w:r>
      <w:r w:rsidRPr="0037604E">
        <w:rPr>
          <w:rFonts w:asciiTheme="majorHAnsi" w:eastAsia="MS Mincho" w:hAnsiTheme="majorHAnsi" w:cs="Times New Roman"/>
          <w:sz w:val="24"/>
          <w:szCs w:val="24"/>
          <w:lang w:eastAsia="en-US"/>
        </w:rPr>
        <w:t>A</w:t>
      </w:r>
      <w:r w:rsidRPr="0037604E">
        <w:rPr>
          <w:rFonts w:asciiTheme="majorHAnsi" w:eastAsia="MS Mincho" w:hAnsiTheme="majorHAnsi" w:cs="Times New Roman"/>
          <w:sz w:val="24"/>
          <w:szCs w:val="24"/>
          <w:lang w:val="ro-RO" w:eastAsia="en-US"/>
        </w:rPr>
        <w:t xml:space="preserve">rt. 10 </w:t>
      </w:r>
      <w:r w:rsidRPr="0037604E">
        <w:rPr>
          <w:rFonts w:asciiTheme="majorHAnsi" w:hAnsiTheme="majorHAnsi" w:cs="Arial"/>
          <w:sz w:val="24"/>
          <w:szCs w:val="24"/>
          <w:lang w:val="en"/>
        </w:rPr>
        <w:t xml:space="preserve">of Regulation (EU) </w:t>
      </w:r>
      <w:r w:rsidRPr="0037604E">
        <w:rPr>
          <w:rFonts w:asciiTheme="majorHAnsi" w:eastAsia="MS Mincho" w:hAnsiTheme="majorHAnsi" w:cs="Times New Roman"/>
          <w:sz w:val="24"/>
          <w:szCs w:val="24"/>
          <w:lang w:val="ro-RO" w:eastAsia="en-US"/>
        </w:rPr>
        <w:t xml:space="preserve">347/2013. </w:t>
      </w:r>
    </w:p>
    <w:p w:rsidR="0037604E" w:rsidRPr="0037604E" w:rsidRDefault="0037604E" w:rsidP="0037604E">
      <w:pPr>
        <w:spacing w:after="0" w:line="240" w:lineRule="auto"/>
        <w:ind w:firstLine="0"/>
        <w:jc w:val="both"/>
        <w:rPr>
          <w:rFonts w:asciiTheme="majorHAnsi" w:hAnsiTheme="majorHAnsi" w:cs="Arial"/>
          <w:sz w:val="24"/>
          <w:szCs w:val="24"/>
          <w:lang w:val="en"/>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
        </w:rPr>
        <w:t>The Black Sea PMU</w:t>
      </w:r>
      <w:r w:rsidRPr="0037604E">
        <w:rPr>
          <w:rFonts w:asciiTheme="majorHAnsi" w:eastAsia="Calibri" w:hAnsiTheme="majorHAnsi" w:cs="Times New Roman"/>
          <w:sz w:val="24"/>
          <w:szCs w:val="24"/>
          <w:lang w:val="en-GB" w:eastAsia="en-US"/>
        </w:rPr>
        <w:t xml:space="preserve"> prepared the </w:t>
      </w:r>
      <w:r w:rsidRPr="0037604E">
        <w:rPr>
          <w:rFonts w:asciiTheme="majorHAnsi" w:hAnsiTheme="majorHAnsi" w:cs="Arial"/>
          <w:sz w:val="24"/>
          <w:szCs w:val="24"/>
          <w:lang w:val="en"/>
        </w:rPr>
        <w:t>notification to initiate proceedings before application for the project of common interest BRUA Phase 1. The notification was submitted to and approved by ACPIC this by issuing the notification letter of approval for initiation of proceedings before application.</w:t>
      </w:r>
      <w:r w:rsidRPr="0037604E">
        <w:rPr>
          <w:rFonts w:asciiTheme="majorHAnsi" w:eastAsia="Calibri" w:hAnsiTheme="majorHAnsi" w:cs="Times New Roman"/>
          <w:sz w:val="24"/>
          <w:szCs w:val="24"/>
          <w:lang w:val="en-GB" w:eastAsia="en-US"/>
        </w:rPr>
        <w:t xml:space="preserve"> </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en-GB"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
        </w:rPr>
        <w:t>In accordance with Regulation 347/2013 it was also prepared the "Concept on public participation" for the BRUA Project Phase 1 Concept which was approved by ACPIC in September 2016</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en-GB"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en-GB" w:eastAsia="en-US"/>
        </w:rPr>
        <w:t xml:space="preserve">Transgaz, by </w:t>
      </w:r>
      <w:r w:rsidRPr="0037604E">
        <w:rPr>
          <w:rFonts w:asciiTheme="majorHAnsi" w:hAnsiTheme="majorHAnsi" w:cs="Arial"/>
          <w:sz w:val="24"/>
          <w:szCs w:val="24"/>
          <w:lang w:val="en"/>
        </w:rPr>
        <w:t xml:space="preserve">the </w:t>
      </w:r>
      <w:r w:rsidRPr="0037604E">
        <w:rPr>
          <w:rFonts w:asciiTheme="majorHAnsi" w:hAnsiTheme="majorHAnsi" w:cs="Arial"/>
          <w:sz w:val="24"/>
          <w:szCs w:val="24"/>
          <w:lang w:val="en-GB"/>
        </w:rPr>
        <w:t>Black Sea PMU and other units of the Company</w:t>
      </w:r>
      <w:r w:rsidRPr="0037604E">
        <w:rPr>
          <w:rFonts w:asciiTheme="majorHAnsi" w:eastAsia="Calibri" w:hAnsiTheme="majorHAnsi" w:cs="Times New Roman"/>
          <w:sz w:val="24"/>
          <w:szCs w:val="24"/>
          <w:lang w:val="en-GB" w:eastAsia="en-US"/>
        </w:rPr>
        <w:t>,</w:t>
      </w:r>
      <w:r w:rsidRPr="0037604E">
        <w:rPr>
          <w:rFonts w:ascii="Arial" w:hAnsi="Arial" w:cs="Arial"/>
          <w:color w:val="222222"/>
          <w:lang w:val="en"/>
        </w:rPr>
        <w:t xml:space="preserve"> </w:t>
      </w:r>
      <w:r w:rsidRPr="0037604E">
        <w:rPr>
          <w:rFonts w:asciiTheme="majorHAnsi" w:hAnsiTheme="majorHAnsi" w:cs="Arial"/>
          <w:sz w:val="24"/>
          <w:szCs w:val="24"/>
          <w:lang w:val="en"/>
        </w:rPr>
        <w:t>maintain permanent contact to develop, review and finalize the documents required by Regulation 347/2013: Information Brochure, Non - Technical Summary, Manual for authorization procedure applicable to projects of common interest, etc.</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lastRenderedPageBreak/>
        <w:t xml:space="preserve">The procedure was initiated also for the project 6.24.8 </w:t>
      </w:r>
      <w:r w:rsidRPr="0037604E">
        <w:rPr>
          <w:rFonts w:asciiTheme="majorHAnsi" w:hAnsiTheme="majorHAnsi" w:cs="Times New Roman"/>
          <w:sz w:val="24"/>
          <w:szCs w:val="24"/>
        </w:rPr>
        <w:t>Black Sea shore — Podișor (RO) pipeline for taking over the Black sea gas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eastAsia="Calibri" w:hAnsiTheme="majorHAnsi" w:cs="Times New Roman"/>
          <w:b/>
          <w:sz w:val="24"/>
          <w:szCs w:val="24"/>
          <w:lang w:val="en-GB" w:eastAsia="en-US"/>
        </w:rPr>
      </w:pPr>
      <w:r w:rsidRPr="0037604E">
        <w:rPr>
          <w:rFonts w:asciiTheme="majorHAnsi" w:eastAsia="Calibri" w:hAnsiTheme="majorHAnsi" w:cs="Times New Roman"/>
          <w:b/>
          <w:sz w:val="24"/>
          <w:szCs w:val="24"/>
          <w:lang w:val="en-GB" w:eastAsia="en-US"/>
        </w:rPr>
        <w:t>Miscellaneous</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en-GB"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t xml:space="preserve">The </w:t>
      </w:r>
      <w:r w:rsidRPr="0037604E">
        <w:rPr>
          <w:rFonts w:asciiTheme="majorHAnsi" w:hAnsiTheme="majorHAnsi" w:cs="Arial"/>
          <w:sz w:val="24"/>
          <w:szCs w:val="24"/>
          <w:lang w:val="en-GB"/>
        </w:rPr>
        <w:t xml:space="preserve">Black Sea PMU </w:t>
      </w:r>
      <w:r w:rsidRPr="0037604E">
        <w:rPr>
          <w:rFonts w:asciiTheme="majorHAnsi" w:hAnsiTheme="majorHAnsi" w:cs="Arial"/>
          <w:color w:val="222222"/>
          <w:sz w:val="24"/>
          <w:szCs w:val="24"/>
          <w:lang w:val="en"/>
        </w:rPr>
        <w:t xml:space="preserve">is involved in activities </w:t>
      </w:r>
      <w:r w:rsidRPr="0037604E">
        <w:rPr>
          <w:rFonts w:asciiTheme="majorHAnsi" w:eastAsia="Calibri" w:hAnsiTheme="majorHAnsi" w:cs="Times New Roman"/>
          <w:sz w:val="24"/>
          <w:szCs w:val="24"/>
          <w:lang w:val="ro-RO" w:eastAsia="en-US"/>
        </w:rPr>
        <w:t xml:space="preserve">performed within the </w:t>
      </w:r>
      <w:r w:rsidRPr="0037604E">
        <w:rPr>
          <w:rFonts w:asciiTheme="majorHAnsi" w:hAnsiTheme="majorHAnsi" w:cs="Arial"/>
          <w:color w:val="222222"/>
          <w:sz w:val="24"/>
          <w:szCs w:val="24"/>
          <w:lang w:val="en"/>
        </w:rPr>
        <w:t xml:space="preserve">working group </w:t>
      </w:r>
      <w:r w:rsidRPr="0037604E">
        <w:rPr>
          <w:rFonts w:asciiTheme="majorHAnsi" w:eastAsia="Calibri" w:hAnsiTheme="majorHAnsi" w:cs="Times New Roman"/>
          <w:sz w:val="24"/>
          <w:szCs w:val="24"/>
          <w:lang w:val="ro-RO" w:eastAsia="en-US"/>
        </w:rPr>
        <w:t xml:space="preserve">ensuring the project management for design services for the compresor stations of the </w:t>
      </w:r>
      <w:r w:rsidRPr="0037604E">
        <w:rPr>
          <w:rFonts w:asciiTheme="majorHAnsi" w:hAnsiTheme="majorHAnsi" w:cs="Arial"/>
          <w:color w:val="222222"/>
          <w:sz w:val="24"/>
          <w:szCs w:val="24"/>
          <w:lang w:val="en"/>
        </w:rPr>
        <w:t xml:space="preserve">BRUA project </w:t>
      </w:r>
      <w:r w:rsidRPr="0037604E">
        <w:rPr>
          <w:rFonts w:asciiTheme="majorHAnsi" w:eastAsia="Calibri" w:hAnsiTheme="majorHAnsi" w:cs="Times New Roman"/>
          <w:sz w:val="24"/>
          <w:szCs w:val="24"/>
          <w:lang w:val="ro-RO" w:eastAsia="en-US"/>
        </w:rPr>
        <w:t xml:space="preserve">and in otheractivities of the working group involved in the preparation of the specifications for the procurement of the pipe material, valves, electro-insulating sleeves for the </w:t>
      </w:r>
      <w:r w:rsidRPr="0037604E">
        <w:rPr>
          <w:rFonts w:asciiTheme="majorHAnsi" w:hAnsiTheme="majorHAnsi" w:cs="Arial"/>
          <w:color w:val="222222"/>
          <w:sz w:val="24"/>
          <w:szCs w:val="24"/>
          <w:lang w:val="en"/>
        </w:rPr>
        <w:t>BRUA</w:t>
      </w:r>
      <w:r w:rsidRPr="0037604E">
        <w:rPr>
          <w:rFonts w:asciiTheme="majorHAnsi" w:eastAsia="MS Mincho" w:hAnsiTheme="majorHAnsi" w:cs="Times New Roman"/>
          <w:sz w:val="24"/>
          <w:szCs w:val="24"/>
          <w:lang w:val="ro-RO" w:eastAsia="en-US"/>
        </w:rPr>
        <w:t xml:space="preserve"> </w:t>
      </w:r>
      <w:r w:rsidRPr="0037604E">
        <w:rPr>
          <w:rFonts w:asciiTheme="majorHAnsi" w:hAnsiTheme="majorHAnsi" w:cs="Arial"/>
          <w:color w:val="222222"/>
          <w:sz w:val="24"/>
          <w:szCs w:val="24"/>
          <w:lang w:val="en"/>
        </w:rPr>
        <w:t>project</w:t>
      </w:r>
      <w:r w:rsidRPr="0037604E">
        <w:rPr>
          <w:rFonts w:asciiTheme="majorHAnsi" w:eastAsia="MS Mincho" w:hAnsiTheme="majorHAnsi" w:cs="Times New Roman"/>
          <w:sz w:val="24"/>
          <w:szCs w:val="24"/>
          <w:lang w:val="ro-RO" w:eastAsia="en-US"/>
        </w:rPr>
        <w:t xml:space="preserve"> </w:t>
      </w:r>
      <w:r w:rsidRPr="0037604E">
        <w:rPr>
          <w:rFonts w:asciiTheme="majorHAnsi" w:hAnsiTheme="majorHAnsi" w:cs="Arial"/>
          <w:color w:val="222222"/>
          <w:sz w:val="24"/>
          <w:szCs w:val="24"/>
          <w:lang w:val="en"/>
        </w:rPr>
        <w:t xml:space="preserve">Phase 1 </w:t>
      </w:r>
      <w:r w:rsidRPr="0037604E">
        <w:rPr>
          <w:rFonts w:asciiTheme="majorHAnsi" w:eastAsia="MS Mincho" w:hAnsiTheme="majorHAnsi" w:cs="Times New Roman"/>
          <w:sz w:val="24"/>
          <w:szCs w:val="24"/>
          <w:lang w:val="ro-RO" w:eastAsia="en-US"/>
        </w:rPr>
        <w:t>and the specifications for th execution of the BRUA pipeline Phase 1 (Lot 1, 2, 3, 4)</w:t>
      </w:r>
      <w:r w:rsidRPr="0037604E">
        <w:rPr>
          <w:rFonts w:asciiTheme="majorHAnsi" w:eastAsia="Calibri" w:hAnsiTheme="majorHAnsi" w:cs="Times New Roman"/>
          <w:sz w:val="24"/>
          <w:szCs w:val="24"/>
          <w:lang w:val="ro-RO" w:eastAsia="en-US"/>
        </w:rPr>
        <w:t>.</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color w:val="222222"/>
          <w:sz w:val="24"/>
          <w:szCs w:val="24"/>
          <w:lang w:val="en"/>
        </w:rPr>
        <w:t xml:space="preserve">As of </w:t>
      </w:r>
      <w:r w:rsidRPr="0037604E">
        <w:rPr>
          <w:rFonts w:asciiTheme="majorHAnsi" w:eastAsia="Calibri" w:hAnsiTheme="majorHAnsi" w:cs="Times New Roman"/>
          <w:sz w:val="24"/>
          <w:szCs w:val="24"/>
          <w:lang w:val="ro-RO" w:eastAsia="en-US"/>
        </w:rPr>
        <w:t xml:space="preserve">01.10.2016 </w:t>
      </w:r>
      <w:r w:rsidRPr="0037604E">
        <w:rPr>
          <w:rFonts w:asciiTheme="majorHAnsi" w:hAnsiTheme="majorHAnsi" w:cs="Arial"/>
          <w:color w:val="222222"/>
          <w:sz w:val="24"/>
          <w:szCs w:val="24"/>
          <w:lang w:val="en"/>
        </w:rPr>
        <w:t xml:space="preserve">BRUA project related activities were taken over by </w:t>
      </w:r>
      <w:r w:rsidRPr="0037604E">
        <w:rPr>
          <w:rFonts w:asciiTheme="majorHAnsi" w:eastAsia="Calibri" w:hAnsiTheme="majorHAnsi" w:cs="Times New Roman"/>
          <w:sz w:val="24"/>
          <w:szCs w:val="24"/>
          <w:lang w:val="ro-RO" w:eastAsia="en-US"/>
        </w:rPr>
        <w:t xml:space="preserve">the BRUA PMU. </w:t>
      </w:r>
    </w:p>
    <w:p w:rsidR="0037604E" w:rsidRPr="0037604E" w:rsidRDefault="0037604E" w:rsidP="0037604E">
      <w:pPr>
        <w:spacing w:after="0" w:line="240" w:lineRule="auto"/>
        <w:ind w:firstLine="0"/>
        <w:jc w:val="both"/>
        <w:rPr>
          <w:rFonts w:asciiTheme="majorHAnsi" w:eastAsia="Times New Roman" w:hAnsiTheme="majorHAnsi"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hd w:val="clear" w:color="auto" w:fill="EEECE1"/>
        <w:spacing w:after="0" w:line="240" w:lineRule="auto"/>
        <w:ind w:firstLine="0"/>
        <w:jc w:val="both"/>
        <w:rPr>
          <w:rFonts w:ascii="Cambria" w:eastAsia="Times New Roman" w:hAnsi="Cambria" w:cs="Times New Roman"/>
          <w:b/>
          <w:i/>
          <w:sz w:val="24"/>
          <w:szCs w:val="24"/>
          <w:lang w:val="en-GB" w:eastAsia="ro-RO"/>
        </w:rPr>
      </w:pPr>
      <w:r w:rsidRPr="0037604E">
        <w:rPr>
          <w:rFonts w:ascii="Cambria" w:eastAsia="Times New Roman" w:hAnsi="Cambria" w:cs="Times New Roman"/>
          <w:b/>
          <w:i/>
          <w:sz w:val="24"/>
          <w:szCs w:val="24"/>
          <w:lang w:val="en-GB" w:eastAsia="ro-RO"/>
        </w:rPr>
        <w:t>Elements regarding the activity of Transgaz at international level</w:t>
      </w:r>
    </w:p>
    <w:p w:rsidR="0037604E" w:rsidRPr="0037604E" w:rsidRDefault="0037604E" w:rsidP="0037604E">
      <w:pPr>
        <w:spacing w:after="0" w:line="240" w:lineRule="auto"/>
        <w:ind w:firstLine="0"/>
        <w:jc w:val="both"/>
        <w:rPr>
          <w:rFonts w:ascii="Cambria" w:eastAsia="Times New Roman" w:hAnsi="Cambria" w:cs="Times New Roman"/>
          <w:i/>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In order to implement the strategic objectives of a transformation into a European company, Transgaz needs to strengthen its status given both by the geographic location and the monopoly on the operation of the national gas transmission system, asserting its regional importance by participation and active involvement in forums, organizations and European authorities in the field, by participation in projects of regional and European interest and by establishing active partnerships with companies in the field</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tabs>
          <w:tab w:val="left" w:pos="4050"/>
        </w:tabs>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The interface between the Company and the external partners is provided through the EU Funds and International Relations Division, which is constantly monitoring the development of joint projects and thus contribute to achieving the EU objectives for increased interconnectivity and the creation of an integrated single market to ensure the security of gas supply.</w:t>
      </w:r>
    </w:p>
    <w:p w:rsidR="0037604E" w:rsidRPr="0037604E" w:rsidRDefault="0037604E" w:rsidP="0037604E">
      <w:pPr>
        <w:tabs>
          <w:tab w:val="left" w:pos="4050"/>
        </w:tabs>
        <w:spacing w:after="0" w:line="240" w:lineRule="auto"/>
        <w:ind w:firstLine="0"/>
        <w:jc w:val="both"/>
        <w:rPr>
          <w:rFonts w:asciiTheme="majorHAnsi" w:eastAsia="Calibri" w:hAnsiTheme="majorHAnsi" w:cs="Times New Roman"/>
          <w:sz w:val="24"/>
          <w:szCs w:val="24"/>
          <w:lang w:val="en-GB" w:eastAsia="en-US"/>
        </w:rPr>
      </w:pPr>
      <w:r w:rsidRPr="0037604E">
        <w:rPr>
          <w:rFonts w:asciiTheme="majorHAnsi" w:hAnsiTheme="majorHAnsi" w:cs="Arial"/>
          <w:sz w:val="24"/>
          <w:szCs w:val="24"/>
          <w:lang w:val="en-GB"/>
        </w:rPr>
        <w:br/>
        <w:t>The EU Funds and International Relations Division also facilitates cooperation with European bodies and institutions and with all participants in the process of creating the internal energy market of the European Union and will represent the Company and promote its image and international projects both within international conferences and summits, and before investors interested in the Company.</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E8EFF9"/>
        <w:tabs>
          <w:tab w:val="left" w:pos="4050"/>
        </w:tabs>
        <w:spacing w:after="0" w:line="240" w:lineRule="auto"/>
        <w:ind w:firstLine="0"/>
        <w:jc w:val="both"/>
        <w:rPr>
          <w:rFonts w:ascii="Cambria" w:eastAsia="Times New Roman" w:hAnsi="Cambria" w:cs="Times New Roman"/>
          <w:b/>
          <w:i/>
          <w:sz w:val="24"/>
          <w:szCs w:val="24"/>
          <w:u w:val="single"/>
          <w:lang w:val="en-GB"/>
        </w:rPr>
      </w:pPr>
      <w:r w:rsidRPr="0037604E">
        <w:rPr>
          <w:rFonts w:ascii="Cambria" w:eastAsia="Times New Roman" w:hAnsi="Cambria" w:cs="Times New Roman"/>
          <w:b/>
          <w:i/>
          <w:sz w:val="24"/>
          <w:szCs w:val="24"/>
          <w:u w:val="single"/>
          <w:shd w:val="clear" w:color="auto" w:fill="E8EFF9"/>
          <w:lang w:val="en-GB"/>
        </w:rPr>
        <w:t>Cooperation with the Gas Transmission System Operators from the neighbouring countries (Bulgaria, Hungary, Ukraine) in order to implement and jointly operate the cross-border interconnections, as follows</w:t>
      </w:r>
      <w:r w:rsidRPr="0037604E">
        <w:rPr>
          <w:rFonts w:ascii="Cambria" w:eastAsia="Times New Roman" w:hAnsi="Cambria" w:cs="Times New Roman"/>
          <w:b/>
          <w:i/>
          <w:sz w:val="24"/>
          <w:szCs w:val="24"/>
          <w:u w:val="single"/>
          <w:lang w:val="en-GB"/>
        </w:rPr>
        <w:t>:</w:t>
      </w:r>
    </w:p>
    <w:p w:rsidR="0037604E" w:rsidRPr="0037604E" w:rsidRDefault="0037604E" w:rsidP="0037604E">
      <w:pPr>
        <w:tabs>
          <w:tab w:val="left" w:pos="4050"/>
        </w:tabs>
        <w:spacing w:after="0" w:line="240" w:lineRule="auto"/>
        <w:ind w:firstLine="0"/>
        <w:jc w:val="both"/>
        <w:rPr>
          <w:rFonts w:ascii="Cambria" w:eastAsia="Times New Roman" w:hAnsi="Cambria" w:cs="Times New Roman"/>
          <w:i/>
          <w:sz w:val="24"/>
          <w:szCs w:val="24"/>
          <w:u w:val="single"/>
          <w:lang w:val="en-GB"/>
        </w:rPr>
      </w:pPr>
    </w:p>
    <w:p w:rsidR="0037604E" w:rsidRPr="0037604E" w:rsidRDefault="0037604E" w:rsidP="0037604E">
      <w:pPr>
        <w:tabs>
          <w:tab w:val="left" w:pos="4050"/>
        </w:tabs>
        <w:spacing w:after="0" w:line="240" w:lineRule="auto"/>
        <w:ind w:hanging="720"/>
        <w:jc w:val="both"/>
        <w:rPr>
          <w:rFonts w:ascii="Cambria" w:eastAsia="Times New Roman" w:hAnsi="Cambria" w:cs="Times New Roman"/>
          <w:b/>
          <w:color w:val="000000"/>
          <w:sz w:val="24"/>
          <w:szCs w:val="24"/>
          <w:lang w:val="en-GB"/>
        </w:rPr>
      </w:pPr>
      <w:r w:rsidRPr="0037604E">
        <w:rPr>
          <w:rFonts w:ascii="Cambria" w:eastAsia="Times New Roman" w:hAnsi="Cambria" w:cs="Times New Roman"/>
          <w:b/>
          <w:i/>
          <w:color w:val="000000"/>
          <w:sz w:val="24"/>
          <w:szCs w:val="24"/>
          <w:lang w:val="en-GB"/>
        </w:rPr>
        <w:tab/>
        <w:t>Cooperation with BULGARTRANSGAZ EAD, Bulgaria:</w:t>
      </w:r>
    </w:p>
    <w:p w:rsidR="0037604E" w:rsidRPr="0037604E" w:rsidRDefault="0037604E" w:rsidP="00FA6EB9">
      <w:pPr>
        <w:numPr>
          <w:ilvl w:val="0"/>
          <w:numId w:val="23"/>
        </w:numPr>
        <w:tabs>
          <w:tab w:val="left" w:pos="4050"/>
        </w:tabs>
        <w:spacing w:after="0" w:line="240" w:lineRule="auto"/>
        <w:contextualSpacing/>
        <w:jc w:val="both"/>
        <w:rPr>
          <w:rFonts w:ascii="Cambria" w:eastAsia="Times New Roman" w:hAnsi="Cambria" w:cs="Times New Roman"/>
          <w:sz w:val="24"/>
          <w:szCs w:val="24"/>
          <w:lang w:val="en-GB"/>
        </w:rPr>
      </w:pPr>
      <w:r w:rsidRPr="0037604E">
        <w:rPr>
          <w:rFonts w:ascii="Cambria" w:eastAsia="Calibri" w:hAnsi="Cambria" w:cs="Times New Roman"/>
          <w:i/>
          <w:sz w:val="24"/>
          <w:szCs w:val="24"/>
          <w:lang w:val="en-GB" w:eastAsia="en-US"/>
        </w:rPr>
        <w:t>Regarding the Bulgaria-Romania interconnection project, in the direction Giurgiu-Ruse</w:t>
      </w:r>
      <w:r w:rsidRPr="0037604E">
        <w:rPr>
          <w:rFonts w:ascii="Cambria" w:eastAsia="Times New Roman" w:hAnsi="Cambria" w:cs="Times New Roman"/>
          <w:sz w:val="24"/>
          <w:szCs w:val="24"/>
          <w:lang w:val="en-GB"/>
        </w:rPr>
        <w:t>;</w:t>
      </w:r>
    </w:p>
    <w:p w:rsidR="0037604E" w:rsidRPr="0037604E" w:rsidRDefault="0037604E" w:rsidP="0037604E">
      <w:pPr>
        <w:tabs>
          <w:tab w:val="left" w:pos="4050"/>
        </w:tabs>
        <w:spacing w:after="0" w:line="240" w:lineRule="auto"/>
        <w:jc w:val="both"/>
        <w:rPr>
          <w:rFonts w:ascii="Cambria" w:eastAsia="Times New Roman" w:hAnsi="Cambria" w:cs="Times New Roman"/>
          <w:sz w:val="24"/>
          <w:szCs w:val="24"/>
          <w:lang w:val="en-GB"/>
        </w:rPr>
      </w:pPr>
    </w:p>
    <w:p w:rsidR="0037604E" w:rsidRPr="0037604E" w:rsidRDefault="0037604E" w:rsidP="0037604E">
      <w:pPr>
        <w:tabs>
          <w:tab w:val="left" w:pos="4050"/>
        </w:tabs>
        <w:spacing w:after="0" w:line="240" w:lineRule="auto"/>
        <w:ind w:firstLine="0"/>
        <w:contextualSpacing/>
        <w:jc w:val="both"/>
        <w:rPr>
          <w:rFonts w:asciiTheme="majorHAnsi" w:eastAsia="Calibri" w:hAnsiTheme="majorHAnsi" w:cs="Times New Roman"/>
          <w:sz w:val="24"/>
          <w:szCs w:val="24"/>
          <w:lang w:val="ro-RO" w:eastAsia="en-US"/>
        </w:rPr>
      </w:pPr>
      <w:r w:rsidRPr="0037604E">
        <w:rPr>
          <w:rFonts w:ascii="Cambria" w:eastAsia="Calibri" w:hAnsi="Cambria" w:cs="Times New Roman"/>
          <w:sz w:val="24"/>
          <w:szCs w:val="24"/>
          <w:lang w:val="en-GB" w:eastAsia="en-US"/>
        </w:rPr>
        <w:t>Meetings were held and correspondence was exchanged with the representatives of Bulgartransgaz regarding the implementation of execution works for the Danube River undercrossing with t</w:t>
      </w:r>
      <w:r w:rsidR="003C793F">
        <w:rPr>
          <w:rFonts w:ascii="Cambria" w:eastAsia="Calibri" w:hAnsi="Cambria" w:cs="Times New Roman"/>
          <w:sz w:val="24"/>
          <w:szCs w:val="24"/>
          <w:lang w:val="en-GB" w:eastAsia="en-US"/>
        </w:rPr>
        <w:t>he main pipeline and the backup</w:t>
      </w:r>
      <w:r w:rsidRPr="0037604E">
        <w:rPr>
          <w:rFonts w:ascii="Cambria" w:eastAsia="Calibri" w:hAnsi="Cambria" w:cs="Times New Roman"/>
          <w:sz w:val="24"/>
          <w:szCs w:val="24"/>
          <w:lang w:val="en-GB" w:eastAsia="en-US"/>
        </w:rPr>
        <w:t xml:space="preserve"> pipeline, according to the relevan contracts</w:t>
      </w:r>
      <w:r w:rsidRPr="0037604E">
        <w:rPr>
          <w:rFonts w:asciiTheme="majorHAnsi" w:eastAsia="Calibri" w:hAnsiTheme="majorHAnsi" w:cs="Times New Roman"/>
          <w:sz w:val="24"/>
          <w:szCs w:val="24"/>
          <w:lang w:val="ro-RO" w:eastAsia="en-US"/>
        </w:rPr>
        <w:t xml:space="preserve">: </w:t>
      </w:r>
    </w:p>
    <w:p w:rsidR="0037604E" w:rsidRPr="0037604E" w:rsidRDefault="0037604E" w:rsidP="00FA6EB9">
      <w:pPr>
        <w:numPr>
          <w:ilvl w:val="0"/>
          <w:numId w:val="53"/>
        </w:numPr>
        <w:tabs>
          <w:tab w:val="left" w:pos="4050"/>
        </w:tabs>
        <w:spacing w:after="0" w:line="240" w:lineRule="auto"/>
        <w:contextualSpacing/>
        <w:jc w:val="both"/>
        <w:rPr>
          <w:rFonts w:asciiTheme="majorHAnsi" w:hAnsiTheme="majorHAnsi"/>
          <w:sz w:val="24"/>
          <w:lang w:val="ro-RO"/>
        </w:rPr>
      </w:pPr>
      <w:r w:rsidRPr="0037604E">
        <w:rPr>
          <w:rFonts w:asciiTheme="majorHAnsi" w:eastAsia="Calibri" w:hAnsiTheme="majorHAnsi" w:cs="Times New Roman"/>
          <w:sz w:val="24"/>
          <w:szCs w:val="24"/>
          <w:lang w:val="ro-RO" w:eastAsia="en-US"/>
        </w:rPr>
        <w:t xml:space="preserve">Works execution contract for the crossing of the danube River with the main pipeline, between TRANSGAZ – BULGARTRANSGAZ and SC HABAU PPS PIPELINE SYSTEMS SRL Ploiești, </w:t>
      </w:r>
      <w:r w:rsidRPr="0037604E">
        <w:rPr>
          <w:rFonts w:asciiTheme="majorHAnsi" w:hAnsiTheme="majorHAnsi"/>
          <w:sz w:val="24"/>
          <w:lang w:val="ro-RO"/>
        </w:rPr>
        <w:t xml:space="preserve">Romania </w:t>
      </w:r>
      <w:r w:rsidRPr="0037604E">
        <w:rPr>
          <w:rFonts w:asciiTheme="majorHAnsi" w:eastAsia="Calibri" w:hAnsiTheme="majorHAnsi" w:cs="Times New Roman"/>
          <w:sz w:val="24"/>
          <w:szCs w:val="24"/>
          <w:lang w:val="ro-RO" w:eastAsia="en-US"/>
        </w:rPr>
        <w:t>was signed at 06.04.2016.</w:t>
      </w:r>
    </w:p>
    <w:p w:rsidR="0037604E" w:rsidRPr="0037604E" w:rsidRDefault="0037604E" w:rsidP="0037604E">
      <w:pPr>
        <w:tabs>
          <w:tab w:val="left" w:pos="4050"/>
        </w:tabs>
        <w:spacing w:after="0" w:line="240" w:lineRule="auto"/>
        <w:ind w:left="720" w:firstLine="0"/>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lastRenderedPageBreak/>
        <w:t>The operations related to the building of the main pipeline were finalized, the Commissionning Report being signed at 4.11.2016.</w:t>
      </w:r>
    </w:p>
    <w:p w:rsidR="0037604E" w:rsidRPr="0037604E" w:rsidRDefault="0037604E" w:rsidP="00FA6EB9">
      <w:pPr>
        <w:numPr>
          <w:ilvl w:val="0"/>
          <w:numId w:val="53"/>
        </w:numPr>
        <w:tabs>
          <w:tab w:val="left" w:pos="4050"/>
        </w:tabs>
        <w:spacing w:after="0" w:line="240" w:lineRule="auto"/>
        <w:contextualSpacing/>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The contract between TRANSGAZ, BULGARTRANSGAZ and the winner of the procurement procedure for the contracting of the construction works for backup pipeline of the undercrossing of the Danube River – the INSPET SA association, with the leader – HABAU PPS Pipeline Systems SRL, associate, was signed at 30.05.2016.</w:t>
      </w:r>
    </w:p>
    <w:p w:rsidR="0037604E" w:rsidRPr="0037604E" w:rsidRDefault="0037604E" w:rsidP="0037604E">
      <w:pPr>
        <w:tabs>
          <w:tab w:val="left" w:pos="4050"/>
        </w:tabs>
        <w:spacing w:after="0" w:line="240" w:lineRule="auto"/>
        <w:jc w:val="both"/>
        <w:rPr>
          <w:rFonts w:ascii="Cambria" w:eastAsia="Times New Roman" w:hAnsi="Cambria" w:cs="Times New Roman"/>
          <w:sz w:val="24"/>
          <w:szCs w:val="24"/>
          <w:highlight w:val="yellow"/>
          <w:lang w:val="en-GB"/>
        </w:rPr>
      </w:pPr>
    </w:p>
    <w:p w:rsidR="0037604E" w:rsidRPr="0037604E" w:rsidRDefault="0037604E" w:rsidP="0037604E">
      <w:pPr>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All operations for the construction of the backup pipeline of the Danube undercrossing were completed and on 22.12.2016 the Comissioning Report was signed.</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 xml:space="preserve">The interconnection - completed technically - will become operational after the auctions for the capacity allocation in accordance with Regulation (EU) 2013/984 establishing a Network Code on Capacity Allocation Mechanisms, most likely early next year.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hAnsiTheme="majorHAnsi"/>
          <w:sz w:val="24"/>
          <w:szCs w:val="24"/>
          <w:lang w:val="ro-RO"/>
        </w:rPr>
      </w:pPr>
      <w:r w:rsidRPr="0037604E">
        <w:rPr>
          <w:rFonts w:asciiTheme="majorHAnsi" w:hAnsiTheme="majorHAnsi" w:cs="Arial"/>
          <w:sz w:val="24"/>
          <w:szCs w:val="24"/>
          <w:lang w:val="en"/>
        </w:rPr>
        <w:t xml:space="preserve">In this regard, the parties signed an interconnection agreement – according to Regulation (EU) 2015/703 establishing a network code for interoperability and data exchange - which provides both aspects of the operation of the </w:t>
      </w:r>
      <w:r w:rsidRPr="0037604E">
        <w:rPr>
          <w:rFonts w:asciiTheme="majorHAnsi" w:eastAsia="Times New Roman" w:hAnsiTheme="majorHAnsi" w:cs="Times New Roman"/>
          <w:sz w:val="24"/>
          <w:szCs w:val="24"/>
          <w:lang w:val="ro-RO" w:eastAsia="en-US"/>
        </w:rPr>
        <w:t xml:space="preserve">Ruse-Giurgiu </w:t>
      </w:r>
      <w:r w:rsidRPr="0037604E">
        <w:rPr>
          <w:rFonts w:asciiTheme="majorHAnsi" w:hAnsiTheme="majorHAnsi" w:cs="Arial"/>
          <w:sz w:val="24"/>
          <w:szCs w:val="24"/>
          <w:lang w:val="en"/>
        </w:rPr>
        <w:t>interconnection point and issues related to the procedure</w:t>
      </w:r>
      <w:r w:rsidRPr="0037604E">
        <w:rPr>
          <w:rFonts w:asciiTheme="majorHAnsi" w:eastAsia="Times New Roman" w:hAnsiTheme="majorHAnsi" w:cs="Times New Roman"/>
          <w:sz w:val="24"/>
          <w:szCs w:val="24"/>
          <w:lang w:val="ro-RO" w:eastAsia="en-US"/>
        </w:rPr>
        <w:t xml:space="preserve"> of </w:t>
      </w:r>
      <w:r w:rsidRPr="0037604E">
        <w:rPr>
          <w:rFonts w:asciiTheme="majorHAnsi" w:hAnsiTheme="majorHAnsi" w:cs="Arial"/>
          <w:sz w:val="24"/>
          <w:szCs w:val="24"/>
          <w:lang w:val="en"/>
        </w:rPr>
        <w:t>allocation</w:t>
      </w:r>
      <w:r w:rsidRPr="0037604E">
        <w:rPr>
          <w:rFonts w:asciiTheme="majorHAnsi" w:eastAsia="Times New Roman" w:hAnsiTheme="majorHAnsi" w:cs="Times New Roman"/>
          <w:sz w:val="24"/>
          <w:szCs w:val="24"/>
          <w:lang w:val="ro-RO" w:eastAsia="en-US"/>
        </w:rPr>
        <w:t xml:space="preserve"> of related </w:t>
      </w:r>
      <w:r w:rsidRPr="0037604E">
        <w:rPr>
          <w:rFonts w:asciiTheme="majorHAnsi" w:hAnsiTheme="majorHAnsi" w:cs="Arial"/>
          <w:sz w:val="24"/>
          <w:szCs w:val="24"/>
          <w:lang w:val="en"/>
        </w:rPr>
        <w:t>capacity</w:t>
      </w:r>
      <w:r w:rsidRPr="0037604E">
        <w:rPr>
          <w:rFonts w:asciiTheme="majorHAnsi" w:hAnsiTheme="majorHAnsi"/>
          <w:sz w:val="24"/>
          <w:szCs w:val="24"/>
          <w:lang w:val="ro-RO"/>
        </w:rPr>
        <w:t>.</w:t>
      </w: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Arial" w:hAnsi="Arial" w:cs="Arial"/>
          <w:color w:val="222222"/>
          <w:lang w:val="en"/>
        </w:rPr>
        <w:br/>
      </w:r>
    </w:p>
    <w:p w:rsidR="0037604E" w:rsidRPr="0037604E" w:rsidRDefault="0037604E" w:rsidP="0037604E">
      <w:pPr>
        <w:tabs>
          <w:tab w:val="left" w:pos="4050"/>
        </w:tabs>
        <w:spacing w:after="0" w:line="240" w:lineRule="auto"/>
        <w:jc w:val="both"/>
        <w:rPr>
          <w:rFonts w:ascii="Cambria" w:eastAsia="Times New Roman" w:hAnsi="Cambria" w:cs="Times New Roman"/>
          <w:sz w:val="24"/>
          <w:szCs w:val="24"/>
          <w:highlight w:val="yellow"/>
          <w:lang w:val="en-GB"/>
        </w:rPr>
      </w:pPr>
    </w:p>
    <w:p w:rsidR="0037604E" w:rsidRPr="0037604E" w:rsidRDefault="0037604E" w:rsidP="00FA6EB9">
      <w:pPr>
        <w:numPr>
          <w:ilvl w:val="0"/>
          <w:numId w:val="23"/>
        </w:numPr>
        <w:tabs>
          <w:tab w:val="left" w:pos="270"/>
          <w:tab w:val="left" w:pos="4050"/>
        </w:tabs>
        <w:spacing w:after="0" w:line="240" w:lineRule="auto"/>
        <w:contextualSpacing/>
        <w:jc w:val="both"/>
        <w:rPr>
          <w:rFonts w:ascii="Cambria" w:eastAsia="Calibri" w:hAnsi="Cambria" w:cs="Times New Roman"/>
          <w:b/>
          <w:sz w:val="24"/>
          <w:szCs w:val="24"/>
          <w:lang w:val="en-GB" w:eastAsia="en-US"/>
        </w:rPr>
      </w:pPr>
      <w:r w:rsidRPr="0037604E">
        <w:rPr>
          <w:rFonts w:asciiTheme="majorHAnsi" w:hAnsiTheme="majorHAnsi"/>
          <w:i/>
          <w:sz w:val="24"/>
          <w:lang w:val="ro-RO"/>
        </w:rPr>
        <w:t>Regarding the joint operation of the Negru Vodă I</w:t>
      </w:r>
      <w:r w:rsidRPr="0037604E">
        <w:rPr>
          <w:rFonts w:asciiTheme="majorHAnsi" w:eastAsia="Calibri" w:hAnsiTheme="majorHAnsi" w:cs="Times New Roman"/>
          <w:i/>
          <w:sz w:val="24"/>
          <w:szCs w:val="24"/>
          <w:lang w:val="ro-RO" w:eastAsia="en-US"/>
        </w:rPr>
        <w:t>, II and III</w:t>
      </w:r>
      <w:r w:rsidRPr="0037604E">
        <w:rPr>
          <w:rFonts w:asciiTheme="majorHAnsi" w:hAnsiTheme="majorHAnsi"/>
          <w:i/>
          <w:sz w:val="24"/>
          <w:lang w:val="ro-RO"/>
        </w:rPr>
        <w:t xml:space="preserve"> cross-border IP</w:t>
      </w:r>
      <w:r w:rsidRPr="0037604E">
        <w:rPr>
          <w:rFonts w:asciiTheme="majorHAnsi" w:eastAsia="Calibri" w:hAnsiTheme="majorHAnsi" w:cs="Times New Roman"/>
          <w:i/>
          <w:sz w:val="24"/>
          <w:szCs w:val="24"/>
          <w:lang w:val="ro-RO" w:eastAsia="en-US"/>
        </w:rPr>
        <w:t>.</w:t>
      </w:r>
    </w:p>
    <w:p w:rsidR="0037604E" w:rsidRPr="0037604E" w:rsidRDefault="0037604E" w:rsidP="00FA6EB9">
      <w:pPr>
        <w:numPr>
          <w:ilvl w:val="0"/>
          <w:numId w:val="139"/>
        </w:numPr>
        <w:spacing w:after="0" w:line="240" w:lineRule="auto"/>
        <w:ind w:left="720"/>
        <w:contextualSpacing/>
        <w:rPr>
          <w:rFonts w:asciiTheme="majorHAnsi" w:hAnsiTheme="majorHAnsi"/>
          <w:sz w:val="24"/>
          <w:lang w:val="ro-RO"/>
        </w:rPr>
      </w:pPr>
      <w:r w:rsidRPr="0037604E">
        <w:rPr>
          <w:rFonts w:asciiTheme="majorHAnsi" w:hAnsiTheme="majorHAnsi"/>
          <w:sz w:val="24"/>
          <w:lang w:val="ro-RO"/>
        </w:rPr>
        <w:t xml:space="preserve">In July the parties signed the Interconnection Agreement for the </w:t>
      </w:r>
      <w:r w:rsidRPr="0037604E">
        <w:rPr>
          <w:rFonts w:asciiTheme="majorHAnsi" w:eastAsia="Calibri" w:hAnsiTheme="majorHAnsi" w:cs="Times New Roman"/>
          <w:sz w:val="24"/>
          <w:szCs w:val="24"/>
          <w:lang w:val="ro-RO" w:eastAsia="en-US"/>
        </w:rPr>
        <w:t>Negru Vodă I IP,</w:t>
      </w:r>
      <w:r w:rsidRPr="0037604E">
        <w:rPr>
          <w:rFonts w:asciiTheme="majorHAnsi" w:hAnsiTheme="majorHAnsi"/>
          <w:sz w:val="24"/>
          <w:lang w:val="ro-RO"/>
        </w:rPr>
        <w:t xml:space="preserve"> according to Regulation (EU) 2015/ 703 </w:t>
      </w:r>
      <w:r w:rsidRPr="0037604E">
        <w:rPr>
          <w:rFonts w:asciiTheme="majorHAnsi" w:hAnsiTheme="majorHAnsi" w:cs="Arial"/>
          <w:sz w:val="24"/>
          <w:szCs w:val="24"/>
        </w:rPr>
        <w:t>establishing a network code on interoperability and data exchange rules</w:t>
      </w:r>
      <w:r w:rsidRPr="0037604E">
        <w:rPr>
          <w:rFonts w:asciiTheme="majorHAnsi" w:hAnsiTheme="majorHAnsi"/>
          <w:sz w:val="24"/>
          <w:szCs w:val="24"/>
          <w:lang w:val="ro-RO"/>
        </w:rPr>
        <w:t>.</w:t>
      </w:r>
    </w:p>
    <w:p w:rsidR="0037604E" w:rsidRPr="0037604E" w:rsidRDefault="0037604E" w:rsidP="00FA6EB9">
      <w:pPr>
        <w:numPr>
          <w:ilvl w:val="0"/>
          <w:numId w:val="139"/>
        </w:numPr>
        <w:spacing w:after="0" w:line="240" w:lineRule="auto"/>
        <w:ind w:left="720"/>
        <w:contextualSpacing/>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For the Negru Vodă II and  III IP, the parties are in the process of agreeing the provisions of an interconnection agreement.</w:t>
      </w:r>
    </w:p>
    <w:p w:rsidR="0037604E" w:rsidRPr="0037604E" w:rsidRDefault="0037604E" w:rsidP="0037604E">
      <w:pPr>
        <w:tabs>
          <w:tab w:val="left" w:pos="4050"/>
        </w:tabs>
        <w:spacing w:after="0" w:line="240" w:lineRule="auto"/>
        <w:jc w:val="both"/>
        <w:rPr>
          <w:rFonts w:ascii="Cambria" w:eastAsia="Times New Roman" w:hAnsi="Cambria" w:cs="Times New Roman"/>
          <w:sz w:val="24"/>
          <w:szCs w:val="24"/>
          <w:lang w:val="en-GB"/>
        </w:rPr>
      </w:pPr>
    </w:p>
    <w:p w:rsidR="0037604E" w:rsidRPr="0037604E" w:rsidRDefault="0037604E" w:rsidP="0037604E">
      <w:pPr>
        <w:tabs>
          <w:tab w:val="left" w:pos="4050"/>
        </w:tabs>
        <w:spacing w:after="0" w:line="240" w:lineRule="auto"/>
        <w:jc w:val="both"/>
        <w:rPr>
          <w:rFonts w:ascii="Cambria" w:eastAsia="Times New Roman" w:hAnsi="Cambria" w:cs="Times New Roman"/>
          <w:b/>
          <w:i/>
          <w:sz w:val="24"/>
          <w:szCs w:val="24"/>
          <w:lang w:val="en-GB"/>
        </w:rPr>
      </w:pPr>
      <w:r w:rsidRPr="0037604E">
        <w:rPr>
          <w:rFonts w:ascii="Cambria" w:eastAsia="Times New Roman" w:hAnsi="Cambria" w:cs="Times New Roman"/>
          <w:b/>
          <w:i/>
          <w:sz w:val="24"/>
          <w:szCs w:val="24"/>
          <w:lang w:val="en-GB"/>
        </w:rPr>
        <w:t>Coopertion with FGSZ Ltd.:</w:t>
      </w:r>
    </w:p>
    <w:p w:rsidR="0037604E" w:rsidRPr="0037604E" w:rsidRDefault="0037604E" w:rsidP="00FA6EB9">
      <w:pPr>
        <w:numPr>
          <w:ilvl w:val="0"/>
          <w:numId w:val="140"/>
        </w:numPr>
        <w:tabs>
          <w:tab w:val="left" w:pos="4050"/>
        </w:tabs>
        <w:spacing w:after="0" w:line="240" w:lineRule="auto"/>
        <w:ind w:left="284" w:hanging="284"/>
        <w:jc w:val="both"/>
        <w:rPr>
          <w:rFonts w:asciiTheme="majorHAnsi" w:hAnsiTheme="majorHAnsi"/>
          <w:b/>
          <w:i/>
          <w:sz w:val="24"/>
          <w:lang w:val="ro-RO"/>
        </w:rPr>
      </w:pPr>
      <w:r w:rsidRPr="0037604E">
        <w:rPr>
          <w:rFonts w:asciiTheme="majorHAnsi" w:hAnsiTheme="majorHAnsi" w:cs="Times New Roman"/>
          <w:sz w:val="24"/>
          <w:szCs w:val="24"/>
        </w:rPr>
        <w:t>The project Development on the Romanian territory of the National Gas Transmission System on the Bulgaria — Romania — Hungary — Austria Corridor</w:t>
      </w:r>
      <w:r w:rsidRPr="0037604E">
        <w:rPr>
          <w:rFonts w:asciiTheme="majorHAnsi" w:eastAsia="Calibri" w:hAnsiTheme="majorHAnsi" w:cs="Times New Roman"/>
          <w:i/>
          <w:sz w:val="24"/>
          <w:szCs w:val="24"/>
          <w:lang w:val="ro-RO" w:eastAsia="en-US"/>
        </w:rPr>
        <w:t>:</w:t>
      </w:r>
    </w:p>
    <w:p w:rsidR="0037604E" w:rsidRPr="0037604E" w:rsidRDefault="0037604E" w:rsidP="00FA6EB9">
      <w:pPr>
        <w:numPr>
          <w:ilvl w:val="0"/>
          <w:numId w:val="141"/>
        </w:numPr>
        <w:tabs>
          <w:tab w:val="left" w:pos="4050"/>
        </w:tabs>
        <w:spacing w:after="0" w:line="240" w:lineRule="auto"/>
        <w:ind w:left="709" w:hanging="283"/>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 xml:space="preserve">The parties cooperate for launching an Open Season for the capacity of the </w:t>
      </w:r>
      <w:r w:rsidRPr="0037604E">
        <w:rPr>
          <w:rFonts w:asciiTheme="majorHAnsi" w:hAnsiTheme="majorHAnsi"/>
          <w:sz w:val="24"/>
          <w:lang w:val="ro-RO"/>
        </w:rPr>
        <w:t xml:space="preserve">PCI nr. 7.1.5. </w:t>
      </w:r>
      <w:r w:rsidRPr="0037604E">
        <w:rPr>
          <w:rFonts w:asciiTheme="majorHAnsi" w:hAnsiTheme="majorHAnsi" w:cs="Arial"/>
          <w:sz w:val="24"/>
          <w:szCs w:val="24"/>
        </w:rPr>
        <w:t xml:space="preserve">Gas pipeline from </w:t>
      </w:r>
      <w:r w:rsidRPr="0037604E">
        <w:rPr>
          <w:rFonts w:asciiTheme="majorHAnsi" w:hAnsiTheme="majorHAnsi" w:cs="Arial"/>
          <w:bCs/>
          <w:iCs/>
          <w:sz w:val="24"/>
          <w:szCs w:val="24"/>
        </w:rPr>
        <w:t>Bulgaria</w:t>
      </w:r>
      <w:r w:rsidRPr="0037604E">
        <w:rPr>
          <w:rFonts w:asciiTheme="majorHAnsi" w:hAnsiTheme="majorHAnsi" w:cs="Arial"/>
          <w:sz w:val="24"/>
          <w:szCs w:val="24"/>
        </w:rPr>
        <w:t xml:space="preserve"> to Austria, via Romania and Hungary</w:t>
      </w:r>
      <w:r w:rsidRPr="0037604E">
        <w:rPr>
          <w:rFonts w:asciiTheme="majorHAnsi" w:hAnsiTheme="majorHAnsi"/>
          <w:sz w:val="24"/>
          <w:szCs w:val="24"/>
          <w:lang w:val="ro-RO"/>
        </w:rPr>
        <w:t xml:space="preserve"> (BRUA</w:t>
      </w:r>
      <w:r w:rsidRPr="0037604E">
        <w:rPr>
          <w:rFonts w:asciiTheme="majorHAnsi" w:eastAsia="Calibri" w:hAnsiTheme="majorHAnsi" w:cs="Times New Roman"/>
          <w:sz w:val="24"/>
          <w:szCs w:val="24"/>
          <w:lang w:val="ro-RO" w:eastAsia="en-US"/>
        </w:rPr>
        <w:t>).</w:t>
      </w:r>
    </w:p>
    <w:p w:rsidR="0037604E" w:rsidRPr="0037604E" w:rsidRDefault="0037604E" w:rsidP="0037604E">
      <w:pPr>
        <w:tabs>
          <w:tab w:val="left" w:pos="0"/>
          <w:tab w:val="left" w:pos="270"/>
        </w:tabs>
        <w:spacing w:after="0" w:line="240" w:lineRule="auto"/>
        <w:ind w:firstLine="0"/>
        <w:jc w:val="both"/>
        <w:rPr>
          <w:rFonts w:asciiTheme="majorHAnsi" w:hAnsiTheme="majorHAnsi"/>
          <w:b/>
          <w:i/>
          <w:sz w:val="24"/>
          <w:lang w:val="ro-RO"/>
        </w:rPr>
      </w:pPr>
      <w:r w:rsidRPr="0037604E">
        <w:rPr>
          <w:rFonts w:asciiTheme="majorHAnsi" w:eastAsia="Calibri" w:hAnsiTheme="majorHAnsi" w:cs="Times New Roman"/>
          <w:sz w:val="24"/>
          <w:szCs w:val="24"/>
          <w:lang w:val="ro-RO" w:eastAsia="en-US"/>
        </w:rPr>
        <w:t xml:space="preserve">2. Joint operation of the Csanadpalota cross-border IP according to the European </w:t>
      </w:r>
      <w:r w:rsidRPr="0037604E">
        <w:rPr>
          <w:rFonts w:ascii="Cambria" w:eastAsia="Calibri" w:hAnsi="Cambria" w:cs="Times New Roman"/>
          <w:sz w:val="24"/>
          <w:szCs w:val="24"/>
          <w:lang w:val="en-GB" w:eastAsia="en-US"/>
        </w:rPr>
        <w:t xml:space="preserve">network codes </w:t>
      </w:r>
      <w:r w:rsidRPr="0037604E">
        <w:rPr>
          <w:rFonts w:ascii="Cambria" w:eastAsia="Calibri" w:hAnsi="Cambria" w:cs="Times New Roman"/>
          <w:i/>
          <w:sz w:val="24"/>
          <w:szCs w:val="24"/>
          <w:lang w:val="en-GB" w:eastAsia="en-US"/>
        </w:rPr>
        <w:t>(CAM, BAL, INT)</w:t>
      </w:r>
    </w:p>
    <w:p w:rsidR="0037604E" w:rsidRPr="0037604E" w:rsidRDefault="0037604E" w:rsidP="0037604E">
      <w:pPr>
        <w:tabs>
          <w:tab w:val="left" w:pos="270"/>
          <w:tab w:val="left" w:pos="4050"/>
        </w:tabs>
        <w:spacing w:after="0" w:line="240" w:lineRule="auto"/>
        <w:ind w:left="360" w:firstLine="0"/>
        <w:contextualSpacing/>
        <w:jc w:val="both"/>
        <w:rPr>
          <w:rFonts w:ascii="Cambria" w:eastAsia="Calibri" w:hAnsi="Cambria" w:cs="Times New Roman"/>
          <w:i/>
          <w:sz w:val="24"/>
          <w:szCs w:val="24"/>
          <w:lang w:val="en-GB" w:eastAsia="en-US"/>
        </w:rPr>
      </w:pPr>
    </w:p>
    <w:p w:rsidR="0037604E" w:rsidRPr="0037604E" w:rsidRDefault="0037604E" w:rsidP="00FA6EB9">
      <w:pPr>
        <w:numPr>
          <w:ilvl w:val="0"/>
          <w:numId w:val="142"/>
        </w:numPr>
        <w:spacing w:after="0" w:line="240" w:lineRule="auto"/>
        <w:ind w:left="709" w:hanging="283"/>
        <w:jc w:val="both"/>
        <w:rPr>
          <w:rFonts w:asciiTheme="majorHAnsi" w:hAnsiTheme="majorHAnsi"/>
          <w:sz w:val="24"/>
          <w:lang w:val="ro-RO"/>
        </w:rPr>
      </w:pPr>
      <w:r w:rsidRPr="0037604E">
        <w:rPr>
          <w:rFonts w:asciiTheme="majorHAnsi" w:eastAsia="Calibri" w:hAnsiTheme="majorHAnsi" w:cs="Times New Roman"/>
          <w:sz w:val="24"/>
          <w:szCs w:val="24"/>
          <w:lang w:val="ro-RO" w:eastAsia="en-US"/>
        </w:rPr>
        <w:t xml:space="preserve">According to the Interconnection Agreement concluded at the end of 2015 for the  </w:t>
      </w:r>
      <w:r w:rsidRPr="0037604E">
        <w:rPr>
          <w:rFonts w:asciiTheme="majorHAnsi" w:hAnsiTheme="majorHAnsi"/>
          <w:sz w:val="24"/>
          <w:lang w:val="ro-RO"/>
        </w:rPr>
        <w:t>Csanadpalota IP, according to Regulation</w:t>
      </w:r>
      <w:r w:rsidRPr="0037604E">
        <w:rPr>
          <w:rFonts w:asciiTheme="majorHAnsi" w:eastAsia="Calibri" w:hAnsiTheme="majorHAnsi" w:cs="Times New Roman"/>
          <w:sz w:val="24"/>
          <w:szCs w:val="24"/>
          <w:lang w:val="ro-RO" w:eastAsia="en-US"/>
        </w:rPr>
        <w:t xml:space="preserve"> (EU) 2015/703</w:t>
      </w:r>
      <w:r w:rsidRPr="0037604E">
        <w:rPr>
          <w:rFonts w:asciiTheme="majorHAnsi" w:eastAsia="Calibri" w:hAnsiTheme="majorHAnsi" w:cs="Times New Roman"/>
          <w:sz w:val="24"/>
          <w:szCs w:val="24"/>
          <w:lang w:eastAsia="en-US"/>
        </w:rPr>
        <w:t>;</w:t>
      </w:r>
      <w:r w:rsidRPr="0037604E">
        <w:rPr>
          <w:rFonts w:asciiTheme="majorHAnsi" w:hAnsiTheme="majorHAnsi"/>
          <w:sz w:val="24"/>
          <w:lang w:val="ro-RO"/>
        </w:rPr>
        <w:t xml:space="preserve"> </w:t>
      </w:r>
    </w:p>
    <w:p w:rsidR="0037604E" w:rsidRPr="0037604E" w:rsidRDefault="0037604E" w:rsidP="00FA6EB9">
      <w:pPr>
        <w:numPr>
          <w:ilvl w:val="0"/>
          <w:numId w:val="142"/>
        </w:numPr>
        <w:spacing w:after="0" w:line="240" w:lineRule="auto"/>
        <w:ind w:left="709" w:hanging="283"/>
        <w:jc w:val="both"/>
        <w:rPr>
          <w:rFonts w:asciiTheme="majorHAnsi" w:hAnsiTheme="majorHAnsi"/>
          <w:sz w:val="24"/>
          <w:lang w:val="ro-RO"/>
        </w:rPr>
      </w:pPr>
      <w:r w:rsidRPr="0037604E">
        <w:rPr>
          <w:rFonts w:asciiTheme="majorHAnsi" w:eastAsia="Calibri" w:hAnsiTheme="majorHAnsi" w:cs="Times New Roman"/>
          <w:sz w:val="24"/>
          <w:szCs w:val="24"/>
          <w:lang w:val="ro-RO" w:eastAsia="en-US"/>
        </w:rPr>
        <w:t>According to the Cooperation and TSO Membership Agreement regarding the Regional Booking Platform (RBP) for trading the capacity of the cross-border IP, according to Regulation (EU) 2013/984</w:t>
      </w:r>
      <w:r w:rsidRPr="0037604E">
        <w:rPr>
          <w:rFonts w:asciiTheme="majorHAnsi" w:hAnsiTheme="majorHAnsi"/>
          <w:sz w:val="24"/>
          <w:lang w:val="ro-RO"/>
        </w:rPr>
        <w:t>.</w:t>
      </w:r>
    </w:p>
    <w:p w:rsidR="0037604E" w:rsidRPr="0037604E" w:rsidRDefault="0037604E" w:rsidP="0037604E">
      <w:pPr>
        <w:tabs>
          <w:tab w:val="left" w:pos="4050"/>
        </w:tabs>
        <w:spacing w:after="0" w:line="240" w:lineRule="auto"/>
        <w:ind w:firstLine="0"/>
        <w:jc w:val="both"/>
        <w:rPr>
          <w:rFonts w:ascii="Cambria" w:hAnsi="Cambria"/>
          <w:b/>
          <w:i/>
          <w:sz w:val="24"/>
          <w:lang w:val="en-GB"/>
        </w:rPr>
      </w:pPr>
    </w:p>
    <w:p w:rsidR="0037604E" w:rsidRPr="0037604E" w:rsidRDefault="0037604E" w:rsidP="0037604E">
      <w:pPr>
        <w:tabs>
          <w:tab w:val="left" w:pos="4050"/>
        </w:tabs>
        <w:spacing w:after="0" w:line="240" w:lineRule="auto"/>
        <w:ind w:firstLine="0"/>
        <w:jc w:val="both"/>
        <w:rPr>
          <w:rFonts w:ascii="Cambria" w:eastAsia="Calibri" w:hAnsi="Cambria" w:cs="Times New Roman"/>
          <w:b/>
          <w:i/>
          <w:sz w:val="24"/>
          <w:szCs w:val="24"/>
          <w:lang w:val="en-GB" w:eastAsia="en-US"/>
        </w:rPr>
      </w:pPr>
      <w:r w:rsidRPr="0037604E">
        <w:rPr>
          <w:rFonts w:ascii="Cambria" w:hAnsi="Cambria"/>
          <w:b/>
          <w:i/>
          <w:sz w:val="24"/>
          <w:lang w:val="en-GB"/>
        </w:rPr>
        <w:t>Cooperation with</w:t>
      </w:r>
      <w:r w:rsidRPr="0037604E">
        <w:rPr>
          <w:rFonts w:ascii="Cambria" w:eastAsia="Calibri" w:hAnsi="Cambria" w:cs="Times New Roman"/>
          <w:b/>
          <w:i/>
          <w:sz w:val="24"/>
          <w:szCs w:val="24"/>
          <w:lang w:val="en-GB" w:eastAsia="en-US"/>
        </w:rPr>
        <w:t xml:space="preserve"> UKRTRANSGAZ:</w:t>
      </w:r>
    </w:p>
    <w:p w:rsidR="0037604E" w:rsidRPr="0037604E" w:rsidRDefault="0037604E" w:rsidP="0037604E">
      <w:pPr>
        <w:tabs>
          <w:tab w:val="left" w:pos="4050"/>
        </w:tabs>
        <w:spacing w:after="0" w:line="240" w:lineRule="auto"/>
        <w:ind w:firstLine="0"/>
        <w:jc w:val="both"/>
        <w:rPr>
          <w:rFonts w:ascii="Cambria" w:eastAsia="Calibri" w:hAnsi="Cambria" w:cs="Times New Roman"/>
          <w:b/>
          <w:i/>
          <w:sz w:val="24"/>
          <w:szCs w:val="24"/>
          <w:lang w:val="en-GB" w:eastAsia="en-US"/>
        </w:rPr>
      </w:pPr>
    </w:p>
    <w:p w:rsidR="0037604E" w:rsidRPr="0037604E" w:rsidRDefault="0037604E" w:rsidP="00FA6EB9">
      <w:pPr>
        <w:numPr>
          <w:ilvl w:val="0"/>
          <w:numId w:val="54"/>
        </w:numPr>
        <w:tabs>
          <w:tab w:val="left" w:pos="4050"/>
        </w:tabs>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The parties concluded in July the Interconnection Agreement for the Isaccea 1 cross-border interconnection point according to the applicable European regulations. </w:t>
      </w:r>
    </w:p>
    <w:p w:rsidR="0037604E" w:rsidRPr="0037604E" w:rsidRDefault="0037604E" w:rsidP="00FA6EB9">
      <w:pPr>
        <w:numPr>
          <w:ilvl w:val="0"/>
          <w:numId w:val="54"/>
        </w:numPr>
        <w:spacing w:after="0" w:line="240" w:lineRule="auto"/>
        <w:contextualSpacing/>
        <w:jc w:val="both"/>
        <w:rPr>
          <w:rFonts w:asciiTheme="majorHAnsi" w:eastAsia="Calibri" w:hAnsiTheme="majorHAnsi" w:cs="Times New Roman"/>
          <w:sz w:val="24"/>
          <w:szCs w:val="24"/>
          <w:lang w:val="ro-RO" w:eastAsia="en-US"/>
        </w:rPr>
      </w:pPr>
      <w:r w:rsidRPr="0037604E">
        <w:rPr>
          <w:rFonts w:ascii="Cambria" w:eastAsia="Calibri" w:hAnsi="Cambria" w:cs="Times New Roman"/>
          <w:sz w:val="24"/>
          <w:szCs w:val="24"/>
          <w:lang w:val="en-GB" w:eastAsia="en-US"/>
        </w:rPr>
        <w:t xml:space="preserve">The parties will analyse wether it is possible to conclude an interconnection agreement for the </w:t>
      </w:r>
      <w:r w:rsidRPr="0037604E">
        <w:rPr>
          <w:rFonts w:asciiTheme="majorHAnsi" w:eastAsia="Calibri" w:hAnsiTheme="majorHAnsi" w:cs="Times New Roman"/>
          <w:sz w:val="24"/>
          <w:szCs w:val="24"/>
          <w:lang w:val="ro-RO" w:eastAsia="en-US"/>
        </w:rPr>
        <w:t>Medieșu Aurit/Tekovo IP.</w:t>
      </w:r>
    </w:p>
    <w:p w:rsidR="0037604E" w:rsidRPr="0037604E" w:rsidRDefault="0037604E" w:rsidP="003C793F">
      <w:pPr>
        <w:tabs>
          <w:tab w:val="left" w:pos="4050"/>
        </w:tabs>
        <w:spacing w:after="0" w:line="240" w:lineRule="auto"/>
        <w:contextualSpacing/>
        <w:jc w:val="both"/>
        <w:rPr>
          <w:rFonts w:ascii="Cambria" w:eastAsia="Calibri" w:hAnsi="Cambria" w:cs="Times New Roman"/>
          <w:sz w:val="24"/>
          <w:szCs w:val="24"/>
          <w:lang w:val="en-GB" w:eastAsia="en-US"/>
        </w:rPr>
      </w:pPr>
    </w:p>
    <w:p w:rsidR="0037604E" w:rsidRPr="0037604E" w:rsidRDefault="0037604E" w:rsidP="0037604E">
      <w:pPr>
        <w:tabs>
          <w:tab w:val="left" w:pos="720"/>
        </w:tabs>
        <w:spacing w:after="0" w:line="240" w:lineRule="auto"/>
        <w:ind w:left="810" w:hanging="450"/>
        <w:jc w:val="both"/>
        <w:rPr>
          <w:rFonts w:ascii="Cambria" w:hAnsi="Cambria"/>
          <w:sz w:val="24"/>
          <w:lang w:val="en-GB"/>
        </w:rPr>
      </w:pPr>
    </w:p>
    <w:p w:rsidR="0037604E" w:rsidRPr="0037604E" w:rsidRDefault="0037604E" w:rsidP="0037604E">
      <w:pPr>
        <w:shd w:val="clear" w:color="auto" w:fill="C6D9F1"/>
        <w:tabs>
          <w:tab w:val="left" w:pos="4050"/>
        </w:tabs>
        <w:spacing w:after="0" w:line="240" w:lineRule="auto"/>
        <w:ind w:firstLine="0"/>
        <w:jc w:val="both"/>
        <w:rPr>
          <w:rFonts w:ascii="Cambria" w:eastAsia="Calibri" w:hAnsi="Cambria" w:cs="Times New Roman"/>
          <w:b/>
          <w:i/>
          <w:sz w:val="24"/>
          <w:szCs w:val="24"/>
          <w:u w:val="single"/>
          <w:lang w:val="en-GB" w:eastAsia="en-US"/>
        </w:rPr>
      </w:pPr>
      <w:r w:rsidRPr="0037604E">
        <w:rPr>
          <w:rFonts w:ascii="Cambria" w:hAnsi="Cambria"/>
          <w:b/>
          <w:i/>
          <w:sz w:val="24"/>
          <w:u w:val="single"/>
          <w:lang w:val="en-GB"/>
        </w:rPr>
        <w:t>Cooperation with other gas companies</w:t>
      </w:r>
      <w:r w:rsidRPr="0037604E">
        <w:rPr>
          <w:rFonts w:ascii="Cambria" w:eastAsia="Calibri" w:hAnsi="Cambria" w:cs="Times New Roman"/>
          <w:b/>
          <w:i/>
          <w:sz w:val="24"/>
          <w:szCs w:val="24"/>
          <w:u w:val="single"/>
          <w:lang w:val="en-GB" w:eastAsia="en-US"/>
        </w:rPr>
        <w:t>:</w:t>
      </w:r>
    </w:p>
    <w:p w:rsidR="0037604E" w:rsidRPr="0037604E" w:rsidRDefault="0037604E" w:rsidP="0037604E">
      <w:pPr>
        <w:tabs>
          <w:tab w:val="left" w:pos="4050"/>
        </w:tabs>
        <w:spacing w:after="0" w:line="240" w:lineRule="auto"/>
        <w:ind w:left="720" w:firstLine="0"/>
        <w:jc w:val="both"/>
        <w:rPr>
          <w:rFonts w:ascii="Cambria" w:eastAsia="Calibri" w:hAnsi="Cambria" w:cs="Times New Roman"/>
          <w:i/>
          <w:sz w:val="24"/>
          <w:szCs w:val="24"/>
          <w:u w:val="single"/>
          <w:lang w:val="en-GB" w:eastAsia="en-US"/>
        </w:rPr>
      </w:pPr>
    </w:p>
    <w:p w:rsidR="0037604E" w:rsidRPr="0037604E" w:rsidRDefault="0037604E" w:rsidP="0037604E">
      <w:pPr>
        <w:tabs>
          <w:tab w:val="left" w:pos="4050"/>
        </w:tabs>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Discussions and meetings for identifying new business opportunities took place with:</w:t>
      </w:r>
    </w:p>
    <w:p w:rsidR="0037604E" w:rsidRPr="0037604E" w:rsidRDefault="0037604E" w:rsidP="00FA6EB9">
      <w:pPr>
        <w:numPr>
          <w:ilvl w:val="0"/>
          <w:numId w:val="143"/>
        </w:numPr>
        <w:tabs>
          <w:tab w:val="left" w:pos="720"/>
        </w:tabs>
        <w:spacing w:after="0" w:line="240" w:lineRule="auto"/>
        <w:jc w:val="both"/>
        <w:rPr>
          <w:rFonts w:asciiTheme="majorHAnsi" w:hAnsiTheme="majorHAnsi"/>
          <w:sz w:val="24"/>
          <w:lang w:val="ro-RO"/>
        </w:rPr>
      </w:pPr>
      <w:r w:rsidRPr="0037604E">
        <w:rPr>
          <w:rFonts w:ascii="Cambria" w:eastAsia="Calibri" w:hAnsi="Cambria" w:cs="Times New Roman"/>
          <w:b/>
          <w:sz w:val="24"/>
          <w:szCs w:val="24"/>
          <w:lang w:val="en-GB" w:eastAsia="en-US"/>
        </w:rPr>
        <w:t>European and non-European gas transmission system operators such as</w:t>
      </w:r>
      <w:r w:rsidRPr="0037604E">
        <w:rPr>
          <w:rFonts w:ascii="Cambria" w:eastAsia="Calibri" w:hAnsi="Cambria" w:cs="Times New Roman"/>
          <w:sz w:val="24"/>
          <w:szCs w:val="24"/>
          <w:lang w:val="en-GB" w:eastAsia="en-US"/>
        </w:rPr>
        <w:t xml:space="preserve">: </w:t>
      </w:r>
    </w:p>
    <w:p w:rsidR="0037604E" w:rsidRPr="0037604E" w:rsidRDefault="0037604E" w:rsidP="00FA6EB9">
      <w:pPr>
        <w:numPr>
          <w:ilvl w:val="0"/>
          <w:numId w:val="143"/>
        </w:numPr>
        <w:tabs>
          <w:tab w:val="left" w:pos="720"/>
        </w:tabs>
        <w:spacing w:after="0" w:line="240" w:lineRule="auto"/>
        <w:jc w:val="both"/>
        <w:rPr>
          <w:rFonts w:asciiTheme="majorHAnsi" w:hAnsiTheme="majorHAnsi"/>
          <w:sz w:val="24"/>
          <w:lang w:val="ro-RO"/>
        </w:rPr>
      </w:pPr>
      <w:r w:rsidRPr="0037604E">
        <w:rPr>
          <w:rFonts w:asciiTheme="majorHAnsi" w:hAnsiTheme="majorHAnsi"/>
          <w:sz w:val="24"/>
          <w:lang w:val="ro-RO"/>
        </w:rPr>
        <w:t xml:space="preserve">Eustream AS (Slovakia), LNG Croatia LLC, </w:t>
      </w:r>
      <w:r w:rsidRPr="0037604E">
        <w:rPr>
          <w:rFonts w:asciiTheme="majorHAnsi" w:eastAsia="Calibri" w:hAnsiTheme="majorHAnsi" w:cs="Times New Roman"/>
          <w:sz w:val="24"/>
          <w:szCs w:val="24"/>
          <w:lang w:val="ro-RO" w:eastAsia="en-US"/>
        </w:rPr>
        <w:t xml:space="preserve">ENAGAS (Spain), SNAM RETE (Italy), Gaz-System (Poland), </w:t>
      </w:r>
      <w:r w:rsidRPr="0037604E">
        <w:rPr>
          <w:rFonts w:asciiTheme="majorHAnsi" w:hAnsiTheme="majorHAnsi"/>
          <w:sz w:val="24"/>
          <w:lang w:val="ro-RO"/>
        </w:rPr>
        <w:t xml:space="preserve">Srbijagas (Serbia), </w:t>
      </w:r>
      <w:r w:rsidRPr="0037604E">
        <w:rPr>
          <w:rFonts w:asciiTheme="majorHAnsi" w:eastAsia="Calibri" w:hAnsiTheme="majorHAnsi" w:cs="Times New Roman"/>
          <w:sz w:val="24"/>
          <w:szCs w:val="24"/>
          <w:lang w:val="ro-RO" w:eastAsia="en-US"/>
        </w:rPr>
        <w:t xml:space="preserve">Fluxys (Belgium). Memorandum of understanding were signed with the following companies: DESFA (Greece), SOCAR </w:t>
      </w:r>
      <w:r w:rsidRPr="0037604E">
        <w:rPr>
          <w:rFonts w:asciiTheme="majorHAnsi" w:hAnsiTheme="majorHAnsi"/>
          <w:sz w:val="24"/>
          <w:lang w:val="ro-RO"/>
        </w:rPr>
        <w:t>(Azerbaijan</w:t>
      </w:r>
      <w:r w:rsidRPr="0037604E">
        <w:rPr>
          <w:rFonts w:asciiTheme="majorHAnsi" w:eastAsia="Calibri" w:hAnsiTheme="majorHAnsi" w:cs="Times New Roman"/>
          <w:sz w:val="24"/>
          <w:szCs w:val="24"/>
          <w:lang w:val="ro-RO" w:eastAsia="en-US"/>
        </w:rPr>
        <w:t xml:space="preserve">), GRTgaz (France), Vestmoldtransgaz (R.Moldova), Petrovietnam (Vietnam); </w:t>
      </w:r>
    </w:p>
    <w:p w:rsidR="0037604E" w:rsidRPr="0037604E" w:rsidRDefault="0037604E" w:rsidP="0037604E">
      <w:pPr>
        <w:tabs>
          <w:tab w:val="left" w:pos="0"/>
        </w:tabs>
        <w:spacing w:after="0" w:line="240" w:lineRule="auto"/>
        <w:ind w:firstLine="0"/>
        <w:jc w:val="both"/>
        <w:rPr>
          <w:rFonts w:asciiTheme="majorHAnsi" w:eastAsia="Calibri" w:hAnsiTheme="majorHAnsi" w:cs="Times New Roman"/>
          <w:sz w:val="24"/>
          <w:szCs w:val="24"/>
          <w:lang w:val="ro-RO" w:eastAsia="en-US"/>
        </w:rPr>
      </w:pPr>
    </w:p>
    <w:p w:rsidR="0037604E" w:rsidRPr="0037604E" w:rsidRDefault="0037604E" w:rsidP="0037604E">
      <w:pPr>
        <w:tabs>
          <w:tab w:val="left" w:pos="0"/>
        </w:tabs>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 xml:space="preserve">The project Vertical Gas Corridor is in analysis, after the signing in </w:t>
      </w:r>
      <w:r w:rsidR="003C793F">
        <w:rPr>
          <w:rFonts w:asciiTheme="majorHAnsi" w:hAnsiTheme="majorHAnsi" w:cs="Arial"/>
          <w:sz w:val="24"/>
          <w:szCs w:val="24"/>
          <w:lang w:val="en"/>
        </w:rPr>
        <w:t>the CESEC High Level Work Group</w:t>
      </w:r>
      <w:r w:rsidRPr="0037604E">
        <w:rPr>
          <w:rFonts w:asciiTheme="majorHAnsi" w:hAnsiTheme="majorHAnsi" w:cs="Arial"/>
          <w:sz w:val="24"/>
          <w:szCs w:val="24"/>
          <w:lang w:val="en"/>
        </w:rPr>
        <w:t xml:space="preserve"> meeting held in Budapest on 8 September 2016 of a Joint Declaration between the ministers of energy of the states impacted by this corridor.</w:t>
      </w:r>
    </w:p>
    <w:p w:rsidR="0037604E" w:rsidRPr="0037604E" w:rsidRDefault="0037604E" w:rsidP="0037604E">
      <w:pPr>
        <w:tabs>
          <w:tab w:val="left" w:pos="0"/>
        </w:tabs>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br/>
        <w:t xml:space="preserve">Within the meeting of the CESEC High Level Work Group held in Budapest on 8 September 2016, it was signed a Memorandum of Understanding regarding the stepsto be taken in the framework of a plan of action for the project to ensure idirectional capacity in the international gas transmission corridor from the Balkan region, with Bulgartansgaz, </w:t>
      </w:r>
      <w:r w:rsidRPr="0037604E">
        <w:rPr>
          <w:rFonts w:asciiTheme="majorHAnsi" w:eastAsia="Calibri" w:hAnsiTheme="majorHAnsi" w:cs="Times New Roman"/>
          <w:sz w:val="24"/>
          <w:szCs w:val="24"/>
          <w:lang w:val="ro-RO" w:eastAsia="en-US"/>
        </w:rPr>
        <w:t>DESFA</w:t>
      </w:r>
      <w:r w:rsidRPr="0037604E">
        <w:rPr>
          <w:rFonts w:asciiTheme="majorHAnsi" w:hAnsiTheme="majorHAnsi" w:cs="Arial"/>
          <w:sz w:val="24"/>
          <w:szCs w:val="24"/>
          <w:lang w:val="en"/>
        </w:rPr>
        <w:t xml:space="preserve"> and Ukrtransgaz.</w:t>
      </w:r>
    </w:p>
    <w:p w:rsidR="0037604E" w:rsidRPr="0037604E" w:rsidRDefault="0037604E" w:rsidP="0037604E">
      <w:pPr>
        <w:tabs>
          <w:tab w:val="left" w:pos="720"/>
        </w:tabs>
        <w:spacing w:after="0" w:line="240" w:lineRule="auto"/>
        <w:jc w:val="both"/>
        <w:rPr>
          <w:rFonts w:asciiTheme="majorHAnsi" w:hAnsiTheme="majorHAnsi"/>
          <w:sz w:val="24"/>
          <w:lang w:val="ro-RO"/>
        </w:rPr>
      </w:pPr>
    </w:p>
    <w:p w:rsidR="0037604E" w:rsidRPr="0037604E" w:rsidRDefault="0037604E" w:rsidP="00FA6EB9">
      <w:pPr>
        <w:numPr>
          <w:ilvl w:val="0"/>
          <w:numId w:val="144"/>
        </w:numPr>
        <w:tabs>
          <w:tab w:val="left" w:pos="720"/>
        </w:tabs>
        <w:spacing w:after="0" w:line="240" w:lineRule="auto"/>
        <w:jc w:val="both"/>
        <w:rPr>
          <w:rFonts w:asciiTheme="majorHAnsi" w:eastAsia="Calibri" w:hAnsiTheme="majorHAnsi" w:cs="Times New Roman"/>
          <w:b/>
          <w:i/>
          <w:sz w:val="24"/>
          <w:szCs w:val="24"/>
          <w:lang w:val="ro-RO" w:eastAsia="en-US"/>
        </w:rPr>
      </w:pPr>
      <w:r w:rsidRPr="0037604E">
        <w:rPr>
          <w:rFonts w:ascii="Cambria" w:eastAsia="Calibri" w:hAnsi="Cambria" w:cs="Times New Roman"/>
          <w:b/>
          <w:sz w:val="24"/>
          <w:szCs w:val="24"/>
          <w:lang w:val="en-GB" w:eastAsia="en-US"/>
        </w:rPr>
        <w:t>International suppliers/distributors and shippers</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sz w:val="24"/>
          <w:szCs w:val="24"/>
          <w:lang w:val="en-GB" w:eastAsia="en-US"/>
        </w:rPr>
        <w:t>of natural gas (</w:t>
      </w:r>
      <w:r w:rsidRPr="0037604E">
        <w:rPr>
          <w:rFonts w:asciiTheme="majorHAnsi" w:eastAsia="Calibri" w:hAnsiTheme="majorHAnsi" w:cs="Times New Roman"/>
          <w:b/>
          <w:i/>
          <w:sz w:val="24"/>
          <w:szCs w:val="24"/>
          <w:lang w:val="ro-RO" w:eastAsia="en-US"/>
        </w:rPr>
        <w:t>(Gazprom, Bulgargaz, ExxonMobil, OMV, ENGIE, etc.).</w:t>
      </w:r>
    </w:p>
    <w:p w:rsidR="0037604E" w:rsidRPr="0037604E" w:rsidRDefault="0037604E" w:rsidP="00FA6EB9">
      <w:pPr>
        <w:numPr>
          <w:ilvl w:val="0"/>
          <w:numId w:val="55"/>
        </w:numPr>
        <w:tabs>
          <w:tab w:val="left" w:pos="4050"/>
        </w:tabs>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b/>
          <w:sz w:val="24"/>
          <w:szCs w:val="24"/>
          <w:lang w:val="en-GB" w:eastAsia="en-US"/>
        </w:rPr>
        <w:t xml:space="preserve">Infrastructure and energy services and equipment for the gas industry  </w:t>
      </w:r>
    </w:p>
    <w:p w:rsidR="0037604E" w:rsidRPr="0037604E" w:rsidRDefault="0037604E" w:rsidP="0037604E">
      <w:pPr>
        <w:tabs>
          <w:tab w:val="left" w:pos="4050"/>
        </w:tabs>
        <w:spacing w:after="0" w:line="240" w:lineRule="auto"/>
        <w:ind w:left="1428" w:firstLine="0"/>
        <w:contextualSpacing/>
        <w:jc w:val="both"/>
        <w:rPr>
          <w:rFonts w:ascii="Cambria" w:eastAsia="Calibri" w:hAnsi="Cambria" w:cs="Times New Roman"/>
          <w:b/>
          <w:i/>
          <w:sz w:val="24"/>
          <w:szCs w:val="24"/>
          <w:lang w:val="en-GB" w:eastAsia="en-US"/>
        </w:rPr>
      </w:pPr>
    </w:p>
    <w:p w:rsidR="0037604E" w:rsidRPr="0037604E" w:rsidRDefault="0037604E" w:rsidP="0037604E">
      <w:pPr>
        <w:shd w:val="clear" w:color="auto" w:fill="C6D9F1"/>
        <w:tabs>
          <w:tab w:val="left" w:pos="4050"/>
        </w:tabs>
        <w:spacing w:after="0" w:line="240" w:lineRule="auto"/>
        <w:ind w:firstLine="0"/>
        <w:contextualSpacing/>
        <w:jc w:val="both"/>
        <w:rPr>
          <w:rFonts w:ascii="Cambria" w:eastAsia="Calibri" w:hAnsi="Cambria" w:cs="Times New Roman"/>
          <w:b/>
          <w:i/>
          <w:sz w:val="24"/>
          <w:szCs w:val="24"/>
          <w:u w:val="single"/>
          <w:lang w:val="en-GB" w:eastAsia="en-US"/>
        </w:rPr>
      </w:pPr>
      <w:r w:rsidRPr="0037604E">
        <w:rPr>
          <w:rFonts w:ascii="Cambria" w:eastAsia="Calibri" w:hAnsi="Cambria" w:cs="Times New Roman"/>
          <w:b/>
          <w:i/>
          <w:sz w:val="24"/>
          <w:szCs w:val="24"/>
          <w:u w:val="single"/>
          <w:lang w:val="en-GB" w:eastAsia="en-US"/>
        </w:rPr>
        <w:t>Coooperation with national and international bodies, the European Commission and other institutional relations</w:t>
      </w: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SNTGN Transgaz S.A. became member or kept its quality of member within gas national and international bodies. The advantages and benefits of such membership are mainly: promoting the company and its objectives and interests, access to the updated information in the domain of gas regulations, policy, innovation, standards and products, and the participation in national and international events (conferences, seminars, forums, summits, etc.).  </w:t>
      </w: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The EU Funds and International Relations Division manages most of the cooperation relations with the bodies where Transgaz is a member. In 2016, the cooperation relationship with the following associations was managed within the EU Funds and International Relations Division:</w:t>
      </w:r>
    </w:p>
    <w:p w:rsidR="0037604E" w:rsidRPr="0037604E" w:rsidRDefault="0037604E" w:rsidP="00FA6EB9">
      <w:pPr>
        <w:numPr>
          <w:ilvl w:val="0"/>
          <w:numId w:val="56"/>
        </w:numPr>
        <w:tabs>
          <w:tab w:val="left" w:pos="720"/>
          <w:tab w:val="left" w:pos="1080"/>
          <w:tab w:val="left" w:pos="1440"/>
        </w:tabs>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International associations: Gas Infrastructure Europe (GIE), Pigging Products and Services Association (PP&amp;SA) of UK.</w:t>
      </w:r>
    </w:p>
    <w:p w:rsidR="0037604E" w:rsidRPr="0037604E" w:rsidRDefault="0037604E" w:rsidP="00FA6EB9">
      <w:pPr>
        <w:numPr>
          <w:ilvl w:val="0"/>
          <w:numId w:val="56"/>
        </w:numPr>
        <w:tabs>
          <w:tab w:val="left" w:pos="720"/>
          <w:tab w:val="left" w:pos="1080"/>
          <w:tab w:val="left" w:pos="1440"/>
        </w:tabs>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National associations: CNR- CME, the Association of the Oil and Gas Engineers, the Chamber of Commerce, Industry and Agriculture of Sibiu, ARME, the Romanian Energy Centre, American Chamber, the ICC National Committee Romania.</w:t>
      </w: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tabs>
          <w:tab w:val="left" w:pos="720"/>
          <w:tab w:val="left" w:pos="1080"/>
          <w:tab w:val="left" w:pos="1440"/>
        </w:tabs>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Steps were taken to reaadhere to Infastructure Gas Association Europe (GIE) established to promote the interests of natural gas infrastructure operators and to provide a framework for cooperation to operators of infrastructures at the European level. Since 1 October 2016, Transgaz became a full member in this association.</w:t>
      </w:r>
    </w:p>
    <w:p w:rsidR="0037604E" w:rsidRPr="0037604E" w:rsidRDefault="0037604E" w:rsidP="0037604E">
      <w:pPr>
        <w:tabs>
          <w:tab w:val="left" w:pos="720"/>
          <w:tab w:val="left" w:pos="1080"/>
          <w:tab w:val="left" w:pos="1440"/>
        </w:tabs>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lastRenderedPageBreak/>
        <w:br/>
        <w:t>The EU Funds and International Relations Division through the Cooperation with National and International Bodies department, manages also the collaborative relationship with the European Commission, mainly DG ENER. Since regional cooperation is a key element to enhancing energy security, Transgaz actively participates in the joint work of the European Commission's CESEC initiative. Also, Transgaz actively participates in the meetings coordinated by DG ENER Regional Groups and established under Regulation (EU) No. 347/2013 for evaluation and selection of infrastructure projects to the European list of projects of common interest.</w:t>
      </w:r>
    </w:p>
    <w:p w:rsidR="0037604E" w:rsidRPr="0037604E" w:rsidRDefault="0037604E" w:rsidP="0037604E">
      <w:pPr>
        <w:tabs>
          <w:tab w:val="left" w:pos="720"/>
          <w:tab w:val="left" w:pos="1080"/>
          <w:tab w:val="left" w:pos="1440"/>
        </w:tabs>
        <w:spacing w:after="0" w:line="240" w:lineRule="auto"/>
        <w:ind w:firstLine="0"/>
        <w:jc w:val="both"/>
        <w:rPr>
          <w:rFonts w:ascii="Cambria" w:eastAsia="Times New Roman" w:hAnsi="Cambria" w:cs="Times New Roman"/>
          <w:sz w:val="24"/>
          <w:szCs w:val="24"/>
          <w:lang w:val="en-GB"/>
        </w:rPr>
      </w:pPr>
      <w:r w:rsidRPr="0037604E">
        <w:rPr>
          <w:rFonts w:ascii="Arial" w:hAnsi="Arial" w:cs="Arial"/>
          <w:color w:val="222222"/>
          <w:lang w:val="en"/>
        </w:rPr>
        <w:br/>
      </w:r>
      <w:r w:rsidRPr="0037604E">
        <w:rPr>
          <w:rFonts w:asciiTheme="majorHAnsi" w:hAnsiTheme="majorHAnsi" w:cs="Arial"/>
          <w:sz w:val="24"/>
          <w:szCs w:val="24"/>
          <w:lang w:val="en"/>
        </w:rPr>
        <w:t>Between January and December 2016, the management of the division, through the DAFERI director, Director of International Relations, Director of European Funds and the heads of the DAFERI structure, attended a series of meetings with various external partners and European organizations in the field, as well as national and international events dedicated to the gas sector that have a significant impact on the work and objectives of the Company.</w:t>
      </w:r>
    </w:p>
    <w:p w:rsidR="0037604E" w:rsidRPr="0037604E" w:rsidRDefault="0037604E" w:rsidP="0037604E">
      <w:pPr>
        <w:tabs>
          <w:tab w:val="left" w:pos="720"/>
          <w:tab w:val="left" w:pos="1080"/>
          <w:tab w:val="left" w:pos="1440"/>
        </w:tabs>
        <w:spacing w:after="0" w:line="240" w:lineRule="auto"/>
        <w:ind w:firstLine="0"/>
        <w:jc w:val="both"/>
        <w:rPr>
          <w:rFonts w:ascii="Cambria" w:hAnsi="Cambria"/>
          <w:sz w:val="24"/>
          <w:lang w:val="en-GB"/>
        </w:rPr>
      </w:pPr>
      <w:r w:rsidRPr="0037604E">
        <w:rPr>
          <w:rFonts w:ascii="Cambria" w:eastAsia="Times New Roman" w:hAnsi="Cambria" w:cs="Times New Roman"/>
          <w:sz w:val="24"/>
          <w:szCs w:val="24"/>
          <w:lang w:val="en-GB"/>
        </w:rPr>
        <w:t xml:space="preserve">The EU Funds and International Relations Division representatives promoted and supported the Company`s interests within the international events, </w:t>
      </w:r>
      <w:r w:rsidRPr="0037604E">
        <w:rPr>
          <w:rFonts w:ascii="Cambria" w:eastAsia="Calibri" w:hAnsi="Cambria" w:cs="Times New Roman"/>
          <w:sz w:val="24"/>
          <w:szCs w:val="24"/>
          <w:lang w:val="en-GB" w:eastAsia="en-US"/>
        </w:rPr>
        <w:t xml:space="preserve">identifying at the same time the potential development of the new and beneficial cooperation relations meeting </w:t>
      </w:r>
      <w:r w:rsidRPr="0037604E">
        <w:rPr>
          <w:rFonts w:ascii="Cambria" w:hAnsi="Cambria"/>
          <w:sz w:val="24"/>
          <w:lang w:val="en-GB"/>
        </w:rPr>
        <w:t xml:space="preserve">Transgaz`s goals. </w:t>
      </w:r>
    </w:p>
    <w:p w:rsidR="0037604E" w:rsidRPr="0037604E" w:rsidRDefault="0037604E" w:rsidP="0037604E">
      <w:pPr>
        <w:tabs>
          <w:tab w:val="left" w:pos="720"/>
          <w:tab w:val="left" w:pos="1080"/>
          <w:tab w:val="left" w:pos="1440"/>
        </w:tabs>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The Transgaz Representative Office in Brussels aims to create new opportunities for direct and constructive dialogue with both EU institutions, major players in the energy field and partners of our Company, to promote the mission and vision of the Company at EU level and generally to stimulate the achievement of the main strategic objectives of TRANSGAZ, aimed at transforming our Comany into a gas transmitter internationally recognized, with a leading position on the regional energy market and a modern and integrated transmission system.</w:t>
      </w:r>
      <w:r w:rsidRPr="0037604E">
        <w:rPr>
          <w:rFonts w:asciiTheme="majorHAnsi" w:hAnsiTheme="majorHAnsi" w:cs="Arial"/>
          <w:sz w:val="24"/>
          <w:szCs w:val="24"/>
          <w:lang w:val="en"/>
        </w:rPr>
        <w:br/>
      </w:r>
      <w:r w:rsidRPr="0037604E">
        <w:rPr>
          <w:rFonts w:asciiTheme="majorHAnsi" w:hAnsiTheme="majorHAnsi" w:cs="Arial"/>
          <w:sz w:val="24"/>
          <w:szCs w:val="24"/>
          <w:lang w:val="en"/>
        </w:rPr>
        <w:br/>
        <w:t>The Transgaz Representative Office in in Chisinau was established to develop infrastructure projects in the gas field in cooperation with Moldova.</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hAnsiTheme="majorHAnsi" w:cs="Arial"/>
          <w:sz w:val="24"/>
          <w:szCs w:val="24"/>
          <w:lang w:val="en"/>
        </w:rPr>
        <w:br/>
        <w:t>Within DAFERI the cooperation relationships with relevant ministries are managed. In 2016 information on the status of strategic projects undertaken by Transgaz, regional gas transmission projects impacting Romania and the cooperation relationships with external partners was sent to the Ministry of Economy, Trade and Relations with the Business Environment, Ministry of Energy and Ministry of Foreign Affairs. Also through the Cooperation with National and International Bodies Department within DAFERI it is managed the relationship with the Competent Authority for Projects of Common Interest (ACPIC) to implement projects of common interest (PCI) on the Europen list of PCI and promoted by Transgaz, according to EU Regulation 347/2013 of the European Parliament and of the Council of 17 April 2013 on guidelines for trans-European energy infrastructure repealing Decision No. 1364/2006/EC and amending Regulation (EC) No. 713/2009, (EC) No. 714/2009 and (EC) No. 715/2009.</w:t>
      </w:r>
    </w:p>
    <w:p w:rsidR="0037604E" w:rsidRPr="0037604E" w:rsidRDefault="0037604E" w:rsidP="0037604E">
      <w:pPr>
        <w:spacing w:before="320" w:after="0" w:line="360" w:lineRule="auto"/>
        <w:ind w:firstLine="0"/>
        <w:outlineLvl w:val="1"/>
        <w:rPr>
          <w:rFonts w:asciiTheme="majorHAnsi" w:eastAsia="Times New Roman" w:hAnsiTheme="majorHAnsi" w:cstheme="majorBidi"/>
          <w:b/>
          <w:bCs/>
          <w:i/>
          <w:iCs/>
          <w:sz w:val="28"/>
          <w:szCs w:val="28"/>
          <w:lang w:val="en-GB"/>
        </w:rPr>
      </w:pPr>
      <w:bookmarkStart w:id="49" w:name="_Toc414263633"/>
      <w:bookmarkStart w:id="50" w:name="_Toc446310831"/>
      <w:r w:rsidRPr="0037604E">
        <w:rPr>
          <w:rFonts w:asciiTheme="majorHAnsi" w:eastAsia="Times New Roman" w:hAnsiTheme="majorHAnsi" w:cstheme="majorBidi"/>
          <w:b/>
          <w:bCs/>
          <w:i/>
          <w:iCs/>
          <w:sz w:val="28"/>
          <w:szCs w:val="28"/>
          <w:lang w:val="en-GB"/>
        </w:rPr>
        <w:t>3.2 Anal</w:t>
      </w:r>
      <w:bookmarkEnd w:id="49"/>
      <w:r w:rsidRPr="0037604E">
        <w:rPr>
          <w:rFonts w:asciiTheme="majorHAnsi" w:eastAsia="Times New Roman" w:hAnsiTheme="majorHAnsi" w:cstheme="majorBidi"/>
          <w:b/>
          <w:bCs/>
          <w:i/>
          <w:iCs/>
          <w:sz w:val="28"/>
          <w:szCs w:val="28"/>
          <w:lang w:val="en-GB"/>
        </w:rPr>
        <w:t>ysis of the development activity</w:t>
      </w:r>
      <w:bookmarkEnd w:id="50"/>
    </w:p>
    <w:p w:rsidR="0037604E" w:rsidRPr="005C561C" w:rsidRDefault="0037604E" w:rsidP="005C561C">
      <w:pPr>
        <w:spacing w:before="320" w:after="0" w:line="360" w:lineRule="auto"/>
        <w:ind w:firstLine="0"/>
        <w:outlineLvl w:val="2"/>
        <w:rPr>
          <w:rFonts w:asciiTheme="majorHAnsi" w:eastAsia="Times New Roman" w:hAnsiTheme="majorHAnsi" w:cstheme="majorBidi"/>
          <w:b/>
          <w:bCs/>
          <w:i/>
          <w:iCs/>
          <w:sz w:val="26"/>
          <w:szCs w:val="26"/>
          <w:lang w:val="en-GB"/>
        </w:rPr>
      </w:pPr>
      <w:bookmarkStart w:id="51" w:name="_Toc414263634"/>
      <w:bookmarkStart w:id="52" w:name="_Toc446310832"/>
      <w:r w:rsidRPr="0037604E">
        <w:rPr>
          <w:rFonts w:asciiTheme="majorHAnsi" w:eastAsia="Times New Roman" w:hAnsiTheme="majorHAnsi" w:cstheme="majorBidi"/>
          <w:b/>
          <w:bCs/>
          <w:i/>
          <w:iCs/>
          <w:sz w:val="26"/>
          <w:szCs w:val="26"/>
          <w:lang w:val="en-GB"/>
        </w:rPr>
        <w:t>3.2.1 The main components of the</w:t>
      </w:r>
      <w:bookmarkEnd w:id="51"/>
      <w:r w:rsidRPr="0037604E">
        <w:rPr>
          <w:rFonts w:asciiTheme="majorHAnsi" w:eastAsia="Times New Roman" w:hAnsiTheme="majorHAnsi" w:cstheme="majorBidi"/>
          <w:b/>
          <w:bCs/>
          <w:i/>
          <w:iCs/>
          <w:sz w:val="26"/>
          <w:szCs w:val="26"/>
          <w:lang w:val="en-GB"/>
        </w:rPr>
        <w:t xml:space="preserve"> NTS infrastructure</w:t>
      </w:r>
      <w:bookmarkEnd w:id="52"/>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lastRenderedPageBreak/>
        <w:t>The main components of the National Gas Transmission System on 31 December 2016 are as follows</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6"/>
          <w:szCs w:val="26"/>
          <w:lang w:val="en-GB" w:eastAsia="ro-RO"/>
        </w:rPr>
      </w:pPr>
    </w:p>
    <w:tbl>
      <w:tblPr>
        <w:tblW w:w="500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5168"/>
        <w:gridCol w:w="926"/>
        <w:gridCol w:w="2927"/>
      </w:tblGrid>
      <w:tr w:rsidR="0037604E" w:rsidRPr="0037604E" w:rsidTr="0037604E">
        <w:trPr>
          <w:tblCellSpacing w:w="20" w:type="dxa"/>
          <w:jc w:val="center"/>
        </w:trPr>
        <w:tc>
          <w:tcPr>
            <w:tcW w:w="2833"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 xml:space="preserve">Name of NTS objective/component </w:t>
            </w:r>
          </w:p>
        </w:tc>
        <w:tc>
          <w:tcPr>
            <w:tcW w:w="491"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U.M.</w:t>
            </w:r>
          </w:p>
        </w:tc>
        <w:tc>
          <w:tcPr>
            <w:tcW w:w="1590"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Value</w:t>
            </w:r>
          </w:p>
        </w:tc>
      </w:tr>
      <w:tr w:rsidR="0037604E" w:rsidRPr="0037604E" w:rsidTr="0037604E">
        <w:trPr>
          <w:trHeight w:val="454"/>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Transmission pipelines and connections of gas supply, of which transit pipelines</w:t>
            </w:r>
          </w:p>
        </w:tc>
        <w:tc>
          <w:tcPr>
            <w:tcW w:w="491" w:type="pct"/>
            <w:vAlign w:val="center"/>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km</w:t>
            </w:r>
          </w:p>
        </w:tc>
        <w:tc>
          <w:tcPr>
            <w:tcW w:w="1590" w:type="pct"/>
            <w:vAlign w:val="center"/>
          </w:tcPr>
          <w:p w:rsidR="0037604E" w:rsidRPr="0037604E" w:rsidRDefault="0037604E" w:rsidP="0037604E">
            <w:pPr>
              <w:spacing w:after="0" w:line="240" w:lineRule="auto"/>
              <w:ind w:firstLine="0"/>
              <w:jc w:val="right"/>
              <w:rPr>
                <w:rFonts w:asciiTheme="majorHAnsi" w:eastAsia="Times New Roman" w:hAnsiTheme="majorHAnsi" w:cs="Times New Roman"/>
                <w:sz w:val="20"/>
                <w:szCs w:val="20"/>
                <w:lang w:eastAsia="ro-RO"/>
              </w:rPr>
            </w:pPr>
            <w:r w:rsidRPr="0037604E">
              <w:rPr>
                <w:rFonts w:asciiTheme="majorHAnsi" w:eastAsia="Times New Roman" w:hAnsiTheme="majorHAnsi" w:cs="Times New Roman"/>
                <w:sz w:val="20"/>
                <w:szCs w:val="20"/>
                <w:lang w:eastAsia="ro-RO"/>
              </w:rPr>
              <w:t>13.303</w:t>
            </w:r>
          </w:p>
          <w:p w:rsidR="0037604E" w:rsidRPr="0037604E" w:rsidRDefault="0037604E" w:rsidP="0037604E">
            <w:pPr>
              <w:spacing w:after="0" w:line="240" w:lineRule="auto"/>
              <w:ind w:firstLine="0"/>
              <w:jc w:val="right"/>
              <w:rPr>
                <w:rFonts w:asciiTheme="majorHAnsi" w:eastAsia="Times New Roman" w:hAnsiTheme="majorHAnsi" w:cs="Times New Roman"/>
                <w:sz w:val="20"/>
                <w:szCs w:val="20"/>
                <w:lang w:eastAsia="ro-RO"/>
              </w:rPr>
            </w:pPr>
            <w:r w:rsidRPr="0037604E">
              <w:rPr>
                <w:rFonts w:asciiTheme="majorHAnsi" w:eastAsia="Times New Roman" w:hAnsiTheme="majorHAnsi" w:cs="Times New Roman"/>
                <w:sz w:val="20"/>
                <w:szCs w:val="20"/>
                <w:lang w:eastAsia="ro-RO"/>
              </w:rPr>
              <w:t>553</w:t>
            </w:r>
          </w:p>
        </w:tc>
      </w:tr>
      <w:tr w:rsidR="0037604E" w:rsidRPr="0037604E" w:rsidTr="0037604E">
        <w:trPr>
          <w:trHeight w:val="454"/>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Measurement regulating stations (MRS) in operation</w:t>
            </w:r>
          </w:p>
        </w:tc>
        <w:tc>
          <w:tcPr>
            <w:tcW w:w="491" w:type="pct"/>
            <w:vAlign w:val="center"/>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Times New Roman" w:hAnsiTheme="majorHAnsi" w:cs="Times New Roman"/>
                <w:sz w:val="20"/>
                <w:szCs w:val="20"/>
                <w:lang w:eastAsia="ro-RO"/>
              </w:rPr>
            </w:pPr>
            <w:r w:rsidRPr="0037604E">
              <w:rPr>
                <w:rFonts w:asciiTheme="majorHAnsi" w:eastAsia="Times New Roman" w:hAnsiTheme="majorHAnsi" w:cs="Times New Roman"/>
                <w:sz w:val="20"/>
                <w:szCs w:val="20"/>
                <w:lang w:eastAsia="ro-RO"/>
              </w:rPr>
              <w:t>1.132</w:t>
            </w:r>
          </w:p>
          <w:p w:rsidR="0037604E" w:rsidRPr="0037604E" w:rsidRDefault="0037604E" w:rsidP="0037604E">
            <w:pPr>
              <w:spacing w:after="0" w:line="240" w:lineRule="auto"/>
              <w:ind w:firstLine="0"/>
              <w:jc w:val="right"/>
              <w:rPr>
                <w:rFonts w:asciiTheme="majorHAnsi" w:eastAsia="Times New Roman" w:hAnsiTheme="majorHAnsi" w:cs="Times New Roman"/>
                <w:sz w:val="20"/>
                <w:szCs w:val="20"/>
                <w:lang w:eastAsia="ro-RO"/>
              </w:rPr>
            </w:pPr>
            <w:r w:rsidRPr="0037604E">
              <w:rPr>
                <w:rFonts w:asciiTheme="majorHAnsi" w:eastAsia="Times New Roman" w:hAnsiTheme="majorHAnsi" w:cs="Times New Roman"/>
                <w:sz w:val="20"/>
                <w:szCs w:val="20"/>
                <w:lang w:eastAsia="ro-RO"/>
              </w:rPr>
              <w:t>(1.235 measurement directions)</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Valve control stations</w:t>
            </w:r>
            <w:r w:rsidRPr="0037604E">
              <w:rPr>
                <w:rFonts w:ascii="Cambria" w:eastAsia="Times New Roman" w:hAnsi="Cambria" w:cs="Times New Roman"/>
                <w:sz w:val="20"/>
                <w:szCs w:val="20"/>
                <w:lang w:val="en-GB" w:eastAsia="ro-RO"/>
              </w:rPr>
              <w:t xml:space="preserve"> (VCS, NT)</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60</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Import gas measuring stations (GMS)</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Measuring stations located on the gas transit pipelines</w:t>
            </w:r>
            <w:r w:rsidRPr="0037604E">
              <w:rPr>
                <w:rFonts w:ascii="Cambria" w:eastAsia="Times New Roman" w:hAnsi="Cambria" w:cs="Times New Roman"/>
                <w:sz w:val="20"/>
                <w:szCs w:val="20"/>
                <w:lang w:val="en-GB" w:eastAsia="ro-RO"/>
              </w:rPr>
              <w:t xml:space="preserve"> (GMS)</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6</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Gas compression stations</w:t>
            </w:r>
            <w:r w:rsidRPr="0037604E">
              <w:rPr>
                <w:rFonts w:ascii="Cambria" w:eastAsia="Times New Roman" w:hAnsi="Cambria" w:cs="Times New Roman"/>
                <w:sz w:val="20"/>
                <w:szCs w:val="20"/>
                <w:lang w:val="en-GB" w:eastAsia="ro-RO"/>
              </w:rPr>
              <w:t xml:space="preserve"> (GCS)</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3</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Calibri" w:hAnsi="Cambria" w:cs="Times New Roman"/>
                <w:sz w:val="20"/>
                <w:szCs w:val="20"/>
                <w:lang w:val="en-GB" w:eastAsia="en-US"/>
              </w:rPr>
              <w:t>Cathode protection</w:t>
            </w:r>
            <w:r w:rsidRPr="0037604E">
              <w:rPr>
                <w:rFonts w:ascii="Cambria" w:eastAsia="Times New Roman" w:hAnsi="Cambria" w:cs="Times New Roman"/>
                <w:sz w:val="20"/>
                <w:szCs w:val="20"/>
                <w:lang w:val="en-GB" w:eastAsia="ro-RO"/>
              </w:rPr>
              <w:t xml:space="preserve"> stations (CPS)</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1.042</w:t>
            </w:r>
          </w:p>
        </w:tc>
      </w:tr>
      <w:tr w:rsidR="0037604E" w:rsidRPr="0037604E" w:rsidTr="0037604E">
        <w:trPr>
          <w:tblCellSpacing w:w="20" w:type="dxa"/>
          <w:jc w:val="center"/>
        </w:trPr>
        <w:tc>
          <w:tcPr>
            <w:tcW w:w="2833" w:type="pct"/>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Gas odorization stations (GOS)</w:t>
            </w:r>
          </w:p>
        </w:tc>
        <w:tc>
          <w:tcPr>
            <w:tcW w:w="491" w:type="pct"/>
          </w:tcPr>
          <w:p w:rsidR="0037604E" w:rsidRPr="0037604E" w:rsidRDefault="0037604E" w:rsidP="0037604E">
            <w:pPr>
              <w:spacing w:after="0" w:line="240" w:lineRule="auto"/>
              <w:ind w:firstLine="0"/>
              <w:jc w:val="center"/>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pc</w:t>
            </w:r>
          </w:p>
        </w:tc>
        <w:tc>
          <w:tcPr>
            <w:tcW w:w="1590"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20"/>
                <w:szCs w:val="20"/>
                <w:lang w:eastAsia="en-US"/>
              </w:rPr>
            </w:pPr>
            <w:r w:rsidRPr="0037604E">
              <w:rPr>
                <w:rFonts w:asciiTheme="majorHAnsi" w:eastAsia="Calibri" w:hAnsiTheme="majorHAnsi" w:cs="Times New Roman"/>
                <w:sz w:val="20"/>
                <w:szCs w:val="20"/>
                <w:lang w:eastAsia="en-US"/>
              </w:rPr>
              <w:t>871</w:t>
            </w: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F47A26"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34</w:t>
      </w:r>
      <w:r w:rsidR="0037604E" w:rsidRPr="0037604E">
        <w:rPr>
          <w:rFonts w:ascii="Cambria" w:eastAsia="Times New Roman" w:hAnsi="Cambria" w:cs="Times New Roman"/>
          <w:b/>
          <w:i/>
          <w:sz w:val="16"/>
          <w:szCs w:val="16"/>
          <w:lang w:val="en-GB" w:eastAsia="ro-RO"/>
        </w:rPr>
        <w:t xml:space="preserve"> – Main components of the NTS on 31.12.2016</w:t>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The National Transmission System (NTS) has coverage across the entire national territory and has a radial-ring structure</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The transmission and gas transit capacity is ensured through a network of pipelines and supply fittings with diameters between 50 mm and 1200 mm at pressures between 6 bar and 40 bar, with the exception of international transmission (63 bar</w:t>
      </w:r>
      <w:r w:rsidRPr="0037604E">
        <w:rPr>
          <w:rFonts w:ascii="Cambria" w:eastAsia="Times New Roman" w:hAnsi="Cambria" w:cs="Times New Roman"/>
          <w:sz w:val="24"/>
          <w:szCs w:val="24"/>
          <w:lang w:val="en-GB"/>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The operation of the NTS is performed via 9 regional transmission operations, which comprise 45 sectors. From a technological point of view the NTS consists of 9 regional gas transmission sub-systems</w:t>
      </w:r>
      <w:r w:rsidRPr="0037604E">
        <w:rPr>
          <w:rFonts w:ascii="Cambria" w:eastAsia="Times New Roman" w:hAnsi="Cambria" w:cs="Times New Roman"/>
          <w:sz w:val="24"/>
          <w:szCs w:val="24"/>
          <w:lang w:val="en-GB"/>
        </w:rPr>
        <w:t>.</w:t>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noProof/>
          <w:sz w:val="24"/>
          <w:szCs w:val="24"/>
          <w:lang w:val="ro-RO" w:eastAsia="ro-RO"/>
        </w:rPr>
        <w:drawing>
          <wp:anchor distT="0" distB="0" distL="114300" distR="114300" simplePos="0" relativeHeight="251961344" behindDoc="0" locked="0" layoutInCell="1" allowOverlap="1" wp14:anchorId="207BD0AB" wp14:editId="490104CA">
            <wp:simplePos x="0" y="0"/>
            <wp:positionH relativeFrom="column">
              <wp:posOffset>117475</wp:posOffset>
            </wp:positionH>
            <wp:positionV relativeFrom="paragraph">
              <wp:posOffset>41275</wp:posOffset>
            </wp:positionV>
            <wp:extent cx="4953000" cy="3512185"/>
            <wp:effectExtent l="0" t="0" r="0" b="0"/>
            <wp:wrapSquare wrapText="bothSides"/>
            <wp:docPr id="75" name="Picture 75" descr="D:\Analiza_Sistem\An_2014\Plan_Dezvoltare\Figuri\Fig.2-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aliza_Sistem\An_2014\Plan_Dezvoltare\Figuri\Fig.2-SN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53000" cy="3512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F47A26" w:rsidP="0037604E">
      <w:pPr>
        <w:jc w:val="center"/>
        <w:rPr>
          <w:rFonts w:ascii="Cambria" w:eastAsia="Times New Roman" w:hAnsi="Cambria" w:cs="Times New Roman"/>
          <w:b/>
          <w:i/>
          <w:sz w:val="16"/>
          <w:szCs w:val="16"/>
          <w:lang w:val="en-GB"/>
        </w:rPr>
      </w:pPr>
      <w:r>
        <w:rPr>
          <w:rFonts w:ascii="Cambria" w:eastAsia="Times New Roman" w:hAnsi="Cambria" w:cs="Times New Roman"/>
          <w:b/>
          <w:i/>
          <w:sz w:val="16"/>
          <w:szCs w:val="16"/>
          <w:lang w:val="en-GB"/>
        </w:rPr>
        <w:t xml:space="preserve">  Fig. 3</w:t>
      </w:r>
      <w:r w:rsidR="0037604E" w:rsidRPr="0037604E">
        <w:rPr>
          <w:rFonts w:ascii="Cambria" w:eastAsia="Times New Roman" w:hAnsi="Cambria" w:cs="Times New Roman"/>
          <w:b/>
          <w:i/>
          <w:sz w:val="16"/>
          <w:szCs w:val="16"/>
          <w:lang w:val="en-GB"/>
        </w:rPr>
        <w:t xml:space="preserve"> - Map of the Natural Gas Transmission System</w:t>
      </w: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lastRenderedPageBreak/>
        <w:t>Description and analysis of the degree of wear of the NTS components</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An analysis of the main objectives belonging to the NTS in terms of service life is indicated in the table below</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tbl>
      <w:tblPr>
        <w:tblW w:w="500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364"/>
        <w:gridCol w:w="1682"/>
        <w:gridCol w:w="2265"/>
        <w:gridCol w:w="2710"/>
      </w:tblGrid>
      <w:tr w:rsidR="0037604E" w:rsidRPr="0037604E" w:rsidTr="0037604E">
        <w:trPr>
          <w:trHeight w:val="697"/>
          <w:tblCellSpacing w:w="20" w:type="dxa"/>
          <w:jc w:val="center"/>
        </w:trPr>
        <w:tc>
          <w:tcPr>
            <w:tcW w:w="1284"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Service life</w:t>
            </w:r>
          </w:p>
        </w:tc>
        <w:tc>
          <w:tcPr>
            <w:tcW w:w="915" w:type="pct"/>
            <w:shd w:val="clear" w:color="auto" w:fill="D1DEEE" w:themeFill="accent2" w:themeFillTint="33"/>
            <w:vAlign w:val="center"/>
          </w:tcPr>
          <w:p w:rsidR="0037604E" w:rsidRPr="0037604E" w:rsidRDefault="005C561C" w:rsidP="0037604E">
            <w:pPr>
              <w:spacing w:after="0" w:line="240" w:lineRule="auto"/>
              <w:ind w:firstLine="0"/>
              <w:jc w:val="center"/>
              <w:rPr>
                <w:rFonts w:ascii="Cambria" w:eastAsia="Times New Roman" w:hAnsi="Cambria" w:cs="Times New Roman"/>
                <w:b/>
                <w:sz w:val="20"/>
                <w:szCs w:val="20"/>
                <w:lang w:val="en-GB" w:eastAsia="ro-RO"/>
              </w:rPr>
            </w:pPr>
            <w:r>
              <w:rPr>
                <w:rFonts w:ascii="Cambria" w:eastAsia="Times New Roman" w:hAnsi="Cambria" w:cs="Times New Roman"/>
                <w:b/>
                <w:sz w:val="20"/>
                <w:szCs w:val="20"/>
                <w:lang w:val="en-GB" w:eastAsia="ro-RO"/>
              </w:rPr>
              <w:t>Transmission</w:t>
            </w:r>
            <w:r w:rsidR="0037604E" w:rsidRPr="0037604E">
              <w:rPr>
                <w:rFonts w:ascii="Cambria" w:eastAsia="Times New Roman" w:hAnsi="Cambria" w:cs="Times New Roman"/>
                <w:b/>
                <w:sz w:val="20"/>
                <w:szCs w:val="20"/>
                <w:lang w:val="en-GB" w:eastAsia="ro-RO"/>
              </w:rPr>
              <w:t xml:space="preserve"> pipelines (km)</w:t>
            </w:r>
          </w:p>
        </w:tc>
        <w:tc>
          <w:tcPr>
            <w:tcW w:w="1217"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Supply fittings (km)</w:t>
            </w:r>
          </w:p>
        </w:tc>
        <w:tc>
          <w:tcPr>
            <w:tcW w:w="1476" w:type="pct"/>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Number of Directions for Metering Regulating Stations</w:t>
            </w:r>
          </w:p>
        </w:tc>
      </w:tr>
      <w:tr w:rsidR="0037604E" w:rsidRPr="0037604E" w:rsidTr="0037604E">
        <w:trPr>
          <w:trHeight w:val="227"/>
          <w:tblCellSpacing w:w="20" w:type="dxa"/>
          <w:jc w:val="center"/>
        </w:trPr>
        <w:tc>
          <w:tcPr>
            <w:tcW w:w="1284" w:type="pct"/>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&gt; 40 years</w:t>
            </w:r>
          </w:p>
        </w:tc>
        <w:tc>
          <w:tcPr>
            <w:tcW w:w="915"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6.242</w:t>
            </w:r>
          </w:p>
        </w:tc>
        <w:tc>
          <w:tcPr>
            <w:tcW w:w="1217"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337</w:t>
            </w:r>
          </w:p>
        </w:tc>
        <w:tc>
          <w:tcPr>
            <w:tcW w:w="1476"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138</w:t>
            </w:r>
          </w:p>
        </w:tc>
      </w:tr>
      <w:tr w:rsidR="0037604E" w:rsidRPr="0037604E" w:rsidTr="0037604E">
        <w:trPr>
          <w:trHeight w:val="227"/>
          <w:tblCellSpacing w:w="20" w:type="dxa"/>
          <w:jc w:val="center"/>
        </w:trPr>
        <w:tc>
          <w:tcPr>
            <w:tcW w:w="1284" w:type="pct"/>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Between 30 and 40 years</w:t>
            </w:r>
          </w:p>
        </w:tc>
        <w:tc>
          <w:tcPr>
            <w:tcW w:w="915"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2.037</w:t>
            </w:r>
          </w:p>
        </w:tc>
        <w:tc>
          <w:tcPr>
            <w:tcW w:w="1217"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128</w:t>
            </w:r>
          </w:p>
        </w:tc>
        <w:tc>
          <w:tcPr>
            <w:tcW w:w="1476"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53</w:t>
            </w:r>
          </w:p>
        </w:tc>
      </w:tr>
      <w:tr w:rsidR="0037604E" w:rsidRPr="0037604E" w:rsidTr="0037604E">
        <w:trPr>
          <w:trHeight w:val="227"/>
          <w:tblCellSpacing w:w="20" w:type="dxa"/>
          <w:jc w:val="center"/>
        </w:trPr>
        <w:tc>
          <w:tcPr>
            <w:tcW w:w="1284" w:type="pct"/>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Between 20 and 30 years</w:t>
            </w:r>
          </w:p>
        </w:tc>
        <w:tc>
          <w:tcPr>
            <w:tcW w:w="915"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664</w:t>
            </w:r>
          </w:p>
        </w:tc>
        <w:tc>
          <w:tcPr>
            <w:tcW w:w="1217"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182</w:t>
            </w:r>
          </w:p>
        </w:tc>
        <w:tc>
          <w:tcPr>
            <w:tcW w:w="1476"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138</w:t>
            </w:r>
          </w:p>
        </w:tc>
      </w:tr>
      <w:tr w:rsidR="0037604E" w:rsidRPr="0037604E" w:rsidTr="0037604E">
        <w:trPr>
          <w:trHeight w:val="227"/>
          <w:tblCellSpacing w:w="20" w:type="dxa"/>
          <w:jc w:val="center"/>
        </w:trPr>
        <w:tc>
          <w:tcPr>
            <w:tcW w:w="1284" w:type="pct"/>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Between 10 and 20 years</w:t>
            </w:r>
          </w:p>
        </w:tc>
        <w:tc>
          <w:tcPr>
            <w:tcW w:w="915"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1.468</w:t>
            </w:r>
          </w:p>
        </w:tc>
        <w:tc>
          <w:tcPr>
            <w:tcW w:w="1217"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826</w:t>
            </w:r>
          </w:p>
        </w:tc>
        <w:tc>
          <w:tcPr>
            <w:tcW w:w="1476"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539</w:t>
            </w:r>
          </w:p>
        </w:tc>
      </w:tr>
      <w:tr w:rsidR="0037604E" w:rsidRPr="0037604E" w:rsidTr="0037604E">
        <w:trPr>
          <w:trHeight w:val="227"/>
          <w:tblCellSpacing w:w="20" w:type="dxa"/>
          <w:jc w:val="center"/>
        </w:trPr>
        <w:tc>
          <w:tcPr>
            <w:tcW w:w="1284" w:type="pct"/>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eastAsia="ro-RO"/>
              </w:rPr>
            </w:pPr>
            <w:r w:rsidRPr="0037604E">
              <w:rPr>
                <w:rFonts w:ascii="Cambria" w:eastAsia="Times New Roman" w:hAnsi="Cambria" w:cs="Times New Roman"/>
                <w:sz w:val="20"/>
                <w:szCs w:val="20"/>
                <w:lang w:val="en-GB" w:eastAsia="ro-RO"/>
              </w:rPr>
              <w:t>&lt; 10 years</w:t>
            </w:r>
          </w:p>
        </w:tc>
        <w:tc>
          <w:tcPr>
            <w:tcW w:w="915"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1.096</w:t>
            </w:r>
          </w:p>
        </w:tc>
        <w:tc>
          <w:tcPr>
            <w:tcW w:w="1217"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323</w:t>
            </w:r>
          </w:p>
        </w:tc>
        <w:tc>
          <w:tcPr>
            <w:tcW w:w="1476" w:type="pct"/>
            <w:vAlign w:val="center"/>
          </w:tcPr>
          <w:p w:rsidR="0037604E" w:rsidRPr="0037604E" w:rsidRDefault="0037604E" w:rsidP="0037604E">
            <w:pPr>
              <w:spacing w:after="0" w:line="240" w:lineRule="auto"/>
              <w:ind w:firstLine="0"/>
              <w:jc w:val="right"/>
              <w:rPr>
                <w:rFonts w:asciiTheme="majorHAnsi" w:eastAsia="Calibri" w:hAnsiTheme="majorHAnsi" w:cs="Times New Roman"/>
                <w:sz w:val="18"/>
                <w:szCs w:val="18"/>
                <w:lang w:eastAsia="en-US"/>
              </w:rPr>
            </w:pPr>
            <w:r w:rsidRPr="0037604E">
              <w:rPr>
                <w:rFonts w:asciiTheme="majorHAnsi" w:eastAsia="Calibri" w:hAnsiTheme="majorHAnsi" w:cs="Times New Roman"/>
                <w:sz w:val="18"/>
                <w:szCs w:val="18"/>
                <w:lang w:eastAsia="en-US"/>
              </w:rPr>
              <w:t>376</w:t>
            </w:r>
          </w:p>
        </w:tc>
      </w:tr>
      <w:tr w:rsidR="0037604E" w:rsidRPr="0037604E" w:rsidTr="0037604E">
        <w:trPr>
          <w:trHeight w:val="227"/>
          <w:tblCellSpacing w:w="20" w:type="dxa"/>
          <w:jc w:val="center"/>
        </w:trPr>
        <w:tc>
          <w:tcPr>
            <w:tcW w:w="1284" w:type="pct"/>
            <w:vMerge w:val="restart"/>
            <w:shd w:val="clear" w:color="auto" w:fill="D1DEEE" w:themeFill="accent2" w:themeFillTint="33"/>
            <w:vAlign w:val="center"/>
          </w:tcPr>
          <w:p w:rsidR="0037604E" w:rsidRPr="0037604E" w:rsidRDefault="0037604E" w:rsidP="0037604E">
            <w:pPr>
              <w:spacing w:after="0" w:line="240" w:lineRule="auto"/>
              <w:ind w:firstLine="0"/>
              <w:jc w:val="both"/>
              <w:rPr>
                <w:rFonts w:ascii="Cambria" w:eastAsia="Times New Roman" w:hAnsi="Cambria" w:cs="Times New Roman"/>
                <w:b/>
                <w:sz w:val="20"/>
                <w:szCs w:val="20"/>
                <w:lang w:val="en-GB" w:eastAsia="ro-RO"/>
              </w:rPr>
            </w:pPr>
            <w:r w:rsidRPr="0037604E">
              <w:rPr>
                <w:rFonts w:ascii="Cambria" w:eastAsia="Times New Roman" w:hAnsi="Cambria" w:cs="Times New Roman"/>
                <w:b/>
                <w:sz w:val="20"/>
                <w:szCs w:val="20"/>
                <w:lang w:val="en-GB" w:eastAsia="ro-RO"/>
              </w:rPr>
              <w:t>TOTAL</w:t>
            </w:r>
          </w:p>
        </w:tc>
        <w:tc>
          <w:tcPr>
            <w:tcW w:w="915" w:type="pct"/>
            <w:shd w:val="clear" w:color="auto" w:fill="D1DEEE" w:themeFill="accent2" w:themeFillTint="33"/>
            <w:vAlign w:val="center"/>
          </w:tcPr>
          <w:p w:rsidR="0037604E" w:rsidRPr="0037604E" w:rsidRDefault="0037604E" w:rsidP="0037604E">
            <w:pPr>
              <w:spacing w:after="0" w:line="240" w:lineRule="auto"/>
              <w:ind w:firstLine="0"/>
              <w:jc w:val="right"/>
              <w:rPr>
                <w:rFonts w:asciiTheme="majorHAnsi" w:eastAsia="Calibri" w:hAnsiTheme="majorHAnsi" w:cs="Times New Roman"/>
                <w:b/>
                <w:sz w:val="18"/>
                <w:szCs w:val="18"/>
                <w:lang w:eastAsia="en-US"/>
              </w:rPr>
            </w:pPr>
            <w:r w:rsidRPr="0037604E">
              <w:rPr>
                <w:rFonts w:asciiTheme="majorHAnsi" w:eastAsia="Calibri" w:hAnsiTheme="majorHAnsi" w:cs="Times New Roman"/>
                <w:b/>
                <w:sz w:val="18"/>
                <w:szCs w:val="18"/>
                <w:lang w:eastAsia="en-US"/>
              </w:rPr>
              <w:t>11.507</w:t>
            </w:r>
          </w:p>
        </w:tc>
        <w:tc>
          <w:tcPr>
            <w:tcW w:w="1217" w:type="pct"/>
            <w:shd w:val="clear" w:color="auto" w:fill="D1DEEE" w:themeFill="accent2" w:themeFillTint="33"/>
            <w:vAlign w:val="center"/>
          </w:tcPr>
          <w:p w:rsidR="0037604E" w:rsidRPr="0037604E" w:rsidRDefault="0037604E" w:rsidP="0037604E">
            <w:pPr>
              <w:spacing w:after="0" w:line="240" w:lineRule="auto"/>
              <w:ind w:firstLine="0"/>
              <w:jc w:val="right"/>
              <w:rPr>
                <w:rFonts w:asciiTheme="majorHAnsi" w:eastAsia="Calibri" w:hAnsiTheme="majorHAnsi" w:cs="Times New Roman"/>
                <w:b/>
                <w:sz w:val="18"/>
                <w:szCs w:val="18"/>
                <w:lang w:eastAsia="en-US"/>
              </w:rPr>
            </w:pPr>
            <w:r w:rsidRPr="0037604E">
              <w:rPr>
                <w:rFonts w:asciiTheme="majorHAnsi" w:eastAsia="Calibri" w:hAnsiTheme="majorHAnsi" w:cs="Times New Roman"/>
                <w:b/>
                <w:sz w:val="18"/>
                <w:szCs w:val="18"/>
                <w:lang w:eastAsia="en-US"/>
              </w:rPr>
              <w:t>1.796</w:t>
            </w:r>
          </w:p>
        </w:tc>
        <w:tc>
          <w:tcPr>
            <w:tcW w:w="1476" w:type="pct"/>
            <w:vMerge w:val="restart"/>
            <w:shd w:val="clear" w:color="auto" w:fill="D1DEEE" w:themeFill="accent2" w:themeFillTint="33"/>
            <w:vAlign w:val="center"/>
          </w:tcPr>
          <w:p w:rsidR="0037604E" w:rsidRPr="0037604E" w:rsidRDefault="0037604E" w:rsidP="0037604E">
            <w:pPr>
              <w:spacing w:after="0" w:line="240" w:lineRule="auto"/>
              <w:ind w:firstLine="0"/>
              <w:jc w:val="right"/>
              <w:rPr>
                <w:rFonts w:ascii="Cambria" w:eastAsia="Times New Roman" w:hAnsi="Cambria" w:cs="Times New Roman"/>
                <w:b/>
                <w:sz w:val="20"/>
                <w:szCs w:val="20"/>
                <w:lang w:val="en-GB" w:eastAsia="ro-RO"/>
              </w:rPr>
            </w:pPr>
            <w:r w:rsidRPr="0037604E">
              <w:rPr>
                <w:rFonts w:asciiTheme="majorHAnsi" w:eastAsia="Times New Roman" w:hAnsiTheme="majorHAnsi" w:cs="Times New Roman"/>
                <w:b/>
                <w:sz w:val="18"/>
                <w:szCs w:val="18"/>
                <w:lang w:eastAsia="ro-RO"/>
              </w:rPr>
              <w:t xml:space="preserve">1.132 </w:t>
            </w:r>
            <w:r w:rsidRPr="0037604E">
              <w:rPr>
                <w:rFonts w:ascii="Cambria" w:eastAsia="Times New Roman" w:hAnsi="Cambria" w:cs="Times New Roman"/>
                <w:b/>
                <w:sz w:val="20"/>
                <w:szCs w:val="20"/>
                <w:lang w:val="en-GB" w:eastAsia="ro-RO"/>
              </w:rPr>
              <w:t>MRSs (</w:t>
            </w:r>
            <w:r w:rsidRPr="0037604E">
              <w:rPr>
                <w:rFonts w:asciiTheme="majorHAnsi" w:eastAsia="Times New Roman" w:hAnsiTheme="majorHAnsi" w:cs="Times New Roman"/>
                <w:b/>
                <w:sz w:val="18"/>
                <w:szCs w:val="18"/>
                <w:lang w:eastAsia="ro-RO"/>
              </w:rPr>
              <w:t xml:space="preserve">1.244 </w:t>
            </w:r>
            <w:r w:rsidRPr="0037604E">
              <w:rPr>
                <w:rFonts w:ascii="Cambria" w:eastAsia="Times New Roman" w:hAnsi="Cambria" w:cs="Times New Roman"/>
                <w:b/>
                <w:sz w:val="20"/>
                <w:szCs w:val="20"/>
                <w:lang w:val="en-GB" w:eastAsia="ro-RO"/>
              </w:rPr>
              <w:t>metering directions)</w:t>
            </w:r>
          </w:p>
          <w:p w:rsidR="0037604E" w:rsidRPr="0037604E" w:rsidRDefault="0037604E" w:rsidP="0037604E">
            <w:pPr>
              <w:spacing w:after="0" w:line="240" w:lineRule="auto"/>
              <w:ind w:firstLine="0"/>
              <w:jc w:val="right"/>
              <w:rPr>
                <w:rFonts w:ascii="Cambria" w:eastAsia="Times New Roman" w:hAnsi="Cambria" w:cs="Times New Roman"/>
                <w:b/>
                <w:sz w:val="20"/>
                <w:szCs w:val="20"/>
                <w:lang w:val="en-GB" w:eastAsia="ro-RO"/>
              </w:rPr>
            </w:pPr>
          </w:p>
        </w:tc>
      </w:tr>
      <w:tr w:rsidR="0037604E" w:rsidRPr="0037604E" w:rsidTr="0037604E">
        <w:trPr>
          <w:trHeight w:val="139"/>
          <w:tblCellSpacing w:w="20" w:type="dxa"/>
          <w:jc w:val="center"/>
        </w:trPr>
        <w:tc>
          <w:tcPr>
            <w:tcW w:w="1284" w:type="pct"/>
            <w:vMerge/>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eastAsia="ro-RO"/>
              </w:rPr>
            </w:pPr>
          </w:p>
        </w:tc>
        <w:tc>
          <w:tcPr>
            <w:tcW w:w="2154" w:type="pct"/>
            <w:gridSpan w:val="2"/>
            <w:shd w:val="clear" w:color="auto" w:fill="D1DEEE" w:themeFill="accent2" w:themeFillTint="33"/>
            <w:vAlign w:val="center"/>
          </w:tcPr>
          <w:p w:rsidR="0037604E" w:rsidRPr="0037604E" w:rsidRDefault="0037604E" w:rsidP="0037604E">
            <w:pPr>
              <w:spacing w:after="0" w:line="240" w:lineRule="auto"/>
              <w:ind w:firstLine="0"/>
              <w:jc w:val="center"/>
              <w:rPr>
                <w:rFonts w:ascii="Cambria" w:eastAsia="Times New Roman" w:hAnsi="Cambria" w:cs="Times New Roman"/>
                <w:b/>
                <w:sz w:val="20"/>
                <w:szCs w:val="20"/>
                <w:lang w:val="en-GB" w:eastAsia="ro-RO"/>
              </w:rPr>
            </w:pPr>
            <w:r w:rsidRPr="0037604E">
              <w:rPr>
                <w:rFonts w:asciiTheme="majorHAnsi" w:eastAsia="Times New Roman" w:hAnsiTheme="majorHAnsi" w:cs="Times New Roman"/>
                <w:b/>
                <w:sz w:val="18"/>
                <w:szCs w:val="18"/>
                <w:lang w:eastAsia="ro-RO"/>
              </w:rPr>
              <w:t>13.303</w:t>
            </w:r>
          </w:p>
        </w:tc>
        <w:tc>
          <w:tcPr>
            <w:tcW w:w="1476" w:type="pct"/>
            <w:vMerge/>
          </w:tcPr>
          <w:p w:rsidR="0037604E" w:rsidRPr="0037604E" w:rsidRDefault="0037604E" w:rsidP="0037604E">
            <w:pPr>
              <w:spacing w:after="0" w:line="240" w:lineRule="auto"/>
              <w:ind w:firstLine="0"/>
              <w:jc w:val="both"/>
              <w:rPr>
                <w:rFonts w:ascii="Cambria" w:eastAsia="Times New Roman" w:hAnsi="Cambria" w:cs="Times New Roman"/>
                <w:b/>
                <w:sz w:val="20"/>
                <w:szCs w:val="20"/>
                <w:lang w:val="en-GB" w:eastAsia="ro-RO"/>
              </w:rPr>
            </w:pP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 xml:space="preserve">  </w:t>
      </w:r>
    </w:p>
    <w:p w:rsidR="0037604E" w:rsidRPr="0037604E" w:rsidRDefault="00F47A26"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35</w:t>
      </w:r>
      <w:r w:rsidR="0037604E" w:rsidRPr="0037604E">
        <w:rPr>
          <w:rFonts w:ascii="Cambria" w:eastAsia="Times New Roman" w:hAnsi="Cambria" w:cs="Times New Roman"/>
          <w:b/>
          <w:i/>
          <w:sz w:val="16"/>
          <w:szCs w:val="16"/>
          <w:lang w:val="en-GB" w:eastAsia="ro-RO"/>
        </w:rPr>
        <w:t>–Main components of the NTS on 31.12.2016 in terms of service life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bookmarkStart w:id="53" w:name="_Toc381374172"/>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Out of the </w:t>
      </w:r>
      <w:r w:rsidRPr="005C561C">
        <w:rPr>
          <w:rFonts w:ascii="Cambria" w:eastAsia="Calibri" w:hAnsi="Cambria" w:cs="Times New Roman"/>
          <w:b/>
          <w:sz w:val="24"/>
          <w:szCs w:val="24"/>
          <w:lang w:val="en-GB" w:eastAsia="en-US"/>
        </w:rPr>
        <w:t>13,303 km</w:t>
      </w:r>
      <w:r w:rsidRPr="0037604E">
        <w:rPr>
          <w:rFonts w:ascii="Cambria" w:eastAsia="Calibri" w:hAnsi="Cambria" w:cs="Times New Roman"/>
          <w:sz w:val="24"/>
          <w:szCs w:val="24"/>
          <w:lang w:val="en-GB" w:eastAsia="en-US"/>
        </w:rPr>
        <w:t xml:space="preserve"> gas transmission pipelines in operation, about </w:t>
      </w:r>
      <w:r w:rsidRPr="005C561C">
        <w:rPr>
          <w:rFonts w:ascii="Cambria" w:eastAsia="Calibri" w:hAnsi="Cambria" w:cs="Times New Roman"/>
          <w:b/>
          <w:sz w:val="24"/>
          <w:szCs w:val="24"/>
          <w:lang w:val="en-GB" w:eastAsia="en-US"/>
        </w:rPr>
        <w:t>72% have an effective service life higher than 20 years</w:t>
      </w:r>
      <w:r w:rsidRPr="0037604E">
        <w:rPr>
          <w:rFonts w:ascii="Cambria" w:eastAsia="Calibri" w:hAnsi="Cambria" w:cs="Times New Roman"/>
          <w:sz w:val="24"/>
          <w:szCs w:val="24"/>
          <w:lang w:val="en-GB" w:eastAsia="en-US"/>
        </w:rPr>
        <w:t>, close to their normal service life</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The inspections performed, out of which by intelligent PIG for about </w:t>
      </w:r>
      <w:r w:rsidRPr="005C561C">
        <w:rPr>
          <w:rFonts w:ascii="Cambria" w:eastAsia="Calibri" w:hAnsi="Cambria" w:cs="Times New Roman"/>
          <w:b/>
          <w:sz w:val="24"/>
          <w:szCs w:val="24"/>
          <w:lang w:val="en-GB" w:eastAsia="en-US"/>
        </w:rPr>
        <w:t>2,495</w:t>
      </w:r>
      <w:r w:rsidRPr="0037604E">
        <w:rPr>
          <w:rFonts w:ascii="Cambria" w:eastAsia="Calibri" w:hAnsi="Cambria" w:cs="Times New Roman"/>
          <w:sz w:val="24"/>
          <w:szCs w:val="24"/>
          <w:lang w:val="en-GB" w:eastAsia="en-US"/>
        </w:rPr>
        <w:t xml:space="preserve"> km (3,590 km taking into account multiple inspections, 282 km in 2016) reveal high levels of pipe material defects, mainly due to the technical state of the active insulation, made for about 79.5% of the pipelines of the system based on bitumen currently aged and damaged, which may increase the electricity consumption recorded in the 1,042 pipeline cathode protection stations</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Approximately 96% of the pipelines and fittings that are in use have cathode protection. Potential intensive metering were performed in 2016 for </w:t>
      </w:r>
      <w:r w:rsidRPr="0037604E">
        <w:rPr>
          <w:rFonts w:asciiTheme="majorHAnsi" w:hAnsiTheme="majorHAnsi"/>
          <w:sz w:val="24"/>
          <w:lang w:val="fr-FR"/>
        </w:rPr>
        <w:t>2</w:t>
      </w:r>
      <w:r w:rsidRPr="0037604E">
        <w:rPr>
          <w:rFonts w:asciiTheme="majorHAnsi" w:eastAsia="Times New Roman" w:hAnsiTheme="majorHAnsi" w:cs="Times New Roman"/>
          <w:sz w:val="24"/>
          <w:szCs w:val="24"/>
          <w:lang w:val="fr-FR" w:eastAsia="ro-RO"/>
        </w:rPr>
        <w:t>5</w:t>
      </w:r>
      <w:r w:rsidRPr="0037604E">
        <w:rPr>
          <w:rFonts w:asciiTheme="majorHAnsi" w:hAnsiTheme="majorHAnsi"/>
          <w:sz w:val="24"/>
          <w:lang w:val="fr-FR"/>
        </w:rPr>
        <w:t>1</w:t>
      </w:r>
      <w:r w:rsidRPr="0037604E">
        <w:rPr>
          <w:rFonts w:ascii="Cambria" w:eastAsia="Times New Roman" w:hAnsi="Cambria" w:cs="Times New Roman"/>
          <w:sz w:val="24"/>
          <w:szCs w:val="24"/>
          <w:lang w:val="en-GB" w:eastAsia="ro-RO"/>
        </w:rPr>
        <w:t xml:space="preserve"> km of pipelines.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The gas delivery to the distributors and end users is performed by the </w:t>
      </w:r>
      <w:r w:rsidRPr="0037604E">
        <w:rPr>
          <w:rFonts w:asciiTheme="majorHAnsi" w:hAnsiTheme="majorHAnsi"/>
          <w:b/>
          <w:sz w:val="24"/>
          <w:lang w:val="fr-FR"/>
        </w:rPr>
        <w:t>1.24</w:t>
      </w:r>
      <w:r w:rsidRPr="0037604E">
        <w:rPr>
          <w:rFonts w:asciiTheme="majorHAnsi" w:eastAsia="Times New Roman" w:hAnsiTheme="majorHAnsi" w:cs="Times New Roman"/>
          <w:b/>
          <w:sz w:val="24"/>
          <w:szCs w:val="24"/>
          <w:lang w:val="fr-FR" w:eastAsia="ro-RO"/>
        </w:rPr>
        <w:t>4</w:t>
      </w:r>
      <w:r w:rsidRPr="0037604E">
        <w:rPr>
          <w:rFonts w:asciiTheme="majorHAnsi" w:hAnsiTheme="majorHAnsi"/>
          <w:sz w:val="24"/>
          <w:lang w:val="fr-FR"/>
        </w:rPr>
        <w:t xml:space="preserve"> </w:t>
      </w:r>
      <w:r w:rsidRPr="0037604E">
        <w:rPr>
          <w:rFonts w:ascii="Cambria" w:eastAsia="Calibri" w:hAnsi="Cambria" w:cs="Times New Roman"/>
          <w:sz w:val="24"/>
          <w:szCs w:val="24"/>
          <w:lang w:val="en-GB" w:eastAsia="en-US"/>
        </w:rPr>
        <w:t xml:space="preserve">MRSs (metering directions) that are included in the upgrading / rehabilitation programs to be integrated into the SCADA automatic control and monitoring system. Of the </w:t>
      </w:r>
      <w:r w:rsidRPr="0037604E">
        <w:rPr>
          <w:rFonts w:asciiTheme="majorHAnsi" w:hAnsiTheme="majorHAnsi"/>
          <w:sz w:val="24"/>
          <w:lang w:val="fr-FR"/>
        </w:rPr>
        <w:t>1.24</w:t>
      </w:r>
      <w:r w:rsidRPr="0037604E">
        <w:rPr>
          <w:rFonts w:asciiTheme="majorHAnsi" w:eastAsia="Times New Roman" w:hAnsiTheme="majorHAnsi" w:cs="Times New Roman"/>
          <w:sz w:val="24"/>
          <w:szCs w:val="24"/>
          <w:lang w:val="fr-FR" w:eastAsia="ro-RO"/>
        </w:rPr>
        <w:t>4</w:t>
      </w:r>
      <w:r w:rsidRPr="0037604E">
        <w:rPr>
          <w:rFonts w:asciiTheme="majorHAnsi" w:hAnsiTheme="majorHAnsi"/>
          <w:sz w:val="24"/>
          <w:lang w:val="fr-FR"/>
        </w:rPr>
        <w:t xml:space="preserve"> </w:t>
      </w:r>
      <w:r w:rsidRPr="0037604E">
        <w:rPr>
          <w:rFonts w:ascii="Cambria" w:eastAsia="Calibri" w:hAnsi="Cambria" w:cs="Times New Roman"/>
          <w:sz w:val="24"/>
          <w:szCs w:val="24"/>
          <w:lang w:val="en-GB" w:eastAsia="en-US"/>
        </w:rPr>
        <w:t>MRSs (consumption directions) in operation in the first stage, a total of 948 are considered for the implementation of the SCADA system</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i/>
          <w:sz w:val="24"/>
          <w:szCs w:val="24"/>
          <w:lang w:val="en-GB" w:eastAsia="en-US"/>
        </w:rPr>
        <w:t>The compression capability</w:t>
      </w:r>
      <w:r w:rsidRPr="0037604E">
        <w:rPr>
          <w:rFonts w:ascii="Cambria" w:eastAsia="Calibri" w:hAnsi="Cambria" w:cs="Times New Roman"/>
          <w:sz w:val="24"/>
          <w:szCs w:val="24"/>
          <w:lang w:val="en-GB" w:eastAsia="en-US"/>
        </w:rPr>
        <w:t xml:space="preserve"> is provided by </w:t>
      </w:r>
      <w:r w:rsidRPr="0037604E">
        <w:rPr>
          <w:rFonts w:asciiTheme="majorHAnsi" w:eastAsia="Times New Roman" w:hAnsiTheme="majorHAnsi" w:cs="Times New Roman"/>
          <w:sz w:val="24"/>
          <w:szCs w:val="24"/>
          <w:lang w:val="fr-FR" w:eastAsia="ro-RO"/>
        </w:rPr>
        <w:t>3</w:t>
      </w:r>
      <w:r w:rsidRPr="0037604E">
        <w:rPr>
          <w:rFonts w:ascii="Cambria" w:eastAsia="Calibri" w:hAnsi="Cambria" w:cs="Times New Roman"/>
          <w:sz w:val="24"/>
          <w:szCs w:val="24"/>
          <w:lang w:val="en-GB" w:eastAsia="en-US"/>
        </w:rPr>
        <w:t xml:space="preserve"> gas compression stations, placed on the main transmission directions. In 2016 modernization works regaring fix gas detection, flame and fire extinguishing monitory systems</w:t>
      </w:r>
      <w:r w:rsidRPr="0037604E">
        <w:rPr>
          <w:rFonts w:asciiTheme="majorHAnsi" w:eastAsia="Times New Roman" w:hAnsiTheme="majorHAnsi" w:cs="Times New Roman"/>
          <w:sz w:val="24"/>
          <w:szCs w:val="24"/>
          <w:lang w:val="fr-FR" w:eastAsia="ro-RO"/>
        </w:rPr>
        <w:t xml:space="preserve"> </w:t>
      </w:r>
      <w:r w:rsidRPr="0037604E">
        <w:rPr>
          <w:rFonts w:ascii="Cambria" w:eastAsia="Calibri" w:hAnsi="Cambria" w:cs="Times New Roman"/>
          <w:sz w:val="24"/>
          <w:szCs w:val="24"/>
          <w:lang w:val="en-GB" w:eastAsia="en-US"/>
        </w:rPr>
        <w:t>were performed at the Onesti TCS and Silistea TCS.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Silistea station is equipped with installations performed in the 70s which are worn and torn, and modernization/rehabilitation strategies must be considered.</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 xml:space="preserve">Also, scheduled rehabilitation works - technical revisions were carried out for the compression groups as well as repairs of parts with third parties. Checks and calibrations were carried out for the automation systems at all compressor stations.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The </w:t>
      </w:r>
      <w:r w:rsidRPr="0037604E">
        <w:rPr>
          <w:rFonts w:ascii="Cambria" w:eastAsia="Calibri" w:hAnsi="Cambria" w:cs="Times New Roman"/>
          <w:i/>
          <w:sz w:val="24"/>
          <w:szCs w:val="24"/>
          <w:lang w:val="en-GB" w:eastAsia="en-US"/>
        </w:rPr>
        <w:t>gas dispatching</w:t>
      </w:r>
      <w:r w:rsidRPr="0037604E">
        <w:rPr>
          <w:rFonts w:ascii="Cambria" w:eastAsia="Calibri" w:hAnsi="Cambria" w:cs="Times New Roman"/>
          <w:sz w:val="24"/>
          <w:szCs w:val="24"/>
          <w:lang w:val="en-GB" w:eastAsia="en-US"/>
        </w:rPr>
        <w:t xml:space="preserve"> in the NTS is performed by manoeuvres also carried out at the interconnection nodes of the main pipelines. Most nodes are equipped mainly with manually operated manoeuvre valves and equipment for monitoring parameters, most of which are outdated in terms of performance and operation safety. Of the existing technological nodes about 20% are new or rehabilitated. During the including in the SCADA system, the process of modernizing the technological nodes will continue</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i/>
          <w:sz w:val="24"/>
          <w:szCs w:val="24"/>
          <w:lang w:val="en-GB" w:eastAsia="ro-RO"/>
        </w:rPr>
        <w:t>Gas odorization</w:t>
      </w:r>
      <w:r w:rsidRPr="0037604E">
        <w:rPr>
          <w:rFonts w:ascii="Cambria" w:eastAsia="Times New Roman" w:hAnsi="Cambria" w:cs="Times New Roman"/>
          <w:sz w:val="24"/>
          <w:szCs w:val="24"/>
          <w:lang w:val="en-GB" w:eastAsia="ro-RO"/>
        </w:rPr>
        <w:t xml:space="preserve"> is ensured by a number of 871 odorization facilities of which 538 systems are new, by sampling and by injection ensuring an optimal odorization of the transported gas. Of the 538 modern systems, a total of 28 are centralized - serving several delivery points. The other 333 `evaporation/drip` type systems  are systems that cannot provide a continuous and controlled odorization and can lead to situations of under or overodorization and thus to an increased consumption of odorant. Out of these 15 facilities are centralized.</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It should be stressed however that although the infrastructure is quite outdated, the technical condition of the NTS is maintained at an appropriate level due to the fact that the operation is carried out based on a predominantly preventive planned and corrective maintenance system and based on some upgrading programs.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These programs are founded on the Technical Rules on the maintenance of the NTS as they are carried out on a longer period of time due to their high levels</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bookmarkEnd w:id="53"/>
    <w:p w:rsidR="0037604E" w:rsidRPr="0037604E" w:rsidRDefault="0037604E" w:rsidP="0037604E">
      <w:pPr>
        <w:spacing w:after="0" w:line="240" w:lineRule="auto"/>
        <w:ind w:firstLine="0"/>
        <w:rPr>
          <w:rFonts w:ascii="Cambria" w:eastAsia="Times New Roman" w:hAnsi="Cambria" w:cs="Times New Roman"/>
          <w:b/>
          <w:i/>
          <w:sz w:val="24"/>
          <w:szCs w:val="24"/>
          <w:lang w:val="en-GB"/>
        </w:rPr>
      </w:pPr>
      <w:r w:rsidRPr="0037604E">
        <w:rPr>
          <w:rFonts w:ascii="Cambria" w:eastAsia="Times New Roman" w:hAnsi="Cambria" w:cs="Times New Roman"/>
          <w:b/>
          <w:i/>
          <w:sz w:val="24"/>
          <w:szCs w:val="24"/>
          <w:lang w:val="en-GB"/>
        </w:rPr>
        <w:t>Cross-border interconnection points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Currently, the import/export of natural gas to/from Romania is achieved by 5 cross-border interconnection pipelines</w:t>
      </w:r>
      <w:r w:rsidRPr="0037604E">
        <w:rPr>
          <w:rFonts w:ascii="Cambria" w:eastAsia="Times New Roman" w:hAnsi="Cambria" w:cs="Times New Roman"/>
          <w:sz w:val="24"/>
          <w:szCs w:val="24"/>
          <w:lang w:val="en-GB"/>
        </w:rPr>
        <w:t>:</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32"/>
        <w:gridCol w:w="6694"/>
        <w:gridCol w:w="65"/>
      </w:tblGrid>
      <w:tr w:rsidR="0037604E" w:rsidRPr="0037604E" w:rsidTr="0037604E">
        <w:trPr>
          <w:trHeight w:val="266"/>
          <w:tblCellSpacing w:w="20" w:type="dxa"/>
          <w:jc w:val="center"/>
        </w:trPr>
        <w:tc>
          <w:tcPr>
            <w:tcW w:w="8911" w:type="dxa"/>
            <w:gridSpan w:val="3"/>
            <w:shd w:val="clear" w:color="auto" w:fill="D6E0F4"/>
          </w:tcPr>
          <w:p w:rsidR="0037604E" w:rsidRPr="0037604E" w:rsidRDefault="0037604E" w:rsidP="0037604E">
            <w:pPr>
              <w:spacing w:after="0" w:line="240" w:lineRule="auto"/>
              <w:ind w:firstLine="0"/>
              <w:jc w:val="center"/>
              <w:rPr>
                <w:rFonts w:asciiTheme="majorHAnsi" w:hAnsiTheme="majorHAnsi"/>
                <w:b/>
                <w:lang w:val="en-GB"/>
              </w:rPr>
            </w:pPr>
            <w:r w:rsidRPr="0037604E">
              <w:rPr>
                <w:rFonts w:asciiTheme="majorHAnsi" w:hAnsiTheme="majorHAnsi"/>
                <w:b/>
                <w:lang w:val="en-GB"/>
              </w:rPr>
              <w:t>Cross-border interconnection pipeline features</w:t>
            </w:r>
          </w:p>
        </w:tc>
      </w:tr>
      <w:tr w:rsidR="0037604E" w:rsidRPr="0037604E" w:rsidTr="0037604E">
        <w:trPr>
          <w:gridAfter w:val="1"/>
          <w:wAfter w:w="5" w:type="dxa"/>
          <w:trHeight w:val="280"/>
          <w:tblCellSpacing w:w="20" w:type="dxa"/>
          <w:jc w:val="center"/>
        </w:trPr>
        <w:tc>
          <w:tcPr>
            <w:tcW w:w="2172" w:type="dxa"/>
            <w:vMerge w:val="restart"/>
          </w:tcPr>
          <w:p w:rsidR="0037604E" w:rsidRPr="0037604E" w:rsidRDefault="0037604E" w:rsidP="0037604E">
            <w:pPr>
              <w:spacing w:after="0" w:line="240" w:lineRule="auto"/>
              <w:ind w:firstLine="0"/>
              <w:jc w:val="both"/>
              <w:rPr>
                <w:rFonts w:asciiTheme="majorHAnsi" w:hAnsiTheme="majorHAnsi"/>
                <w:sz w:val="18"/>
                <w:lang w:val="en-GB"/>
              </w:rPr>
            </w:pPr>
            <w:r w:rsidRPr="0037604E">
              <w:rPr>
                <w:rFonts w:asciiTheme="majorHAnsi" w:hAnsiTheme="majorHAnsi"/>
                <w:b/>
                <w:sz w:val="18"/>
                <w:lang w:val="en-GB"/>
              </w:rPr>
              <w:t>UKRAINE</w:t>
            </w:r>
          </w:p>
        </w:tc>
        <w:tc>
          <w:tcPr>
            <w:tcW w:w="6654" w:type="dxa"/>
          </w:tcPr>
          <w:p w:rsidR="0037604E" w:rsidRPr="0037604E" w:rsidRDefault="0037604E" w:rsidP="0037604E">
            <w:pPr>
              <w:spacing w:after="0" w:line="240" w:lineRule="auto"/>
              <w:ind w:firstLine="0"/>
              <w:jc w:val="both"/>
              <w:rPr>
                <w:rFonts w:asciiTheme="majorHAnsi" w:hAnsiTheme="majorHAnsi"/>
                <w:sz w:val="18"/>
                <w:lang w:val="en-GB"/>
              </w:rPr>
            </w:pPr>
            <w:r w:rsidRPr="0037604E">
              <w:rPr>
                <w:rFonts w:asciiTheme="majorHAnsi" w:hAnsiTheme="majorHAnsi"/>
                <w:b/>
                <w:sz w:val="18"/>
                <w:lang w:val="en-GB"/>
              </w:rPr>
              <w:t>Orlovka (UA) – Isaccea (RO)</w:t>
            </w:r>
            <w:r w:rsidRPr="0037604E">
              <w:rPr>
                <w:rFonts w:asciiTheme="majorHAnsi" w:hAnsiTheme="majorHAnsi"/>
                <w:sz w:val="18"/>
                <w:lang w:val="en-GB"/>
              </w:rPr>
              <w:t xml:space="preserve"> - DN 1000,  Capacity = 8.6 bcm/year, P</w:t>
            </w:r>
            <w:r w:rsidRPr="0037604E">
              <w:rPr>
                <w:rFonts w:asciiTheme="majorHAnsi" w:hAnsiTheme="majorHAnsi"/>
                <w:sz w:val="18"/>
                <w:vertAlign w:val="subscript"/>
                <w:lang w:val="en-GB"/>
              </w:rPr>
              <w:t xml:space="preserve">max </w:t>
            </w:r>
            <w:r w:rsidRPr="0037604E">
              <w:rPr>
                <w:rFonts w:asciiTheme="majorHAnsi" w:hAnsiTheme="majorHAnsi"/>
                <w:sz w:val="18"/>
                <w:lang w:val="en-GB"/>
              </w:rPr>
              <w:t>= 55 bar</w:t>
            </w:r>
          </w:p>
        </w:tc>
      </w:tr>
      <w:tr w:rsidR="0037604E" w:rsidRPr="0037604E" w:rsidTr="0037604E">
        <w:trPr>
          <w:gridAfter w:val="1"/>
          <w:wAfter w:w="5" w:type="dxa"/>
          <w:trHeight w:val="280"/>
          <w:tblCellSpacing w:w="20" w:type="dxa"/>
          <w:jc w:val="center"/>
        </w:trPr>
        <w:tc>
          <w:tcPr>
            <w:tcW w:w="2172" w:type="dxa"/>
            <w:vMerge/>
          </w:tcPr>
          <w:p w:rsidR="0037604E" w:rsidRPr="0037604E" w:rsidRDefault="0037604E" w:rsidP="0037604E">
            <w:pPr>
              <w:spacing w:after="0" w:line="240" w:lineRule="auto"/>
              <w:ind w:firstLine="0"/>
              <w:jc w:val="both"/>
              <w:rPr>
                <w:rFonts w:asciiTheme="majorHAnsi" w:hAnsiTheme="majorHAnsi"/>
                <w:b/>
                <w:sz w:val="18"/>
                <w:lang w:val="en-GB"/>
              </w:rPr>
            </w:pPr>
          </w:p>
        </w:tc>
        <w:tc>
          <w:tcPr>
            <w:tcW w:w="6654" w:type="dxa"/>
          </w:tcPr>
          <w:p w:rsidR="0037604E" w:rsidRPr="0037604E" w:rsidRDefault="0037604E" w:rsidP="0037604E">
            <w:pPr>
              <w:spacing w:after="0" w:line="240" w:lineRule="auto"/>
              <w:ind w:right="-129" w:hanging="53"/>
              <w:jc w:val="both"/>
              <w:rPr>
                <w:rFonts w:asciiTheme="majorHAnsi" w:hAnsiTheme="majorHAnsi"/>
                <w:sz w:val="18"/>
                <w:lang w:val="en-GB"/>
              </w:rPr>
            </w:pPr>
            <w:r w:rsidRPr="0037604E">
              <w:rPr>
                <w:rFonts w:asciiTheme="majorHAnsi" w:hAnsiTheme="majorHAnsi"/>
                <w:b/>
                <w:sz w:val="18"/>
                <w:lang w:val="en-GB"/>
              </w:rPr>
              <w:t xml:space="preserve">Tekovo (UA) – Medieşu Aurit (RO) </w:t>
            </w:r>
            <w:r w:rsidRPr="0037604E">
              <w:rPr>
                <w:rFonts w:asciiTheme="majorHAnsi" w:hAnsiTheme="majorHAnsi"/>
                <w:sz w:val="18"/>
                <w:lang w:val="en-GB"/>
              </w:rPr>
              <w:t>- DN 700, Capacity = 4.0 bcm/year, P</w:t>
            </w:r>
            <w:r w:rsidRPr="0037604E">
              <w:rPr>
                <w:rFonts w:asciiTheme="majorHAnsi" w:hAnsiTheme="majorHAnsi"/>
                <w:sz w:val="18"/>
                <w:vertAlign w:val="subscript"/>
                <w:lang w:val="en-GB"/>
              </w:rPr>
              <w:t>max</w:t>
            </w:r>
            <w:r w:rsidRPr="0037604E">
              <w:rPr>
                <w:rFonts w:asciiTheme="majorHAnsi" w:hAnsiTheme="majorHAnsi"/>
                <w:sz w:val="18"/>
                <w:lang w:val="en-GB"/>
              </w:rPr>
              <w:t xml:space="preserve"> = 70 bar                                                                                 </w:t>
            </w:r>
          </w:p>
        </w:tc>
      </w:tr>
      <w:tr w:rsidR="0037604E" w:rsidRPr="0037604E" w:rsidTr="0037604E">
        <w:trPr>
          <w:gridAfter w:val="1"/>
          <w:wAfter w:w="5" w:type="dxa"/>
          <w:trHeight w:val="280"/>
          <w:tblCellSpacing w:w="20" w:type="dxa"/>
          <w:jc w:val="center"/>
        </w:trPr>
        <w:tc>
          <w:tcPr>
            <w:tcW w:w="2172" w:type="dxa"/>
          </w:tcPr>
          <w:p w:rsidR="0037604E" w:rsidRPr="0037604E" w:rsidRDefault="0037604E" w:rsidP="0037604E">
            <w:pPr>
              <w:spacing w:after="0" w:line="240" w:lineRule="auto"/>
              <w:ind w:firstLine="0"/>
              <w:jc w:val="both"/>
              <w:rPr>
                <w:rFonts w:asciiTheme="majorHAnsi" w:hAnsiTheme="majorHAnsi"/>
                <w:b/>
                <w:sz w:val="18"/>
                <w:lang w:val="en-GB"/>
              </w:rPr>
            </w:pPr>
            <w:r w:rsidRPr="0037604E">
              <w:rPr>
                <w:rFonts w:asciiTheme="majorHAnsi" w:hAnsiTheme="majorHAnsi"/>
                <w:b/>
                <w:sz w:val="18"/>
                <w:lang w:val="en-GB"/>
              </w:rPr>
              <w:t>HUNGARY</w:t>
            </w:r>
          </w:p>
        </w:tc>
        <w:tc>
          <w:tcPr>
            <w:tcW w:w="6654" w:type="dxa"/>
          </w:tcPr>
          <w:p w:rsidR="0037604E" w:rsidRPr="0037604E" w:rsidRDefault="0037604E" w:rsidP="0037604E">
            <w:pPr>
              <w:spacing w:after="0" w:line="240" w:lineRule="auto"/>
              <w:ind w:firstLine="0"/>
              <w:jc w:val="both"/>
              <w:rPr>
                <w:rFonts w:asciiTheme="majorHAnsi" w:eastAsia="Calibri" w:hAnsiTheme="majorHAnsi" w:cs="DokChampa"/>
                <w:bCs/>
                <w:sz w:val="18"/>
                <w:szCs w:val="18"/>
                <w:lang w:eastAsia="en-US"/>
              </w:rPr>
            </w:pPr>
            <w:r w:rsidRPr="0037604E">
              <w:rPr>
                <w:rFonts w:asciiTheme="majorHAnsi" w:eastAsia="Calibri" w:hAnsiTheme="majorHAnsi" w:cs="DokChampa"/>
                <w:b/>
                <w:sz w:val="18"/>
                <w:szCs w:val="18"/>
                <w:lang w:val="da-DK" w:eastAsia="en-US"/>
              </w:rPr>
              <w:t>Szeged (HU) – Arad(RO)- Csanadpalota-</w:t>
            </w:r>
            <w:r w:rsidRPr="0037604E">
              <w:rPr>
                <w:rFonts w:asciiTheme="majorHAnsi" w:eastAsia="Calibri" w:hAnsiTheme="majorHAnsi" w:cs="DokChampa"/>
                <w:sz w:val="18"/>
                <w:szCs w:val="18"/>
                <w:lang w:eastAsia="en-US"/>
              </w:rPr>
              <w:t xml:space="preserve">DN 700, Capacity = 1.75 bmc/an, </w:t>
            </w:r>
            <w:r w:rsidRPr="0037604E">
              <w:rPr>
                <w:rFonts w:asciiTheme="majorHAnsi" w:eastAsia="Calibri" w:hAnsiTheme="majorHAnsi" w:cs="DokChampa"/>
                <w:bCs/>
                <w:sz w:val="18"/>
                <w:szCs w:val="18"/>
                <w:lang w:eastAsia="en-US"/>
              </w:rPr>
              <w:t>P</w:t>
            </w:r>
            <w:r w:rsidRPr="0037604E">
              <w:rPr>
                <w:rFonts w:asciiTheme="majorHAnsi" w:eastAsia="Calibri" w:hAnsiTheme="majorHAnsi" w:cs="DokChampa"/>
                <w:bCs/>
                <w:sz w:val="18"/>
                <w:szCs w:val="18"/>
                <w:vertAlign w:val="subscript"/>
                <w:lang w:eastAsia="en-US"/>
              </w:rPr>
              <w:t>max</w:t>
            </w:r>
            <w:r w:rsidRPr="0037604E">
              <w:rPr>
                <w:rFonts w:asciiTheme="majorHAnsi" w:eastAsia="Calibri" w:hAnsiTheme="majorHAnsi" w:cs="DokChampa"/>
                <w:bCs/>
                <w:sz w:val="18"/>
                <w:szCs w:val="18"/>
                <w:lang w:eastAsia="en-US"/>
              </w:rPr>
              <w:t xml:space="preserve"> = 63 bar</w:t>
            </w:r>
          </w:p>
        </w:tc>
      </w:tr>
      <w:tr w:rsidR="0037604E" w:rsidRPr="0037604E" w:rsidTr="0037604E">
        <w:trPr>
          <w:gridAfter w:val="1"/>
          <w:wAfter w:w="5" w:type="dxa"/>
          <w:trHeight w:val="280"/>
          <w:tblCellSpacing w:w="20" w:type="dxa"/>
          <w:jc w:val="center"/>
        </w:trPr>
        <w:tc>
          <w:tcPr>
            <w:tcW w:w="2172" w:type="dxa"/>
          </w:tcPr>
          <w:p w:rsidR="0037604E" w:rsidRPr="0037604E" w:rsidRDefault="0037604E" w:rsidP="0037604E">
            <w:pPr>
              <w:tabs>
                <w:tab w:val="left" w:pos="2339"/>
              </w:tabs>
              <w:spacing w:after="0" w:line="240" w:lineRule="auto"/>
              <w:ind w:right="-143" w:firstLine="0"/>
              <w:jc w:val="both"/>
              <w:rPr>
                <w:rFonts w:asciiTheme="majorHAnsi" w:hAnsiTheme="majorHAnsi"/>
                <w:b/>
                <w:sz w:val="18"/>
                <w:lang w:val="en-GB"/>
              </w:rPr>
            </w:pPr>
            <w:r w:rsidRPr="0037604E">
              <w:rPr>
                <w:rFonts w:asciiTheme="majorHAnsi" w:hAnsiTheme="majorHAnsi"/>
                <w:b/>
                <w:sz w:val="18"/>
                <w:lang w:val="en-GB"/>
              </w:rPr>
              <w:t>REPUBLIC OF MOLDOVA</w:t>
            </w:r>
          </w:p>
        </w:tc>
        <w:tc>
          <w:tcPr>
            <w:tcW w:w="6654" w:type="dxa"/>
          </w:tcPr>
          <w:p w:rsidR="0037604E" w:rsidRPr="0037604E" w:rsidRDefault="0037604E" w:rsidP="0037604E">
            <w:pPr>
              <w:spacing w:after="0" w:line="240" w:lineRule="auto"/>
              <w:ind w:firstLine="0"/>
              <w:jc w:val="both"/>
              <w:rPr>
                <w:rFonts w:asciiTheme="majorHAnsi" w:eastAsia="Calibri" w:hAnsiTheme="majorHAnsi" w:cs="DokChampa"/>
                <w:bCs/>
                <w:sz w:val="18"/>
                <w:szCs w:val="18"/>
                <w:lang w:val="da-DK" w:eastAsia="en-US"/>
              </w:rPr>
            </w:pPr>
            <w:r w:rsidRPr="0037604E">
              <w:rPr>
                <w:rFonts w:asciiTheme="majorHAnsi" w:eastAsia="Calibri" w:hAnsiTheme="majorHAnsi" w:cs="DokChampa"/>
                <w:b/>
                <w:sz w:val="18"/>
                <w:szCs w:val="18"/>
                <w:lang w:val="da-DK" w:eastAsia="en-US"/>
              </w:rPr>
              <w:t xml:space="preserve">Ungheni (MO) – Iași (RO) - </w:t>
            </w:r>
            <w:r w:rsidRPr="0037604E">
              <w:rPr>
                <w:rFonts w:asciiTheme="majorHAnsi" w:eastAsia="Calibri" w:hAnsiTheme="majorHAnsi" w:cs="DokChampa"/>
                <w:bCs/>
                <w:sz w:val="18"/>
                <w:szCs w:val="18"/>
                <w:lang w:val="da-DK" w:eastAsia="en-US"/>
              </w:rPr>
              <w:t xml:space="preserve">DN 500, Capacity = 1.5 bmc/an, </w:t>
            </w:r>
            <w:r w:rsidRPr="0037604E">
              <w:rPr>
                <w:rFonts w:asciiTheme="majorHAnsi" w:eastAsia="Calibri" w:hAnsiTheme="majorHAnsi" w:cs="DokChampa"/>
                <w:bCs/>
                <w:sz w:val="18"/>
                <w:szCs w:val="18"/>
                <w:lang w:eastAsia="en-US"/>
              </w:rPr>
              <w:t>P</w:t>
            </w:r>
            <w:r w:rsidRPr="0037604E">
              <w:rPr>
                <w:rFonts w:asciiTheme="majorHAnsi" w:eastAsia="Calibri" w:hAnsiTheme="majorHAnsi" w:cs="DokChampa"/>
                <w:bCs/>
                <w:sz w:val="18"/>
                <w:szCs w:val="18"/>
                <w:vertAlign w:val="subscript"/>
                <w:lang w:eastAsia="en-US"/>
              </w:rPr>
              <w:t>max</w:t>
            </w:r>
            <w:r w:rsidRPr="0037604E">
              <w:rPr>
                <w:rFonts w:asciiTheme="majorHAnsi" w:eastAsia="Calibri" w:hAnsiTheme="majorHAnsi" w:cs="DokChampa"/>
                <w:bCs/>
                <w:sz w:val="18"/>
                <w:szCs w:val="18"/>
                <w:lang w:val="da-DK" w:eastAsia="en-US"/>
              </w:rPr>
              <w:t xml:space="preserve"> = 50 bar</w:t>
            </w:r>
          </w:p>
        </w:tc>
      </w:tr>
      <w:tr w:rsidR="0037604E" w:rsidRPr="0037604E" w:rsidTr="0037604E">
        <w:trPr>
          <w:gridAfter w:val="1"/>
          <w:wAfter w:w="5" w:type="dxa"/>
          <w:trHeight w:val="280"/>
          <w:tblCellSpacing w:w="20" w:type="dxa"/>
          <w:jc w:val="center"/>
        </w:trPr>
        <w:tc>
          <w:tcPr>
            <w:tcW w:w="2172" w:type="dxa"/>
          </w:tcPr>
          <w:p w:rsidR="0037604E" w:rsidRPr="0037604E" w:rsidRDefault="0037604E" w:rsidP="0037604E">
            <w:pPr>
              <w:spacing w:after="0" w:line="240" w:lineRule="auto"/>
              <w:ind w:firstLine="0"/>
              <w:jc w:val="both"/>
              <w:rPr>
                <w:rFonts w:asciiTheme="majorHAnsi" w:hAnsiTheme="majorHAnsi"/>
                <w:b/>
                <w:sz w:val="18"/>
                <w:lang w:val="en-GB"/>
              </w:rPr>
            </w:pPr>
            <w:r w:rsidRPr="0037604E">
              <w:rPr>
                <w:rFonts w:asciiTheme="majorHAnsi" w:hAnsiTheme="majorHAnsi"/>
                <w:b/>
                <w:sz w:val="18"/>
                <w:lang w:val="en-GB"/>
              </w:rPr>
              <w:t>BULGARIA</w:t>
            </w:r>
          </w:p>
        </w:tc>
        <w:tc>
          <w:tcPr>
            <w:tcW w:w="6654" w:type="dxa"/>
          </w:tcPr>
          <w:p w:rsidR="0037604E" w:rsidRPr="0037604E" w:rsidRDefault="0037604E" w:rsidP="0037604E">
            <w:pPr>
              <w:spacing w:after="0" w:line="240" w:lineRule="auto"/>
              <w:ind w:firstLine="0"/>
              <w:jc w:val="both"/>
              <w:rPr>
                <w:rFonts w:asciiTheme="majorHAnsi" w:eastAsia="Calibri" w:hAnsiTheme="majorHAnsi" w:cs="DokChampa"/>
                <w:b/>
                <w:sz w:val="18"/>
                <w:szCs w:val="18"/>
                <w:lang w:val="da-DK" w:eastAsia="en-US"/>
              </w:rPr>
            </w:pPr>
            <w:r w:rsidRPr="0037604E">
              <w:rPr>
                <w:rFonts w:asciiTheme="majorHAnsi" w:eastAsia="Calibri" w:hAnsiTheme="majorHAnsi" w:cs="DokChampa"/>
                <w:b/>
                <w:sz w:val="18"/>
                <w:szCs w:val="18"/>
                <w:lang w:val="da-DK" w:eastAsia="en-US"/>
              </w:rPr>
              <w:t xml:space="preserve">Ruse (BG) – Giurgiu (RO) - </w:t>
            </w:r>
            <w:r w:rsidRPr="0037604E">
              <w:rPr>
                <w:rFonts w:asciiTheme="majorHAnsi" w:eastAsia="Calibri" w:hAnsiTheme="majorHAnsi" w:cs="DokChampa"/>
                <w:bCs/>
                <w:sz w:val="18"/>
                <w:szCs w:val="18"/>
                <w:lang w:val="da-DK" w:eastAsia="en-US"/>
              </w:rPr>
              <w:t xml:space="preserve">DN 500, Capacitate = 1.5 mld.mc/an, </w:t>
            </w:r>
            <w:r w:rsidRPr="0037604E">
              <w:rPr>
                <w:rFonts w:asciiTheme="majorHAnsi" w:eastAsia="Calibri" w:hAnsiTheme="majorHAnsi" w:cs="DokChampa"/>
                <w:bCs/>
                <w:sz w:val="18"/>
                <w:szCs w:val="18"/>
                <w:lang w:eastAsia="en-US"/>
              </w:rPr>
              <w:t>P</w:t>
            </w:r>
            <w:r w:rsidRPr="0037604E">
              <w:rPr>
                <w:rFonts w:asciiTheme="majorHAnsi" w:eastAsia="Calibri" w:hAnsiTheme="majorHAnsi" w:cs="DokChampa"/>
                <w:bCs/>
                <w:sz w:val="18"/>
                <w:szCs w:val="18"/>
                <w:vertAlign w:val="subscript"/>
                <w:lang w:eastAsia="en-US"/>
              </w:rPr>
              <w:t>max</w:t>
            </w:r>
            <w:r w:rsidRPr="0037604E">
              <w:rPr>
                <w:rFonts w:asciiTheme="majorHAnsi" w:eastAsia="Calibri" w:hAnsiTheme="majorHAnsi" w:cs="DokChampa"/>
                <w:bCs/>
                <w:sz w:val="18"/>
                <w:szCs w:val="18"/>
                <w:lang w:val="da-DK" w:eastAsia="en-US"/>
              </w:rPr>
              <w:t xml:space="preserve"> = 40 bar</w:t>
            </w:r>
          </w:p>
        </w:tc>
      </w:tr>
    </w:tbl>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noProof/>
          <w:sz w:val="24"/>
          <w:szCs w:val="24"/>
          <w:lang w:val="ro-RO" w:eastAsia="ro-RO"/>
        </w:rPr>
        <w:lastRenderedPageBreak/>
        <w:drawing>
          <wp:anchor distT="0" distB="0" distL="114300" distR="114300" simplePos="0" relativeHeight="251962368" behindDoc="0" locked="0" layoutInCell="1" allowOverlap="1" wp14:anchorId="7741860F" wp14:editId="27C0E077">
            <wp:simplePos x="0" y="0"/>
            <wp:positionH relativeFrom="column">
              <wp:posOffset>600075</wp:posOffset>
            </wp:positionH>
            <wp:positionV relativeFrom="paragraph">
              <wp:posOffset>149860</wp:posOffset>
            </wp:positionV>
            <wp:extent cx="4782185" cy="3352800"/>
            <wp:effectExtent l="0" t="0" r="0" b="0"/>
            <wp:wrapSquare wrapText="bothSides"/>
            <wp:docPr id="87" name="Picture 87" descr="D:\Analiza_Sistem\An_2014\Plan_Dezvoltare\Figuri\Fig.pag.12-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aliza_Sistem\An_2014\Plan_Dezvoltare\Figuri\Fig.pag.12-SN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82185"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37604E" w:rsidP="0037604E">
      <w:pPr>
        <w:jc w:val="center"/>
        <w:rPr>
          <w:rFonts w:ascii="Cambria" w:eastAsia="Times New Roman" w:hAnsi="Cambria" w:cs="Times New Roman"/>
          <w:b/>
          <w:i/>
          <w:sz w:val="16"/>
          <w:szCs w:val="16"/>
          <w:lang w:val="en-GB"/>
        </w:rPr>
      </w:pPr>
    </w:p>
    <w:p w:rsidR="0037604E" w:rsidRPr="0037604E" w:rsidRDefault="00F47A26" w:rsidP="0037604E">
      <w:pPr>
        <w:jc w:val="center"/>
        <w:rPr>
          <w:rFonts w:ascii="Cambria" w:eastAsia="Times New Roman" w:hAnsi="Cambria" w:cs="Times New Roman"/>
          <w:b/>
          <w:i/>
          <w:sz w:val="16"/>
          <w:szCs w:val="16"/>
          <w:lang w:val="en-GB"/>
        </w:rPr>
      </w:pPr>
      <w:r>
        <w:rPr>
          <w:rFonts w:ascii="Cambria" w:eastAsia="Times New Roman" w:hAnsi="Cambria" w:cs="Times New Roman"/>
          <w:b/>
          <w:i/>
          <w:sz w:val="16"/>
          <w:szCs w:val="16"/>
          <w:lang w:val="en-GB"/>
        </w:rPr>
        <w:t xml:space="preserve">Fig. 4 </w:t>
      </w:r>
      <w:r w:rsidR="0037604E" w:rsidRPr="0037604E">
        <w:rPr>
          <w:rFonts w:ascii="Cambria" w:eastAsia="Times New Roman" w:hAnsi="Cambria" w:cs="Times New Roman"/>
          <w:b/>
          <w:i/>
          <w:sz w:val="16"/>
          <w:szCs w:val="16"/>
          <w:lang w:val="en-GB"/>
        </w:rPr>
        <w:t>– Cross-border interconnection po</w:t>
      </w:r>
      <w:bookmarkStart w:id="54" w:name="_Toc414263635"/>
      <w:r w:rsidR="0037604E" w:rsidRPr="0037604E">
        <w:rPr>
          <w:rFonts w:ascii="Cambria" w:eastAsia="Times New Roman" w:hAnsi="Cambria" w:cs="Times New Roman"/>
          <w:b/>
          <w:i/>
          <w:sz w:val="16"/>
          <w:szCs w:val="16"/>
          <w:lang w:val="en-GB"/>
        </w:rPr>
        <w:t>ints of the NTS</w:t>
      </w:r>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rPr>
      </w:pPr>
      <w:bookmarkStart w:id="55" w:name="_Toc446310833"/>
      <w:r w:rsidRPr="0037604E">
        <w:rPr>
          <w:rFonts w:asciiTheme="majorHAnsi" w:eastAsia="Times New Roman" w:hAnsiTheme="majorHAnsi" w:cstheme="majorBidi"/>
          <w:b/>
          <w:bCs/>
          <w:i/>
          <w:iCs/>
          <w:sz w:val="26"/>
          <w:szCs w:val="26"/>
          <w:lang w:val="en-GB"/>
        </w:rPr>
        <w:t>3.2.2 Investments made in 2016 versus Investments planned in 201</w:t>
      </w:r>
      <w:bookmarkEnd w:id="54"/>
      <w:bookmarkEnd w:id="55"/>
      <w:r w:rsidRPr="0037604E">
        <w:rPr>
          <w:rFonts w:asciiTheme="majorHAnsi" w:eastAsia="Times New Roman" w:hAnsiTheme="majorHAnsi" w:cstheme="majorBidi"/>
          <w:b/>
          <w:bCs/>
          <w:i/>
          <w:iCs/>
          <w:sz w:val="26"/>
          <w:szCs w:val="26"/>
          <w:lang w:val="en-GB"/>
        </w:rPr>
        <w:t>6</w:t>
      </w:r>
    </w:p>
    <w:p w:rsidR="0037604E" w:rsidRPr="0037604E" w:rsidRDefault="0037604E" w:rsidP="0037604E">
      <w:pPr>
        <w:spacing w:after="0" w:line="240" w:lineRule="auto"/>
        <w:ind w:firstLine="0"/>
        <w:jc w:val="both"/>
        <w:rPr>
          <w:rFonts w:ascii="Cambria" w:eastAsia="Times New Roman" w:hAnsi="Cambria" w:cs="Times New Roman"/>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Compared to the estimated value of the Investment Development and Upgrading Plan for 2016 of </w:t>
      </w:r>
      <w:r w:rsidRPr="0037604E">
        <w:rPr>
          <w:rFonts w:ascii="Cambria" w:eastAsia="Calibri" w:hAnsi="Cambria" w:cs="Times New Roman"/>
          <w:b/>
          <w:sz w:val="24"/>
          <w:szCs w:val="24"/>
          <w:lang w:val="en-GB" w:eastAsia="en-US"/>
        </w:rPr>
        <w:t>RON</w:t>
      </w:r>
      <w:r w:rsidRPr="0037604E">
        <w:rPr>
          <w:rFonts w:ascii="Cambria" w:eastAsia="Calibri" w:hAnsi="Cambria" w:cs="Times New Roman"/>
          <w:sz w:val="24"/>
          <w:szCs w:val="24"/>
          <w:lang w:val="en-GB" w:eastAsia="en-US"/>
        </w:rPr>
        <w:t xml:space="preserve"> </w:t>
      </w:r>
      <w:r w:rsidRPr="0037604E">
        <w:rPr>
          <w:rFonts w:asciiTheme="majorHAnsi" w:hAnsiTheme="majorHAnsi"/>
          <w:b/>
          <w:bCs/>
          <w:sz w:val="24"/>
          <w:szCs w:val="24"/>
        </w:rPr>
        <w:t xml:space="preserve">721.902 </w:t>
      </w:r>
      <w:r w:rsidRPr="0037604E">
        <w:rPr>
          <w:rFonts w:ascii="Cambria" w:eastAsia="Calibri" w:hAnsi="Cambria" w:cs="Times New Roman"/>
          <w:b/>
          <w:sz w:val="24"/>
          <w:szCs w:val="24"/>
          <w:lang w:val="en-GB" w:eastAsia="en-US"/>
        </w:rPr>
        <w:t>thousand</w:t>
      </w:r>
      <w:r w:rsidRPr="0037604E">
        <w:rPr>
          <w:rFonts w:ascii="Cambria" w:eastAsia="Calibri" w:hAnsi="Cambria" w:cs="Times New Roman"/>
          <w:sz w:val="24"/>
          <w:szCs w:val="24"/>
          <w:lang w:val="en-GB" w:eastAsia="en-US"/>
        </w:rPr>
        <w:t xml:space="preserve">, the total value of the achievements for 2016 is </w:t>
      </w:r>
      <w:r w:rsidRPr="0037604E">
        <w:rPr>
          <w:rFonts w:ascii="Cambria" w:eastAsia="Calibri" w:hAnsi="Cambria" w:cs="Times New Roman"/>
          <w:b/>
          <w:sz w:val="24"/>
          <w:szCs w:val="24"/>
          <w:lang w:val="en-GB" w:eastAsia="en-US"/>
        </w:rPr>
        <w:t>RON</w:t>
      </w:r>
      <w:r w:rsidRPr="0037604E">
        <w:rPr>
          <w:rFonts w:ascii="Cambria" w:eastAsia="Calibri" w:hAnsi="Cambria" w:cs="Times New Roman"/>
          <w:sz w:val="24"/>
          <w:szCs w:val="24"/>
          <w:lang w:val="en-GB" w:eastAsia="en-US"/>
        </w:rPr>
        <w:t xml:space="preserve"> </w:t>
      </w:r>
      <w:r w:rsidRPr="0037604E">
        <w:rPr>
          <w:rFonts w:asciiTheme="majorHAnsi" w:hAnsiTheme="majorHAnsi"/>
          <w:b/>
          <w:bCs/>
          <w:sz w:val="24"/>
          <w:szCs w:val="24"/>
        </w:rPr>
        <w:t xml:space="preserve">119.822 </w:t>
      </w:r>
      <w:r w:rsidRPr="0037604E">
        <w:rPr>
          <w:rFonts w:ascii="Cambria" w:eastAsia="Calibri" w:hAnsi="Cambria" w:cs="Times New Roman"/>
          <w:b/>
          <w:sz w:val="24"/>
          <w:szCs w:val="24"/>
          <w:lang w:val="en-GB" w:eastAsia="en-US"/>
        </w:rPr>
        <w:t>thousand</w:t>
      </w:r>
      <w:r w:rsidRPr="0037604E">
        <w:rPr>
          <w:rFonts w:ascii="Cambria" w:eastAsia="Calibri" w:hAnsi="Cambria" w:cs="Times New Roman"/>
          <w:sz w:val="24"/>
          <w:szCs w:val="24"/>
          <w:lang w:val="en-GB" w:eastAsia="en-US"/>
        </w:rPr>
        <w:t xml:space="preserve">, which is a fulfilment of the program at a rate of </w:t>
      </w:r>
      <w:r w:rsidRPr="0037604E">
        <w:rPr>
          <w:rFonts w:asciiTheme="majorHAnsi" w:hAnsiTheme="majorHAnsi"/>
          <w:b/>
          <w:bCs/>
          <w:sz w:val="24"/>
          <w:szCs w:val="24"/>
        </w:rPr>
        <w:t>16,60%.</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The status of the achievements related to the ongoing objectives of the Development and Upgrading Plan at the end of 2016 is as follows</w:t>
      </w:r>
      <w:r w:rsidRPr="0037604E">
        <w:rPr>
          <w:rFonts w:ascii="Cambria" w:eastAsia="Times New Roman" w:hAnsi="Cambria" w:cs="Times New Roman"/>
          <w:sz w:val="24"/>
          <w:szCs w:val="24"/>
          <w:lang w:val="en-GB"/>
        </w:rPr>
        <w:t xml:space="preserve">: </w:t>
      </w:r>
    </w:p>
    <w:tbl>
      <w:tblPr>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9021"/>
      </w:tblGrid>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Modernization of the fixed gas and flame detection system and fire extinction at Siliștea TCS and Onești TCS</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works are completed and accepted.</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Modernization and automation of the technological nodes</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The status of the works for the 19 technological nodes included in Annex 1 of which at the </w:t>
            </w:r>
            <w:r w:rsidRPr="0037604E">
              <w:rPr>
                <w:rFonts w:asciiTheme="majorHAnsi" w:eastAsia="Times New Roman" w:hAnsiTheme="majorHAnsi" w:cs="Arial"/>
                <w:sz w:val="24"/>
                <w:szCs w:val="24"/>
                <w:lang w:val="ro-RO" w:eastAsia="ro-RO"/>
              </w:rPr>
              <w:t xml:space="preserve">Moisica TN are executed both technological installation modernization works and facility automation and surveilance electrical installations </w:t>
            </w:r>
            <w:r w:rsidRPr="0037604E">
              <w:rPr>
                <w:rFonts w:asciiTheme="majorHAnsi" w:hAnsiTheme="majorHAnsi" w:cs="Arial"/>
                <w:sz w:val="24"/>
                <w:szCs w:val="24"/>
                <w:lang w:val="en-GB"/>
              </w:rPr>
              <w:t>as follows:</w:t>
            </w:r>
          </w:p>
          <w:p w:rsidR="0037604E" w:rsidRPr="0037604E" w:rsidRDefault="0037604E" w:rsidP="00FA6EB9">
            <w:pPr>
              <w:numPr>
                <w:ilvl w:val="0"/>
                <w:numId w:val="68"/>
              </w:numPr>
              <w:spacing w:after="0" w:line="240" w:lineRule="auto"/>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6 technological nodes were completed </w:t>
            </w:r>
            <w:r w:rsidRPr="0037604E">
              <w:rPr>
                <w:rFonts w:asciiTheme="majorHAnsi" w:eastAsia="Times New Roman" w:hAnsiTheme="majorHAnsi" w:cs="Arial"/>
                <w:sz w:val="24"/>
                <w:szCs w:val="24"/>
                <w:lang w:val="ro-RO" w:eastAsia="ro-RO"/>
              </w:rPr>
              <w:t>(Gherăiești, Schitu Golești, Horea, Dealu Frumos, Jugureanu and technological instalations in Moisica);</w:t>
            </w:r>
          </w:p>
          <w:p w:rsidR="0037604E" w:rsidRPr="0037604E" w:rsidRDefault="0037604E" w:rsidP="00FA6EB9">
            <w:pPr>
              <w:numPr>
                <w:ilvl w:val="0"/>
                <w:numId w:val="68"/>
              </w:numPr>
              <w:spacing w:after="0" w:line="240" w:lineRule="auto"/>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4 technological nodes are in  execution </w:t>
            </w:r>
            <w:r w:rsidRPr="0037604E">
              <w:rPr>
                <w:rFonts w:asciiTheme="majorHAnsi" w:eastAsia="Times New Roman" w:hAnsiTheme="majorHAnsi" w:cs="Arial"/>
                <w:sz w:val="24"/>
                <w:szCs w:val="24"/>
                <w:lang w:val="ro-RO" w:eastAsia="ro-RO"/>
              </w:rPr>
              <w:t>(Mănești and facility electrical actuation, automation and surveillance installations at Moșu, Ceanu Mare and Sâmbotin);</w:t>
            </w:r>
          </w:p>
          <w:p w:rsidR="0037604E" w:rsidRPr="0037604E" w:rsidRDefault="0037604E" w:rsidP="00FA6EB9">
            <w:pPr>
              <w:numPr>
                <w:ilvl w:val="0"/>
                <w:numId w:val="68"/>
              </w:numPr>
              <w:spacing w:after="0" w:line="240" w:lineRule="auto"/>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2 tehnological nodes  are suspended for lacking </w:t>
            </w:r>
            <w:r w:rsidRPr="0037604E">
              <w:rPr>
                <w:rFonts w:asciiTheme="majorHAnsi" w:eastAsia="Times New Roman" w:hAnsiTheme="majorHAnsi" w:cs="Arial"/>
                <w:sz w:val="24"/>
                <w:szCs w:val="24"/>
                <w:lang w:val="ro-RO" w:eastAsia="ro-RO"/>
              </w:rPr>
              <w:t xml:space="preserve">building permit or legal status of land </w:t>
            </w:r>
            <w:r w:rsidRPr="0037604E">
              <w:rPr>
                <w:rFonts w:asciiTheme="majorHAnsi" w:hAnsiTheme="majorHAnsi" w:cs="Arial"/>
                <w:sz w:val="24"/>
                <w:szCs w:val="24"/>
                <w:lang w:val="en-GB"/>
              </w:rPr>
              <w:t>(Racova and Filipesti);</w:t>
            </w:r>
          </w:p>
          <w:p w:rsidR="0037604E" w:rsidRPr="0037604E" w:rsidRDefault="0037604E" w:rsidP="00FA6EB9">
            <w:pPr>
              <w:numPr>
                <w:ilvl w:val="0"/>
                <w:numId w:val="68"/>
              </w:numPr>
              <w:spacing w:after="0" w:line="240" w:lineRule="auto"/>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4 tehnological nodes </w:t>
            </w:r>
            <w:r w:rsidRPr="0037604E">
              <w:rPr>
                <w:rFonts w:asciiTheme="majorHAnsi" w:hAnsiTheme="majorHAnsi"/>
                <w:sz w:val="24"/>
                <w:lang w:val="en-GB"/>
              </w:rPr>
              <w:t>are in the site surveillance, automation and electrical installations</w:t>
            </w:r>
            <w:r w:rsidRPr="0037604E">
              <w:rPr>
                <w:rFonts w:asciiTheme="majorHAnsi" w:hAnsiTheme="majorHAnsi" w:cs="Arial"/>
                <w:color w:val="FF0000"/>
                <w:sz w:val="24"/>
                <w:szCs w:val="24"/>
                <w:lang w:val="en-GB"/>
              </w:rPr>
              <w:t xml:space="preserve"> </w:t>
            </w:r>
            <w:r w:rsidRPr="0037604E">
              <w:rPr>
                <w:rFonts w:asciiTheme="majorHAnsi" w:hAnsiTheme="majorHAnsi" w:cs="Arial"/>
                <w:sz w:val="24"/>
                <w:szCs w:val="24"/>
                <w:lang w:val="en-GB"/>
              </w:rPr>
              <w:t>procurement</w:t>
            </w:r>
            <w:r w:rsidRPr="0037604E">
              <w:rPr>
                <w:rFonts w:asciiTheme="majorHAnsi" w:hAnsiTheme="majorHAnsi"/>
                <w:sz w:val="24"/>
                <w:lang w:val="en-GB"/>
              </w:rPr>
              <w:t xml:space="preserve"> </w:t>
            </w:r>
            <w:r w:rsidRPr="0037604E">
              <w:rPr>
                <w:rFonts w:asciiTheme="majorHAnsi" w:eastAsia="Times New Roman" w:hAnsiTheme="majorHAnsi" w:cs="Arial"/>
                <w:sz w:val="24"/>
                <w:szCs w:val="24"/>
                <w:lang w:val="ro-RO" w:eastAsia="ro-RO"/>
              </w:rPr>
              <w:t>(Băcia, Recaș, Drăgășani and Moisica);</w:t>
            </w:r>
          </w:p>
          <w:p w:rsidR="0037604E" w:rsidRPr="0037604E" w:rsidRDefault="0037604E" w:rsidP="00FA6EB9">
            <w:pPr>
              <w:numPr>
                <w:ilvl w:val="0"/>
                <w:numId w:val="68"/>
              </w:numPr>
              <w:spacing w:after="0" w:line="240" w:lineRule="auto"/>
              <w:jc w:val="both"/>
              <w:rPr>
                <w:rFonts w:asciiTheme="majorHAnsi" w:hAnsiTheme="majorHAnsi" w:cs="Arial"/>
                <w:color w:val="FF0000"/>
                <w:sz w:val="24"/>
                <w:szCs w:val="24"/>
                <w:lang w:val="en-GB"/>
              </w:rPr>
            </w:pPr>
            <w:r w:rsidRPr="0037604E">
              <w:rPr>
                <w:rFonts w:asciiTheme="majorHAnsi" w:hAnsiTheme="majorHAnsi" w:cs="Arial"/>
                <w:sz w:val="24"/>
                <w:szCs w:val="24"/>
                <w:lang w:val="en-GB"/>
              </w:rPr>
              <w:lastRenderedPageBreak/>
              <w:t>4 tehnological</w:t>
            </w:r>
            <w:r w:rsidRPr="0037604E">
              <w:rPr>
                <w:rFonts w:asciiTheme="majorHAnsi" w:hAnsiTheme="majorHAnsi"/>
                <w:sz w:val="24"/>
                <w:lang w:val="en-GB"/>
              </w:rPr>
              <w:t xml:space="preserve"> nodes are under design</w:t>
            </w:r>
            <w:r w:rsidRPr="0037604E">
              <w:rPr>
                <w:rFonts w:asciiTheme="majorHAnsi" w:hAnsiTheme="majorHAnsi" w:cs="Arial"/>
                <w:sz w:val="24"/>
                <w:szCs w:val="24"/>
                <w:lang w:val="en-GB"/>
              </w:rPr>
              <w:t xml:space="preserve"> </w:t>
            </w:r>
            <w:r w:rsidRPr="0037604E">
              <w:rPr>
                <w:rFonts w:asciiTheme="majorHAnsi" w:eastAsia="Times New Roman" w:hAnsiTheme="majorHAnsi" w:cs="Arial"/>
                <w:sz w:val="24"/>
                <w:szCs w:val="24"/>
                <w:lang w:val="ro-RO" w:eastAsia="ro-RO"/>
              </w:rPr>
              <w:t>(Corbu, Botorca, Hațeg and Bogata 3). At the Hațeg TN there are problems regarding siting</w:t>
            </w:r>
            <w:r w:rsidRPr="0037604E">
              <w:rPr>
                <w:rFonts w:asciiTheme="majorHAnsi" w:hAnsiTheme="majorHAnsi" w:cs="Arial"/>
                <w:color w:val="FF0000"/>
                <w:sz w:val="24"/>
                <w:szCs w:val="24"/>
                <w:lang w:val="en-GB"/>
              </w:rPr>
              <w:t>.</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b/>
                <w:iCs/>
                <w:sz w:val="24"/>
                <w:szCs w:val="24"/>
                <w:lang w:val="ro-RO"/>
              </w:rPr>
              <w:lastRenderedPageBreak/>
              <w:t xml:space="preserve">SCADA valves and technological nodes enclosures </w:t>
            </w:r>
          </w:p>
        </w:tc>
      </w:tr>
      <w:tr w:rsidR="0037604E" w:rsidRPr="0037604E" w:rsidTr="0037604E">
        <w:trPr>
          <w:tblCellSpacing w:w="20" w:type="dxa"/>
        </w:trPr>
        <w:tc>
          <w:tcPr>
            <w:tcW w:w="8941" w:type="dxa"/>
            <w:vAlign w:val="center"/>
          </w:tcPr>
          <w:p w:rsidR="0037604E" w:rsidRPr="0037604E" w:rsidRDefault="0037604E" w:rsidP="0037604E">
            <w:pPr>
              <w:tabs>
                <w:tab w:val="left" w:pos="0"/>
              </w:tabs>
              <w:spacing w:after="120" w:line="240" w:lineRule="auto"/>
              <w:ind w:firstLine="0"/>
              <w:jc w:val="both"/>
              <w:rPr>
                <w:rFonts w:asciiTheme="majorHAnsi" w:eastAsia="Times New Roman" w:hAnsiTheme="majorHAnsi"/>
                <w:iCs/>
                <w:sz w:val="24"/>
                <w:szCs w:val="24"/>
                <w:lang w:val="ro-RO"/>
              </w:rPr>
            </w:pPr>
            <w:r w:rsidRPr="0037604E">
              <w:rPr>
                <w:rFonts w:asciiTheme="majorHAnsi" w:eastAsia="Times New Roman" w:hAnsiTheme="majorHAnsi"/>
                <w:iCs/>
                <w:sz w:val="24"/>
                <w:szCs w:val="24"/>
                <w:lang w:val="ro-RO"/>
              </w:rPr>
              <w:t>The status of the works for the 6 enclosures of the SCADA valves:</w:t>
            </w:r>
          </w:p>
          <w:p w:rsidR="0037604E" w:rsidRPr="0037604E" w:rsidRDefault="0037604E" w:rsidP="00FA6EB9">
            <w:pPr>
              <w:numPr>
                <w:ilvl w:val="0"/>
                <w:numId w:val="154"/>
              </w:numPr>
              <w:tabs>
                <w:tab w:val="left" w:pos="0"/>
              </w:tabs>
              <w:spacing w:after="120" w:line="240" w:lineRule="auto"/>
              <w:contextualSpacing/>
              <w:jc w:val="both"/>
              <w:rPr>
                <w:rFonts w:asciiTheme="majorHAnsi" w:eastAsia="Times New Roman" w:hAnsiTheme="majorHAnsi"/>
                <w:iCs/>
                <w:sz w:val="24"/>
                <w:szCs w:val="24"/>
                <w:lang w:val="ro-RO"/>
              </w:rPr>
            </w:pPr>
            <w:r w:rsidRPr="0037604E">
              <w:rPr>
                <w:rFonts w:asciiTheme="majorHAnsi" w:eastAsia="Times New Roman" w:hAnsiTheme="majorHAnsi"/>
                <w:iCs/>
                <w:sz w:val="24"/>
                <w:szCs w:val="24"/>
                <w:lang w:val="ro-RO"/>
              </w:rPr>
              <w:t>4</w:t>
            </w:r>
            <w:r w:rsidRPr="0037604E">
              <w:rPr>
                <w:rFonts w:asciiTheme="majorHAnsi" w:hAnsiTheme="majorHAnsi"/>
                <w:sz w:val="24"/>
                <w:lang w:val="ro-RO"/>
              </w:rPr>
              <w:t xml:space="preserve"> works are </w:t>
            </w:r>
            <w:r w:rsidRPr="0037604E">
              <w:rPr>
                <w:rFonts w:asciiTheme="majorHAnsi" w:eastAsia="Times New Roman" w:hAnsiTheme="majorHAnsi"/>
                <w:iCs/>
                <w:sz w:val="24"/>
                <w:szCs w:val="24"/>
                <w:lang w:val="ro-RO"/>
              </w:rPr>
              <w:t>accepted (at enclosures Lemniu, Câțcău, Pogăceaua</w:t>
            </w:r>
            <w:r w:rsidRPr="0037604E">
              <w:rPr>
                <w:rFonts w:asciiTheme="majorHAnsi" w:hAnsiTheme="majorHAnsi"/>
                <w:sz w:val="24"/>
                <w:lang w:val="ro-RO"/>
              </w:rPr>
              <w:t xml:space="preserve"> and </w:t>
            </w:r>
            <w:r w:rsidRPr="0037604E">
              <w:rPr>
                <w:rFonts w:asciiTheme="majorHAnsi" w:eastAsia="Times New Roman" w:hAnsiTheme="majorHAnsi"/>
                <w:iCs/>
                <w:sz w:val="24"/>
                <w:szCs w:val="24"/>
                <w:lang w:val="ro-RO"/>
              </w:rPr>
              <w:t xml:space="preserve">Cornești), </w:t>
            </w:r>
          </w:p>
          <w:p w:rsidR="0037604E" w:rsidRPr="0037604E" w:rsidRDefault="0037604E" w:rsidP="00FA6EB9">
            <w:pPr>
              <w:numPr>
                <w:ilvl w:val="0"/>
                <w:numId w:val="154"/>
              </w:numPr>
              <w:tabs>
                <w:tab w:val="left" w:pos="0"/>
              </w:tabs>
              <w:spacing w:after="120" w:line="240" w:lineRule="auto"/>
              <w:contextualSpacing/>
              <w:jc w:val="both"/>
              <w:rPr>
                <w:rFonts w:asciiTheme="majorHAnsi" w:eastAsia="Times New Roman" w:hAnsiTheme="majorHAnsi"/>
                <w:iCs/>
                <w:sz w:val="24"/>
                <w:szCs w:val="24"/>
                <w:lang w:val="ro-RO"/>
              </w:rPr>
            </w:pPr>
            <w:r w:rsidRPr="0037604E">
              <w:rPr>
                <w:rFonts w:asciiTheme="majorHAnsi" w:eastAsia="Times New Roman" w:hAnsiTheme="majorHAnsi"/>
                <w:iCs/>
                <w:sz w:val="24"/>
                <w:szCs w:val="24"/>
                <w:lang w:val="ro-RO"/>
              </w:rPr>
              <w:t xml:space="preserve">2 works are </w:t>
            </w:r>
            <w:r w:rsidRPr="0037604E">
              <w:rPr>
                <w:rFonts w:asciiTheme="majorHAnsi" w:hAnsiTheme="majorHAnsi"/>
                <w:sz w:val="24"/>
                <w:lang w:val="ro-RO"/>
              </w:rPr>
              <w:t xml:space="preserve">under </w:t>
            </w:r>
            <w:r w:rsidRPr="0037604E">
              <w:rPr>
                <w:rFonts w:asciiTheme="majorHAnsi" w:eastAsia="Times New Roman" w:hAnsiTheme="majorHAnsi"/>
                <w:iCs/>
                <w:sz w:val="24"/>
                <w:szCs w:val="24"/>
                <w:lang w:val="ro-RO"/>
              </w:rPr>
              <w:t xml:space="preserve">design (at enclosures Lutița and Sarmisegetuza). </w:t>
            </w:r>
          </w:p>
          <w:p w:rsidR="0037604E" w:rsidRPr="0037604E" w:rsidRDefault="0037604E" w:rsidP="0037604E">
            <w:pPr>
              <w:tabs>
                <w:tab w:val="left" w:pos="0"/>
              </w:tabs>
              <w:spacing w:after="120" w:line="240" w:lineRule="auto"/>
              <w:ind w:firstLine="0"/>
              <w:jc w:val="both"/>
              <w:rPr>
                <w:rFonts w:asciiTheme="majorHAnsi" w:eastAsia="Times New Roman" w:hAnsiTheme="majorHAnsi"/>
                <w:iCs/>
                <w:sz w:val="24"/>
                <w:szCs w:val="24"/>
                <w:lang w:val="ro-RO"/>
              </w:rPr>
            </w:pPr>
            <w:r w:rsidRPr="0037604E">
              <w:rPr>
                <w:rFonts w:asciiTheme="majorHAnsi" w:eastAsia="Times New Roman" w:hAnsiTheme="majorHAnsi"/>
                <w:iCs/>
                <w:sz w:val="24"/>
                <w:szCs w:val="24"/>
                <w:lang w:val="ro-RO"/>
              </w:rPr>
              <w:t>The status of the works for the 5 enclosures of the technological nodes is as follows:</w:t>
            </w:r>
          </w:p>
          <w:p w:rsidR="0037604E" w:rsidRPr="0037604E" w:rsidRDefault="0037604E" w:rsidP="00FA6EB9">
            <w:pPr>
              <w:numPr>
                <w:ilvl w:val="0"/>
                <w:numId w:val="155"/>
              </w:numPr>
              <w:tabs>
                <w:tab w:val="left" w:pos="0"/>
              </w:tabs>
              <w:spacing w:after="120" w:line="240" w:lineRule="auto"/>
              <w:contextualSpacing/>
              <w:jc w:val="both"/>
              <w:rPr>
                <w:rFonts w:asciiTheme="majorHAnsi" w:eastAsia="Times New Roman" w:hAnsiTheme="majorHAnsi"/>
                <w:iCs/>
                <w:sz w:val="24"/>
                <w:szCs w:val="24"/>
                <w:lang w:val="ro-RO"/>
              </w:rPr>
            </w:pPr>
            <w:r w:rsidRPr="0037604E">
              <w:rPr>
                <w:rFonts w:asciiTheme="majorHAnsi" w:eastAsia="Times New Roman" w:hAnsiTheme="majorHAnsi"/>
                <w:iCs/>
                <w:sz w:val="24"/>
                <w:szCs w:val="24"/>
                <w:lang w:val="ro-RO"/>
              </w:rPr>
              <w:t>4 works are completed and accepted (at enclosures Munteni, Drăgășani, Lăzărești and Isaccea),</w:t>
            </w:r>
          </w:p>
          <w:p w:rsidR="0037604E" w:rsidRPr="0037604E" w:rsidRDefault="0037604E" w:rsidP="00FA6EB9">
            <w:pPr>
              <w:numPr>
                <w:ilvl w:val="0"/>
                <w:numId w:val="155"/>
              </w:numPr>
              <w:tabs>
                <w:tab w:val="left" w:pos="0"/>
              </w:tabs>
              <w:spacing w:after="120" w:line="240" w:lineRule="auto"/>
              <w:contextualSpacing/>
              <w:jc w:val="both"/>
              <w:rPr>
                <w:rFonts w:asciiTheme="majorHAnsi" w:hAnsiTheme="majorHAnsi"/>
                <w:sz w:val="24"/>
                <w:lang w:val="ro-RO"/>
              </w:rPr>
            </w:pPr>
            <w:r w:rsidRPr="0037604E">
              <w:rPr>
                <w:rFonts w:asciiTheme="majorHAnsi" w:eastAsia="Times New Roman" w:hAnsiTheme="majorHAnsi"/>
                <w:iCs/>
                <w:sz w:val="24"/>
                <w:szCs w:val="24"/>
                <w:lang w:val="ro-RO"/>
              </w:rPr>
              <w:t>1 work under procurement procedure (at enclosure in Feliceni).</w:t>
            </w:r>
          </w:p>
        </w:tc>
      </w:tr>
      <w:tr w:rsidR="0037604E" w:rsidRPr="0037604E" w:rsidTr="0037604E">
        <w:trPr>
          <w:tblCellSpacing w:w="20" w:type="dxa"/>
        </w:trPr>
        <w:tc>
          <w:tcPr>
            <w:tcW w:w="8941" w:type="dxa"/>
            <w:vAlign w:val="center"/>
          </w:tcPr>
          <w:p w:rsidR="0037604E" w:rsidRPr="0037604E" w:rsidRDefault="0037604E" w:rsidP="0037604E">
            <w:pPr>
              <w:tabs>
                <w:tab w:val="left" w:pos="0"/>
              </w:tabs>
              <w:spacing w:after="0" w:line="240" w:lineRule="auto"/>
              <w:ind w:firstLine="0"/>
              <w:rPr>
                <w:rFonts w:asciiTheme="majorHAnsi" w:hAnsiTheme="majorHAnsi" w:cs="Arial"/>
                <w:sz w:val="24"/>
                <w:szCs w:val="24"/>
                <w:lang w:val="it-IT"/>
              </w:rPr>
            </w:pPr>
            <w:r w:rsidRPr="0037604E">
              <w:rPr>
                <w:rFonts w:asciiTheme="majorHAnsi" w:eastAsia="Times New Roman" w:hAnsiTheme="majorHAnsi"/>
                <w:b/>
                <w:iCs/>
                <w:color w:val="000000"/>
                <w:sz w:val="24"/>
                <w:szCs w:val="24"/>
                <w:lang w:val="ro-RO"/>
              </w:rPr>
              <w:t xml:space="preserve">Licences to take over SCADA-TRANSGAZ entry/exit signal </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val="ro-RO" w:eastAsia="ro-RO"/>
              </w:rPr>
              <w:t>The procurement is abandoned.</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rPr>
                <w:rFonts w:asciiTheme="majorHAnsi" w:hAnsiTheme="majorHAnsi"/>
                <w:sz w:val="24"/>
                <w:szCs w:val="24"/>
                <w:lang w:val="it-IT"/>
              </w:rPr>
            </w:pPr>
            <w:r w:rsidRPr="0037604E">
              <w:rPr>
                <w:rFonts w:asciiTheme="majorHAnsi" w:eastAsia="Times New Roman" w:hAnsiTheme="majorHAnsi"/>
                <w:b/>
                <w:iCs/>
                <w:sz w:val="24"/>
                <w:szCs w:val="24"/>
                <w:lang w:val="ro-RO"/>
              </w:rPr>
              <w:t>Changing a series of metering lines within the technological nodes and which will be included in the SCADA project, from metering in a single direction to bidirectional metering</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sz w:val="24"/>
                <w:szCs w:val="24"/>
              </w:rPr>
            </w:pPr>
            <w:r w:rsidRPr="0037604E">
              <w:rPr>
                <w:rFonts w:asciiTheme="majorHAnsi" w:eastAsia="Times New Roman" w:hAnsiTheme="majorHAnsi"/>
                <w:iCs/>
                <w:sz w:val="24"/>
                <w:szCs w:val="24"/>
                <w:lang w:val="ro-RO"/>
              </w:rPr>
              <w:t>The 76 metering lines were completed and accepted</w:t>
            </w:r>
            <w:r w:rsidRPr="0037604E">
              <w:rPr>
                <w:rFonts w:asciiTheme="majorHAnsi" w:hAnsiTheme="majorHAnsi"/>
                <w:sz w:val="24"/>
                <w:szCs w:val="24"/>
              </w:rPr>
              <w:t>.</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rPr>
                <w:rFonts w:asciiTheme="majorHAnsi" w:hAnsiTheme="majorHAnsi"/>
                <w:b/>
                <w:bCs/>
                <w:sz w:val="24"/>
                <w:szCs w:val="24"/>
              </w:rPr>
            </w:pPr>
            <w:r w:rsidRPr="0037604E">
              <w:rPr>
                <w:rFonts w:asciiTheme="majorHAnsi" w:hAnsiTheme="majorHAnsi" w:cs="Arial"/>
                <w:b/>
                <w:bCs/>
                <w:sz w:val="24"/>
                <w:szCs w:val="24"/>
              </w:rPr>
              <w:t>The Ø  24" Coroi - Paltin gas transmission pipeline, the Seleuș – Bărcuț section, the Retiș zone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sz w:val="24"/>
                <w:szCs w:val="24"/>
              </w:rPr>
            </w:pPr>
            <w:r w:rsidRPr="0037604E">
              <w:rPr>
                <w:rFonts w:asciiTheme="majorHAnsi" w:eastAsia="Times New Roman" w:hAnsiTheme="majorHAnsi" w:cs="Arial"/>
                <w:iCs/>
                <w:sz w:val="24"/>
                <w:szCs w:val="24"/>
                <w:lang w:val="ro-RO" w:eastAsia="ro-RO"/>
              </w:rPr>
              <w:t xml:space="preserve">The execution works were </w:t>
            </w:r>
            <w:r w:rsidRPr="0037604E">
              <w:rPr>
                <w:rFonts w:asciiTheme="majorHAnsi" w:eastAsia="Times New Roman" w:hAnsiTheme="majorHAnsi"/>
                <w:iCs/>
                <w:sz w:val="24"/>
                <w:szCs w:val="24"/>
                <w:lang w:val="ro-RO"/>
              </w:rPr>
              <w:t>completed and accepted</w:t>
            </w:r>
            <w:r w:rsidRPr="0037604E">
              <w:rPr>
                <w:rFonts w:asciiTheme="majorHAnsi" w:eastAsia="Times New Roman" w:hAnsiTheme="majorHAnsi" w:cs="Arial"/>
                <w:iCs/>
                <w:sz w:val="24"/>
                <w:szCs w:val="24"/>
                <w:lang w:val="ro-RO" w:eastAsia="ro-RO"/>
              </w:rPr>
              <w:t>.</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rPr>
                <w:rFonts w:asciiTheme="majorHAnsi" w:hAnsiTheme="majorHAnsi"/>
                <w:sz w:val="24"/>
                <w:szCs w:val="24"/>
              </w:rPr>
            </w:pPr>
            <w:r w:rsidRPr="0037604E">
              <w:rPr>
                <w:rFonts w:asciiTheme="majorHAnsi" w:hAnsiTheme="majorHAnsi" w:cs="Arial"/>
                <w:b/>
                <w:bCs/>
                <w:sz w:val="24"/>
                <w:szCs w:val="24"/>
              </w:rPr>
              <w:t xml:space="preserve">The </w:t>
            </w:r>
            <w:r w:rsidRPr="0037604E">
              <w:rPr>
                <w:rFonts w:asciiTheme="majorHAnsi" w:eastAsia="Times New Roman" w:hAnsiTheme="majorHAnsi" w:cs="Arial"/>
                <w:b/>
                <w:iCs/>
                <w:sz w:val="24"/>
                <w:szCs w:val="24"/>
                <w:lang w:val="ro-RO" w:eastAsia="ro-RO"/>
              </w:rPr>
              <w:t>Ø</w:t>
            </w:r>
            <w:r w:rsidRPr="0037604E">
              <w:rPr>
                <w:rFonts w:asciiTheme="majorHAnsi" w:eastAsia="Times New Roman" w:hAnsiTheme="majorHAnsi" w:cs="Times New Roman"/>
                <w:b/>
                <w:sz w:val="24"/>
                <w:szCs w:val="24"/>
                <w:lang w:val="ro-RO" w:eastAsia="ro-RO"/>
              </w:rPr>
              <w:t xml:space="preserve"> 12" Turburea – Aninoasa </w:t>
            </w:r>
            <w:r w:rsidRPr="0037604E">
              <w:rPr>
                <w:rFonts w:asciiTheme="majorHAnsi" w:hAnsiTheme="majorHAnsi" w:cs="Arial"/>
                <w:b/>
                <w:bCs/>
                <w:sz w:val="24"/>
                <w:szCs w:val="24"/>
              </w:rPr>
              <w:t>gas transmission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contextualSpacing/>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Arial"/>
                <w:iCs/>
                <w:sz w:val="24"/>
                <w:szCs w:val="24"/>
                <w:lang w:val="ro-RO" w:eastAsia="ro-RO"/>
              </w:rPr>
              <w:t xml:space="preserve">The execution works planned were </w:t>
            </w:r>
            <w:r w:rsidRPr="0037604E">
              <w:rPr>
                <w:rFonts w:asciiTheme="majorHAnsi" w:eastAsia="Times New Roman" w:hAnsiTheme="majorHAnsi"/>
                <w:iCs/>
                <w:sz w:val="24"/>
                <w:szCs w:val="24"/>
                <w:lang w:val="ro-RO"/>
              </w:rPr>
              <w:t>completed and accepted</w:t>
            </w:r>
            <w:r w:rsidRPr="0037604E">
              <w:rPr>
                <w:rFonts w:asciiTheme="majorHAnsi" w:eastAsia="Times New Roman" w:hAnsiTheme="majorHAnsi" w:cs="Times New Roman"/>
                <w:sz w:val="24"/>
                <w:szCs w:val="24"/>
                <w:lang w:val="ro-RO" w:eastAsia="ro-RO"/>
              </w:rPr>
              <w:t xml:space="preserve"> in 2015 by the Mediaș Subsidiary.</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highlight w:val="magenta"/>
                <w:lang w:val="en-GB"/>
              </w:rPr>
            </w:pPr>
            <w:r w:rsidRPr="0037604E">
              <w:rPr>
                <w:rFonts w:asciiTheme="majorHAnsi" w:eastAsia="Times New Roman" w:hAnsiTheme="majorHAnsi" w:cs="Times New Roman"/>
                <w:b/>
                <w:sz w:val="24"/>
                <w:szCs w:val="24"/>
                <w:lang w:val="ro-RO" w:eastAsia="ro-RO"/>
              </w:rPr>
              <w:t>Deviation of pipeline Ø12'' Moinești – Dărmănești, Dărmăneasca area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cs="Times New Roman"/>
                <w:sz w:val="24"/>
                <w:szCs w:val="24"/>
                <w:lang w:val="ro-RO" w:eastAsia="ro-RO"/>
              </w:rPr>
              <w:t xml:space="preserve">The execution works were completed and accepted. </w:t>
            </w:r>
            <w:r w:rsidRPr="0037604E">
              <w:rPr>
                <w:rFonts w:asciiTheme="majorHAnsi" w:hAnsiTheme="majorHAnsi" w:cs="Arial"/>
                <w:sz w:val="24"/>
                <w:szCs w:val="24"/>
                <w:lang w:val="en"/>
              </w:rPr>
              <w:t>Due to problems with landowners, it was decided to move the pipeline coupling point 200 m downstream of the problem area, and for the 200 m of pipeline not replaced, lawsuits were initiated against the owners because of whom the technical documentation and building permit could not be complied with.</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cs="Arial"/>
                <w:b/>
                <w:sz w:val="24"/>
                <w:szCs w:val="24"/>
                <w:lang w:val="ro-RO" w:eastAsia="ro-RO"/>
              </w:rPr>
              <w:t>Gas transmission pipeline Ø32” Crevedia – Podișor</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cs="Times New Roman"/>
                <w:sz w:val="24"/>
                <w:szCs w:val="24"/>
                <w:lang w:val="ro-RO" w:eastAsia="ro-RO"/>
              </w:rPr>
              <w:t>The work refers to butt weld in full line of the pipeline in the area of owner Apostolache over approx. 300 m. The pipe material has been supplied, following that the works be executed by the Medias Subsidiary. The litigation regarding the landowner is in progress</w:t>
            </w:r>
            <w:r w:rsidRPr="0037604E">
              <w:rPr>
                <w:rFonts w:asciiTheme="majorHAnsi" w:hAnsiTheme="majorHAnsi"/>
                <w:sz w:val="24"/>
                <w:szCs w:val="24"/>
              </w:rPr>
              <w:t>.</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highlight w:val="magenta"/>
                <w:lang w:val="en-GB"/>
              </w:rPr>
            </w:pPr>
            <w:r w:rsidRPr="0037604E">
              <w:rPr>
                <w:rFonts w:asciiTheme="majorHAnsi" w:eastAsia="Times New Roman" w:hAnsiTheme="majorHAnsi" w:cs="Times New Roman"/>
                <w:b/>
                <w:sz w:val="24"/>
                <w:szCs w:val="24"/>
                <w:lang w:val="ro-RO" w:eastAsia="ro-RO"/>
              </w:rPr>
              <w:t>The crossing of the Argeșel river whith the Ø20</w:t>
            </w:r>
            <w:r w:rsidRPr="0037604E">
              <w:rPr>
                <w:rFonts w:asciiTheme="majorHAnsi" w:eastAsia="Times New Roman" w:hAnsiTheme="majorHAnsi" w:cs="Arial"/>
                <w:b/>
                <w:sz w:val="24"/>
                <w:szCs w:val="24"/>
                <w:lang w:val="ro-RO" w:eastAsia="ro-RO"/>
              </w:rPr>
              <w:t>ʺ</w:t>
            </w:r>
            <w:r w:rsidRPr="0037604E">
              <w:rPr>
                <w:rFonts w:asciiTheme="majorHAnsi" w:eastAsia="Times New Roman" w:hAnsiTheme="majorHAnsi" w:cs="Times New Roman"/>
                <w:b/>
                <w:sz w:val="24"/>
                <w:szCs w:val="24"/>
                <w:lang w:val="ro-RO" w:eastAsia="ro-RO"/>
              </w:rPr>
              <w:t xml:space="preserve"> Schitu Golești - Slătioarele pipeline,  in  Pișcani area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highlight w:val="magenta"/>
                <w:lang w:val="en-GB"/>
              </w:rPr>
            </w:pPr>
            <w:r w:rsidRPr="0037604E">
              <w:rPr>
                <w:rFonts w:asciiTheme="majorHAnsi" w:eastAsia="Times New Roman" w:hAnsiTheme="majorHAnsi" w:cs="Times New Roman"/>
                <w:sz w:val="24"/>
                <w:szCs w:val="24"/>
                <w:lang w:val="ro-RO" w:eastAsia="ro-RO"/>
              </w:rPr>
              <w:t>The execution works were completed and accepted.</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highlight w:val="magenta"/>
                <w:lang w:val="en-GB"/>
              </w:rPr>
            </w:pPr>
            <w:r w:rsidRPr="0037604E">
              <w:rPr>
                <w:rFonts w:asciiTheme="majorHAnsi" w:eastAsia="Times New Roman" w:hAnsiTheme="majorHAnsi" w:cs="Arial"/>
                <w:b/>
                <w:iCs/>
                <w:sz w:val="24"/>
                <w:szCs w:val="24"/>
                <w:lang w:val="ro-RO" w:eastAsia="zh-CN"/>
              </w:rPr>
              <w:t xml:space="preserve">The interconection of the </w:t>
            </w:r>
            <w:r w:rsidRPr="0037604E">
              <w:rPr>
                <w:rFonts w:asciiTheme="majorHAnsi" w:eastAsia="Times New Roman" w:hAnsiTheme="majorHAnsi" w:cs="Arial Narrow"/>
                <w:b/>
                <w:iCs/>
                <w:sz w:val="24"/>
                <w:szCs w:val="24"/>
                <w:lang w:val="ro-RO" w:eastAsia="zh-CN"/>
              </w:rPr>
              <w:t>Ø</w:t>
            </w:r>
            <w:r w:rsidRPr="0037604E">
              <w:rPr>
                <w:rFonts w:asciiTheme="majorHAnsi" w:eastAsia="Times New Roman" w:hAnsiTheme="majorHAnsi" w:cs="Arial"/>
                <w:b/>
                <w:iCs/>
                <w:sz w:val="24"/>
                <w:szCs w:val="24"/>
                <w:lang w:val="ro-RO" w:eastAsia="zh-CN"/>
              </w:rPr>
              <w:t xml:space="preserve">10ʺ Gănești - Ungheni pipeline with the  </w:t>
            </w:r>
            <w:r w:rsidRPr="0037604E">
              <w:rPr>
                <w:rFonts w:asciiTheme="majorHAnsi" w:eastAsia="Times New Roman" w:hAnsiTheme="majorHAnsi" w:cs="Arial Narrow"/>
                <w:b/>
                <w:iCs/>
                <w:sz w:val="24"/>
                <w:szCs w:val="24"/>
                <w:lang w:val="ro-RO" w:eastAsia="zh-CN"/>
              </w:rPr>
              <w:t>Ø</w:t>
            </w:r>
            <w:r w:rsidRPr="0037604E">
              <w:rPr>
                <w:rFonts w:asciiTheme="majorHAnsi" w:eastAsia="Times New Roman" w:hAnsiTheme="majorHAnsi" w:cs="Arial"/>
                <w:b/>
                <w:iCs/>
                <w:sz w:val="24"/>
                <w:szCs w:val="24"/>
                <w:lang w:val="ro-RO" w:eastAsia="zh-CN"/>
              </w:rPr>
              <w:t>24ʺ VEST III (Band - Băcia) pipeline at</w:t>
            </w:r>
            <w:r w:rsidRPr="0037604E">
              <w:rPr>
                <w:rFonts w:asciiTheme="majorHAnsi" w:eastAsia="Times New Roman" w:hAnsiTheme="majorHAnsi" w:cs="Arial"/>
                <w:b/>
                <w:bCs/>
                <w:iCs/>
                <w:sz w:val="24"/>
                <w:szCs w:val="24"/>
                <w:lang w:val="ro-RO" w:eastAsia="zh-CN"/>
              </w:rPr>
              <w:t xml:space="preserve"> Gănești, county of  Mureș</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eastAsia="Times New Roman" w:hAnsiTheme="majorHAnsi" w:cs="Arial"/>
                <w:b/>
                <w:iCs/>
                <w:sz w:val="24"/>
                <w:szCs w:val="24"/>
                <w:highlight w:val="magenta"/>
                <w:lang w:val="ro-RO" w:eastAsia="zh-CN"/>
              </w:rPr>
            </w:pPr>
            <w:r w:rsidRPr="0037604E">
              <w:rPr>
                <w:rFonts w:asciiTheme="majorHAnsi" w:eastAsia="Times New Roman" w:hAnsiTheme="majorHAnsi" w:cs="Arial"/>
                <w:iCs/>
                <w:sz w:val="24"/>
                <w:szCs w:val="24"/>
                <w:lang w:val="ro-RO" w:eastAsia="ro-RO"/>
              </w:rPr>
              <w:t>The contract expired and the materialds procured were taken over. It is considered the possibility of concluding a new contract.</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The Ø10” Câmpulung Moldovenesc – Vatra Dornei gas transmission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
              </w:rPr>
              <w:t xml:space="preserve">The work is contracted in 2012. The total length of the pipeline is 35 km out of which 25.8 km are in the forest fund. The building permit was obtained for 9.2 km (the </w:t>
            </w:r>
            <w:r w:rsidRPr="0037604E">
              <w:rPr>
                <w:rFonts w:asciiTheme="majorHAnsi" w:eastAsia="Times New Roman" w:hAnsiTheme="majorHAnsi" w:cs="Times New Roman"/>
                <w:sz w:val="24"/>
                <w:szCs w:val="24"/>
                <w:lang w:val="ro-RO" w:eastAsia="ro-RO"/>
              </w:rPr>
              <w:t>Câmpulung Moldovenesc – Pojorâta</w:t>
            </w:r>
            <w:r w:rsidRPr="0037604E">
              <w:rPr>
                <w:rFonts w:asciiTheme="majorHAnsi" w:hAnsiTheme="majorHAnsi" w:cs="Arial"/>
                <w:sz w:val="24"/>
                <w:szCs w:val="24"/>
                <w:lang w:val="en"/>
              </w:rPr>
              <w:t xml:space="preserve"> section) of which 8.2 kilometers were built. Because the leader of association INSCOMP Suceava became insolvent, the termination of the contract is in progress, following that for the difference of 1 km a </w:t>
            </w:r>
            <w:r w:rsidRPr="0037604E">
              <w:rPr>
                <w:rFonts w:asciiTheme="majorHAnsi" w:hAnsiTheme="majorHAnsi" w:cs="Arial"/>
                <w:sz w:val="24"/>
                <w:szCs w:val="24"/>
                <w:lang w:val="en"/>
              </w:rPr>
              <w:lastRenderedPageBreak/>
              <w:t>new project be prepared, which will be subject to a new procurement procedure. Also, for the 25.8 kilometers pipeline crossing the forest fund, the project will be updated and enter a new procurement procedure</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lastRenderedPageBreak/>
              <w:t>The Ø16” Vaslui - Lețcani gas transmission pipeline (Mogoșești – Lețcani)</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cs="Times New Roman"/>
                <w:sz w:val="24"/>
                <w:szCs w:val="24"/>
                <w:lang w:val="ro-RO" w:eastAsia="ro-RO"/>
              </w:rPr>
              <w:t>The work has been suspended because of lacking the ROMSILVA permit to cross the forest area over 1,700 m.</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en-GB"/>
              </w:rPr>
              <w:t xml:space="preserve">The </w:t>
            </w:r>
            <w:r w:rsidRPr="0037604E">
              <w:rPr>
                <w:rFonts w:asciiTheme="majorHAnsi" w:eastAsia="Times New Roman" w:hAnsiTheme="majorHAnsi" w:cs="Arial"/>
                <w:b/>
                <w:sz w:val="24"/>
                <w:szCs w:val="24"/>
                <w:lang w:val="ro-RO" w:eastAsia="ro-RO"/>
              </w:rPr>
              <w:t>Ø28” Gănești – Idrifaia – Coroi</w:t>
            </w:r>
            <w:r w:rsidRPr="0037604E">
              <w:rPr>
                <w:rFonts w:asciiTheme="majorHAnsi" w:hAnsiTheme="majorHAnsi" w:cs="Arial"/>
                <w:b/>
                <w:sz w:val="24"/>
                <w:szCs w:val="24"/>
                <w:lang w:val="en-GB"/>
              </w:rPr>
              <w:t xml:space="preserve"> gas transmission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eastAsia="Times New Roman" w:hAnsiTheme="majorHAnsi" w:cs="Arial"/>
                <w:sz w:val="24"/>
                <w:szCs w:val="24"/>
                <w:lang w:val="ro-RO" w:eastAsia="ro-RO"/>
              </w:rPr>
              <w:t>The work is in execution. Of the total</w:t>
            </w:r>
            <w:r w:rsidRPr="0037604E">
              <w:rPr>
                <w:rFonts w:asciiTheme="majorHAnsi" w:eastAsia="Times New Roman" w:hAnsiTheme="majorHAnsi" w:cs="Times New Roman"/>
                <w:sz w:val="24"/>
                <w:szCs w:val="24"/>
                <w:lang w:val="ro-RO" w:eastAsia="ro-RO"/>
              </w:rPr>
              <w:t xml:space="preserve"> 21 km pipeline 20 km were mounted and buried, remining the execution of the oad crossings, the pipline but welding over the entire length and the pressure issues.</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The Ø16” Vaslui – Iași gas transmission pipeline (Vaslui – Mogoșești section)</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eastAsia="Times New Roman" w:hAnsiTheme="majorHAnsi" w:cs="Arial"/>
                <w:sz w:val="24"/>
                <w:szCs w:val="24"/>
                <w:lang w:val="ro-RO" w:eastAsia="ro-RO"/>
              </w:rPr>
              <w:t xml:space="preserve">The execution works at the </w:t>
            </w:r>
            <w:r w:rsidRPr="0037604E">
              <w:rPr>
                <w:rFonts w:asciiTheme="majorHAnsi" w:eastAsia="Times New Roman" w:hAnsiTheme="majorHAnsi" w:cs="Times New Roman"/>
                <w:sz w:val="24"/>
                <w:szCs w:val="24"/>
                <w:lang w:val="ro-RO" w:eastAsia="ro-RO"/>
              </w:rPr>
              <w:t>Mogoșești Bahlui section are completed, following to be accepted. The pipeline section Bahlui –Lețcani TN is under design, following to be initiated the auction procedure and the conclusion of a new execution contract.</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 xml:space="preserve">The </w:t>
            </w:r>
            <w:r w:rsidRPr="0037604E">
              <w:rPr>
                <w:rFonts w:asciiTheme="majorHAnsi" w:eastAsia="Times New Roman" w:hAnsiTheme="majorHAnsi" w:cs="Times New Roman"/>
                <w:b/>
                <w:sz w:val="24"/>
                <w:szCs w:val="24"/>
                <w:lang w:val="ro-RO" w:eastAsia="ro-RO"/>
              </w:rPr>
              <w:t>MRS Sebeș</w:t>
            </w:r>
            <w:r w:rsidRPr="0037604E">
              <w:rPr>
                <w:rFonts w:asciiTheme="majorHAnsi" w:hAnsiTheme="majorHAnsi" w:cs="Arial"/>
                <w:b/>
                <w:sz w:val="24"/>
                <w:szCs w:val="24"/>
                <w:lang w:val="en-GB"/>
              </w:rPr>
              <w:t xml:space="preserve"> gas connection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The execution works were completed and accepted. </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eastAsia="Times New Roman" w:hAnsiTheme="majorHAnsi" w:cs="Times New Roman"/>
                <w:b/>
                <w:sz w:val="24"/>
                <w:szCs w:val="24"/>
                <w:lang w:val="ro-RO" w:eastAsia="ro-RO"/>
              </w:rPr>
              <w:t>The preparation of the Ø28" Seleuș - Cristur - Bățani</w:t>
            </w:r>
            <w:r w:rsidRPr="0037604E">
              <w:rPr>
                <w:rFonts w:asciiTheme="majorHAnsi" w:hAnsiTheme="majorHAnsi"/>
                <w:b/>
                <w:sz w:val="24"/>
                <w:lang w:val="ro-RO"/>
              </w:rPr>
              <w:t xml:space="preserve"> pipeline for becoming piggable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execution works contracted are completed and accepted.</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The Ø 12" Cămăraș - Lunca Câțcăului gas transmission pipeline, Țaga area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execution works contracted are finalized and accepted.</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 xml:space="preserve">Technical solution to avoid exceeding of 6 bar pressure in the </w:t>
            </w:r>
            <w:r w:rsidRPr="0037604E">
              <w:rPr>
                <w:rFonts w:asciiTheme="majorHAnsi" w:eastAsia="Times New Roman" w:hAnsiTheme="majorHAnsi" w:cs="Times New Roman"/>
                <w:b/>
                <w:sz w:val="24"/>
                <w:szCs w:val="24"/>
                <w:lang w:val="ro-RO" w:eastAsia="ro-RO"/>
              </w:rPr>
              <w:t>Ø 20'' FORTUS MRS Iași connection</w:t>
            </w:r>
            <w:r w:rsidRPr="0037604E">
              <w:rPr>
                <w:rFonts w:asciiTheme="majorHAnsi" w:hAnsiTheme="majorHAnsi" w:cs="Arial"/>
                <w:b/>
                <w:sz w:val="24"/>
                <w:szCs w:val="24"/>
                <w:lang w:val="en-GB"/>
              </w:rPr>
              <w:t xml:space="preserve">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execution works are finalized and accepted.</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The Ø12” Negru Vodă – Techirghiol – Constanța  gas transmission pipeline (Pecineaga – Techirghiol section)</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This pipeline section is continuing the pipeline executed in the Negru Vodă – Pecineaga – Mangalia direction.</w:t>
            </w:r>
            <w:r w:rsidRPr="0037604E">
              <w:rPr>
                <w:rFonts w:ascii="Arial" w:hAnsi="Arial" w:cs="Arial"/>
                <w:color w:val="222222"/>
                <w:lang w:val="en"/>
              </w:rPr>
              <w:t xml:space="preserve"> </w:t>
            </w:r>
            <w:r w:rsidRPr="0037604E">
              <w:rPr>
                <w:rFonts w:asciiTheme="majorHAnsi" w:hAnsiTheme="majorHAnsi" w:cs="Arial"/>
                <w:sz w:val="24"/>
                <w:szCs w:val="24"/>
                <w:lang w:val="en"/>
              </w:rPr>
              <w:t>The FEED is finalized and submitted to OCPI Constanta, following that after obtaining their approval for removal from the agricultural circuit all documentation be submitted for issuing the Construction Permit.</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The Ø24” Mașloc – Recaș gas transmission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 xml:space="preserve">The execution works in the forest section with a length of 6 km were not contracted as the ROMSILVA permit was not issued, this permit is necessary for the issue of the building permit. </w:t>
            </w:r>
          </w:p>
        </w:tc>
      </w:tr>
      <w:tr w:rsidR="0037604E" w:rsidRPr="0037604E" w:rsidTr="0037604E">
        <w:trPr>
          <w:trHeight w:val="677"/>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Gas supply in the localities in the North area of the county of Prahova (Ø 10" pipeline Buda - Slănic Prahova)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technical documentation is under preparation. In cannot be estimated a delivery term for the FEED, since the agreements of the landowners are necessary</w:t>
            </w:r>
            <w:r w:rsidRPr="0037604E">
              <w:rPr>
                <w:rFonts w:asciiTheme="majorHAnsi" w:hAnsiTheme="majorHAnsi"/>
                <w:sz w:val="24"/>
              </w:rPr>
              <w:t>.</w:t>
            </w:r>
          </w:p>
        </w:tc>
      </w:tr>
      <w:tr w:rsidR="0037604E" w:rsidRPr="0037604E" w:rsidTr="0037604E">
        <w:trPr>
          <w:trHeight w:val="41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b/>
                <w:sz w:val="24"/>
              </w:rPr>
              <w:t xml:space="preserve">The </w:t>
            </w:r>
            <w:r w:rsidRPr="0037604E">
              <w:rPr>
                <w:rFonts w:asciiTheme="majorHAnsi" w:hAnsiTheme="majorHAnsi" w:cs="Arial"/>
                <w:b/>
                <w:sz w:val="24"/>
                <w:szCs w:val="24"/>
              </w:rPr>
              <w:t>Ø12” Mintia – Brad – Ștei gas transmission pipeline</w:t>
            </w:r>
          </w:p>
        </w:tc>
      </w:tr>
      <w:tr w:rsidR="0037604E" w:rsidRPr="0037604E" w:rsidTr="0037604E">
        <w:trPr>
          <w:trHeight w:val="39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The technical documentation is under preparation.</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Mounting of the pig receiving trap (temporary) Dn 800 mm on the Ø 32" Bățani - Onești pipeline, Bogdănești area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The procurement procedure id under development.</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The Ø20” Plătărești – Bălăceanca gas transmission pipeline</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lastRenderedPageBreak/>
              <w:t>The procurement procedure is under development.</w:t>
            </w:r>
          </w:p>
        </w:tc>
      </w:tr>
      <w:tr w:rsidR="0037604E" w:rsidRPr="0037604E" w:rsidTr="0037604E">
        <w:trPr>
          <w:trHeight w:val="48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en-GB"/>
              </w:rPr>
              <w:t xml:space="preserve">The undercrossing of the Mures river with the Ø20ʺ </w:t>
            </w:r>
            <w:r w:rsidRPr="0037604E">
              <w:rPr>
                <w:rFonts w:asciiTheme="majorHAnsi" w:hAnsiTheme="majorHAnsi" w:cs="Arial"/>
                <w:b/>
                <w:sz w:val="24"/>
                <w:szCs w:val="24"/>
              </w:rPr>
              <w:t>Fântânele – Arad</w:t>
            </w:r>
            <w:r w:rsidRPr="0037604E">
              <w:rPr>
                <w:rFonts w:asciiTheme="majorHAnsi" w:hAnsiTheme="majorHAnsi" w:cs="Arial"/>
                <w:b/>
                <w:sz w:val="24"/>
                <w:szCs w:val="24"/>
                <w:lang w:val="en-GB"/>
              </w:rPr>
              <w:t xml:space="preserve"> pipeline</w:t>
            </w:r>
            <w:r w:rsidRPr="0037604E">
              <w:rPr>
                <w:rFonts w:asciiTheme="majorHAnsi" w:hAnsiTheme="majorHAnsi"/>
                <w:b/>
                <w:sz w:val="24"/>
                <w:lang w:val="en-GB"/>
              </w:rPr>
              <w:t xml:space="preserve">, in the </w:t>
            </w:r>
            <w:r w:rsidRPr="0037604E">
              <w:rPr>
                <w:rFonts w:asciiTheme="majorHAnsi" w:hAnsiTheme="majorHAnsi" w:cs="Arial"/>
                <w:b/>
                <w:sz w:val="24"/>
                <w:szCs w:val="24"/>
              </w:rPr>
              <w:t>Fântânele</w:t>
            </w:r>
            <w:r w:rsidRPr="0037604E">
              <w:rPr>
                <w:rFonts w:asciiTheme="majorHAnsi" w:hAnsiTheme="majorHAnsi"/>
                <w:b/>
                <w:sz w:val="24"/>
              </w:rPr>
              <w:t xml:space="preserve"> </w:t>
            </w:r>
            <w:r w:rsidRPr="0037604E">
              <w:rPr>
                <w:rFonts w:asciiTheme="majorHAnsi" w:hAnsiTheme="majorHAnsi"/>
                <w:b/>
                <w:sz w:val="24"/>
                <w:lang w:val="en-GB"/>
              </w:rPr>
              <w:t>area</w:t>
            </w:r>
          </w:p>
        </w:tc>
      </w:tr>
      <w:tr w:rsidR="0037604E" w:rsidRPr="0037604E" w:rsidTr="0037604E">
        <w:trPr>
          <w:trHeight w:val="488"/>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execution works are suspended at the moment due to the cold season, following to be resumed in 2017.</w:t>
            </w:r>
          </w:p>
        </w:tc>
      </w:tr>
      <w:tr w:rsidR="0037604E" w:rsidRPr="0037604E" w:rsidTr="0037604E">
        <w:trPr>
          <w:trHeight w:val="48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spacing w:val="-4"/>
                <w:sz w:val="24"/>
                <w:szCs w:val="24"/>
              </w:rPr>
              <w:t xml:space="preserve">Works regarding the ensuring of the </w:t>
            </w:r>
            <w:r w:rsidRPr="0037604E">
              <w:rPr>
                <w:rFonts w:asciiTheme="majorHAnsi" w:hAnsiTheme="majorHAnsi" w:cs="Arial"/>
                <w:b/>
                <w:spacing w:val="-4"/>
                <w:sz w:val="24"/>
                <w:szCs w:val="24"/>
              </w:rPr>
              <w:t>Ø28" Platou Izvor Sinaia – Filipești pipeline, Talea – Breaza zone</w:t>
            </w:r>
          </w:p>
        </w:tc>
      </w:tr>
      <w:tr w:rsidR="0037604E" w:rsidRPr="0037604E" w:rsidTr="0037604E">
        <w:trPr>
          <w:trHeight w:val="488"/>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sz w:val="24"/>
                <w:szCs w:val="24"/>
              </w:rPr>
            </w:pPr>
            <w:r w:rsidRPr="0037604E">
              <w:rPr>
                <w:rFonts w:asciiTheme="majorHAnsi" w:hAnsiTheme="majorHAnsi" w:cs="Arial"/>
                <w:sz w:val="24"/>
                <w:szCs w:val="24"/>
              </w:rPr>
              <w:t>The execution works are suspended at the moment due to the cold season, following to be resumed in 2017.</w:t>
            </w:r>
          </w:p>
        </w:tc>
      </w:tr>
      <w:tr w:rsidR="0037604E" w:rsidRPr="0037604E" w:rsidTr="0037604E">
        <w:trPr>
          <w:trHeight w:val="488"/>
          <w:tblCellSpacing w:w="20" w:type="dxa"/>
        </w:trPr>
        <w:tc>
          <w:tcPr>
            <w:tcW w:w="8941" w:type="dxa"/>
            <w:shd w:val="clear" w:color="auto" w:fill="F2F2F2"/>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rPr>
              <w:t xml:space="preserve">The Ø 20" Sărmășel-Baia Mare-Satu Mare gas transmission pipeline, Sucutard  area </w:t>
            </w:r>
          </w:p>
        </w:tc>
      </w:tr>
      <w:tr w:rsidR="0037604E" w:rsidRPr="0037604E" w:rsidTr="0037604E">
        <w:trPr>
          <w:trHeight w:val="488"/>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iCs/>
                <w:color w:val="FF0000"/>
                <w:sz w:val="24"/>
                <w:szCs w:val="24"/>
                <w:lang w:val="en-GB"/>
              </w:rPr>
            </w:pPr>
            <w:r w:rsidRPr="0037604E">
              <w:rPr>
                <w:rFonts w:asciiTheme="majorHAnsi" w:hAnsiTheme="majorHAnsi" w:cs="Arial"/>
                <w:sz w:val="24"/>
                <w:szCs w:val="24"/>
              </w:rPr>
              <w:t>The updating of the FEED is in progress</w:t>
            </w:r>
            <w:r w:rsidRPr="0037604E">
              <w:rPr>
                <w:rFonts w:asciiTheme="majorHAnsi" w:hAnsiTheme="majorHAnsi"/>
                <w:sz w:val="24"/>
                <w:szCs w:val="24"/>
              </w:rPr>
              <w:t>.</w:t>
            </w:r>
          </w:p>
        </w:tc>
      </w:tr>
      <w:tr w:rsidR="0037604E" w:rsidRPr="0037604E" w:rsidTr="0037604E">
        <w:trPr>
          <w:trHeight w:val="406"/>
          <w:tblCellSpacing w:w="20" w:type="dxa"/>
        </w:trPr>
        <w:tc>
          <w:tcPr>
            <w:tcW w:w="8941" w:type="dxa"/>
            <w:shd w:val="clear" w:color="auto" w:fill="F2F2F2"/>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sz w:val="24"/>
                <w:szCs w:val="24"/>
              </w:rPr>
              <w:t>Ø 10'' MRS Luduș connection pipeline</w:t>
            </w:r>
          </w:p>
        </w:tc>
      </w:tr>
      <w:tr w:rsidR="0037604E" w:rsidRPr="0037604E" w:rsidTr="0037604E">
        <w:trPr>
          <w:trHeight w:val="488"/>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rPr>
              <w:t xml:space="preserve">The connection execution works are completed, remaining connection to the MRS, which cannot be performed </w:t>
            </w:r>
            <w:r w:rsidRPr="0037604E">
              <w:rPr>
                <w:rFonts w:asciiTheme="majorHAnsi" w:hAnsiTheme="majorHAnsi" w:cs="Arial"/>
                <w:sz w:val="24"/>
                <w:szCs w:val="24"/>
              </w:rPr>
              <w:t>due to the cold season, following to be executed in 2017</w:t>
            </w:r>
            <w:r w:rsidRPr="0037604E">
              <w:rPr>
                <w:rFonts w:asciiTheme="majorHAnsi" w:hAnsiTheme="majorHAnsi"/>
                <w:sz w:val="24"/>
              </w:rPr>
              <w:t>.</w:t>
            </w:r>
          </w:p>
        </w:tc>
      </w:tr>
      <w:tr w:rsidR="0037604E" w:rsidRPr="0037604E" w:rsidTr="0037604E">
        <w:trPr>
          <w:trHeight w:val="488"/>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gas supply connection of Răcăciuni MRS, </w:t>
            </w:r>
            <w:r w:rsidRPr="0037604E">
              <w:rPr>
                <w:rFonts w:asciiTheme="majorHAnsi" w:eastAsia="Times New Roman" w:hAnsiTheme="majorHAnsi" w:cs="Arial"/>
                <w:b/>
                <w:sz w:val="24"/>
                <w:szCs w:val="24"/>
                <w:lang w:val="ro-RO" w:eastAsia="ro-RO"/>
              </w:rPr>
              <w:t xml:space="preserve">Dumbrava tourist area </w:t>
            </w:r>
          </w:p>
        </w:tc>
      </w:tr>
      <w:tr w:rsidR="0037604E" w:rsidRPr="0037604E" w:rsidTr="0037604E">
        <w:trPr>
          <w:trHeight w:val="416"/>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The technical documentation is under approval.</w:t>
            </w:r>
          </w:p>
        </w:tc>
      </w:tr>
      <w:tr w:rsidR="0037604E" w:rsidRPr="0037604E" w:rsidTr="0037604E">
        <w:trPr>
          <w:trHeight w:val="488"/>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gas supply connection of </w:t>
            </w:r>
            <w:r w:rsidRPr="0037604E">
              <w:rPr>
                <w:rFonts w:asciiTheme="majorHAnsi" w:hAnsiTheme="majorHAnsi"/>
                <w:b/>
                <w:sz w:val="24"/>
                <w:szCs w:val="24"/>
              </w:rPr>
              <w:t>Brăila</w:t>
            </w:r>
            <w:r w:rsidRPr="0037604E">
              <w:rPr>
                <w:rFonts w:asciiTheme="majorHAnsi" w:hAnsiTheme="majorHAnsi" w:cs="Arial"/>
                <w:b/>
                <w:sz w:val="24"/>
                <w:szCs w:val="24"/>
                <w:lang w:val="ro-RO"/>
              </w:rPr>
              <w:t xml:space="preserve"> MRS</w:t>
            </w:r>
            <w:r w:rsidRPr="0037604E">
              <w:rPr>
                <w:rFonts w:asciiTheme="majorHAnsi" w:hAnsiTheme="majorHAnsi"/>
                <w:b/>
                <w:sz w:val="24"/>
                <w:szCs w:val="24"/>
              </w:rPr>
              <w:t xml:space="preserve">, the Agricultural Farm zone </w:t>
            </w:r>
          </w:p>
        </w:tc>
      </w:tr>
      <w:tr w:rsidR="0037604E" w:rsidRPr="0037604E" w:rsidTr="0037604E">
        <w:trPr>
          <w:trHeight w:val="474"/>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The technical documentation is under preparation and approval.</w:t>
            </w:r>
            <w:r w:rsidRPr="0037604E">
              <w:rPr>
                <w:rFonts w:asciiTheme="majorHAnsi" w:hAnsiTheme="majorHAnsi"/>
                <w:b/>
                <w:sz w:val="24"/>
                <w:szCs w:val="24"/>
              </w:rPr>
              <w:t xml:space="preserve"> </w:t>
            </w:r>
          </w:p>
        </w:tc>
      </w:tr>
      <w:tr w:rsidR="0037604E" w:rsidRPr="0037604E" w:rsidTr="0037604E">
        <w:trPr>
          <w:trHeight w:val="488"/>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gas supply connection of </w:t>
            </w:r>
            <w:r w:rsidRPr="0037604E">
              <w:rPr>
                <w:rFonts w:asciiTheme="majorHAnsi" w:hAnsiTheme="majorHAnsi" w:cs="Arial"/>
                <w:b/>
                <w:sz w:val="24"/>
                <w:szCs w:val="24"/>
              </w:rPr>
              <w:t>Vaslui</w:t>
            </w:r>
            <w:r w:rsidRPr="0037604E">
              <w:rPr>
                <w:rFonts w:asciiTheme="majorHAnsi" w:hAnsiTheme="majorHAnsi" w:cs="Arial"/>
                <w:b/>
                <w:sz w:val="24"/>
                <w:szCs w:val="24"/>
                <w:lang w:val="ro-RO"/>
              </w:rPr>
              <w:t xml:space="preserve"> MRS</w:t>
            </w:r>
            <w:r w:rsidRPr="0037604E">
              <w:rPr>
                <w:rFonts w:asciiTheme="majorHAnsi" w:hAnsiTheme="majorHAnsi" w:cs="Arial"/>
                <w:b/>
                <w:sz w:val="24"/>
                <w:szCs w:val="24"/>
              </w:rPr>
              <w:t xml:space="preserve">, the Râpa Albastră zone </w:t>
            </w:r>
          </w:p>
        </w:tc>
      </w:tr>
      <w:tr w:rsidR="0037604E" w:rsidRPr="0037604E" w:rsidTr="0037604E">
        <w:trPr>
          <w:trHeight w:val="462"/>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The technical documentation is under preparation and approval</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 xml:space="preserve">The Ø28” </w:t>
            </w:r>
            <w:r w:rsidRPr="0037604E">
              <w:rPr>
                <w:rFonts w:asciiTheme="majorHAnsi" w:hAnsiTheme="majorHAnsi" w:cs="Arial"/>
                <w:b/>
                <w:sz w:val="24"/>
                <w:szCs w:val="24"/>
              </w:rPr>
              <w:t>Moșu – Buciumeni</w:t>
            </w:r>
            <w:r w:rsidRPr="0037604E">
              <w:rPr>
                <w:rFonts w:asciiTheme="majorHAnsi" w:hAnsiTheme="majorHAnsi" w:cs="Arial"/>
                <w:b/>
                <w:sz w:val="24"/>
                <w:szCs w:val="24"/>
                <w:lang w:val="en-GB"/>
              </w:rPr>
              <w:t xml:space="preserve"> gas transmission pipeline</w:t>
            </w:r>
          </w:p>
        </w:tc>
      </w:tr>
      <w:tr w:rsidR="0037604E" w:rsidRPr="0037604E" w:rsidTr="0037604E">
        <w:trPr>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The technical documentation is under preparation</w:t>
            </w:r>
            <w:r w:rsidRPr="0037604E">
              <w:rPr>
                <w:rFonts w:asciiTheme="majorHAnsi" w:eastAsia="Times New Roman" w:hAnsiTheme="majorHAnsi" w:cs="Times New Roman"/>
                <w:sz w:val="24"/>
                <w:szCs w:val="24"/>
                <w:lang w:val="ro-RO" w:eastAsia="ro-RO"/>
              </w:rPr>
              <w:t>. The building permit is obtained for Dâmbovița County (based on notifications sent to landowners), but for obtaining the building permit in Ilfov County, the Buftea Municipality (mayor G. Pistol) requests the legalized agreement of the owner, beacause of disagreeing with text of the law establishing the issuing of the building permit based on the notifications to landowners, without another previous formality.</w:t>
            </w:r>
          </w:p>
        </w:tc>
      </w:tr>
      <w:tr w:rsidR="0037604E" w:rsidRPr="0037604E" w:rsidTr="0037604E">
        <w:trPr>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rPr>
              <w:t>The Ø 28" MRS  SIDEX Galați connection pipeline</w:t>
            </w:r>
          </w:p>
        </w:tc>
      </w:tr>
      <w:tr w:rsidR="0037604E" w:rsidRPr="0037604E" w:rsidTr="0037604E">
        <w:trPr>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procurement procedure is under preparation</w:t>
            </w:r>
            <w:r w:rsidRPr="0037604E">
              <w:rPr>
                <w:rFonts w:asciiTheme="majorHAnsi" w:hAnsiTheme="majorHAnsi"/>
                <w:sz w:val="24"/>
                <w:szCs w:val="24"/>
              </w:rPr>
              <w:t>, but it is necessary at the same time to update existing approvals and the issuing of a new building permit.</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iCs/>
                <w:sz w:val="24"/>
                <w:szCs w:val="24"/>
              </w:rPr>
              <w:t xml:space="preserve">The pipeline for the butt welding over the entire length of the gas distribution system in </w:t>
            </w:r>
            <w:r w:rsidRPr="0037604E">
              <w:rPr>
                <w:rFonts w:asciiTheme="majorHAnsi" w:hAnsiTheme="majorHAnsi"/>
                <w:b/>
                <w:bCs/>
                <w:iCs/>
                <w:sz w:val="24"/>
                <w:szCs w:val="24"/>
              </w:rPr>
              <w:t xml:space="preserve">Craiova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The technical documentation is under preparation.</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gas supply connection of </w:t>
            </w:r>
            <w:r w:rsidRPr="0037604E">
              <w:rPr>
                <w:rFonts w:asciiTheme="majorHAnsi" w:hAnsiTheme="majorHAnsi" w:cs="Arial"/>
                <w:b/>
                <w:sz w:val="24"/>
                <w:szCs w:val="24"/>
              </w:rPr>
              <w:t>Ø 10” MRS Breaza</w:t>
            </w:r>
            <w:r w:rsidRPr="0037604E">
              <w:rPr>
                <w:rFonts w:asciiTheme="majorHAnsi" w:hAnsiTheme="majorHAnsi" w:cs="Arial"/>
                <w:sz w:val="24"/>
                <w:szCs w:val="24"/>
              </w:rPr>
              <w:t xml:space="preserve">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In December it was concluded the execution contract. Due to the cold season the Order to Commence the Works, following to be resumed in 2017.</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sz w:val="24"/>
                <w:szCs w:val="24"/>
              </w:rPr>
              <w:t>The Ø12" Tr. Măgurele – Corabia</w:t>
            </w:r>
            <w:r w:rsidRPr="0037604E">
              <w:rPr>
                <w:rFonts w:asciiTheme="majorHAnsi" w:hAnsiTheme="majorHAnsi"/>
                <w:sz w:val="24"/>
                <w:szCs w:val="24"/>
              </w:rPr>
              <w:t xml:space="preserve"> </w:t>
            </w:r>
            <w:r w:rsidRPr="0037604E">
              <w:rPr>
                <w:rFonts w:asciiTheme="majorHAnsi" w:hAnsiTheme="majorHAnsi"/>
                <w:b/>
                <w:sz w:val="24"/>
                <w:szCs w:val="24"/>
              </w:rPr>
              <w:t xml:space="preserve">gas transmission pipeline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lastRenderedPageBreak/>
              <w:t>This objective was completed in 2015, the expenses recorded this year representing the value of the materials used at the works executed by the Medias Subsidiary, sent after the acceptance of the objective and which increase the value of the fix asset.</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w:t>
            </w:r>
            <w:r w:rsidRPr="0037604E">
              <w:rPr>
                <w:rFonts w:asciiTheme="majorHAnsi" w:hAnsiTheme="majorHAnsi"/>
                <w:b/>
                <w:sz w:val="24"/>
                <w:szCs w:val="24"/>
              </w:rPr>
              <w:t>DN 700 Izvor Sinaia Elevated Plain - Filipești</w:t>
            </w:r>
            <w:r w:rsidRPr="0037604E">
              <w:rPr>
                <w:rFonts w:asciiTheme="majorHAnsi" w:hAnsiTheme="majorHAnsi" w:cs="Arial"/>
                <w:b/>
                <w:sz w:val="24"/>
                <w:szCs w:val="24"/>
                <w:lang w:val="ro-RO"/>
              </w:rPr>
              <w:t xml:space="preserve"> gas pipeline</w:t>
            </w:r>
            <w:r w:rsidRPr="0037604E">
              <w:rPr>
                <w:rFonts w:asciiTheme="majorHAnsi" w:hAnsiTheme="majorHAnsi"/>
                <w:b/>
                <w:sz w:val="24"/>
                <w:szCs w:val="24"/>
              </w:rPr>
              <w:t>, Talea – Breaza  zone (ph.I)</w:t>
            </w:r>
            <w:r w:rsidRPr="0037604E">
              <w:rPr>
                <w:rFonts w:asciiTheme="majorHAnsi" w:hAnsiTheme="majorHAnsi"/>
                <w:sz w:val="24"/>
                <w:szCs w:val="24"/>
              </w:rPr>
              <w:t xml:space="preserve">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szCs w:val="24"/>
              </w:rPr>
              <w:t>This objective was completed in 2015, the expenses recorded this year representing the value of the materials used at the works executed by the Medias Subsidiary, sent after the acceptance of the objective and which increase the value of the fix asset.</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sz w:val="24"/>
                <w:szCs w:val="24"/>
              </w:rPr>
              <w:t xml:space="preserve">Ploiești gas supply modernization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procurement procedure is under preparation.</w:t>
            </w:r>
          </w:p>
        </w:tc>
      </w:tr>
      <w:tr w:rsidR="0037604E" w:rsidRPr="0037604E" w:rsidTr="0037604E">
        <w:trPr>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w:t>
            </w:r>
            <w:r w:rsidRPr="0037604E">
              <w:rPr>
                <w:rFonts w:asciiTheme="majorHAnsi" w:hAnsiTheme="majorHAnsi"/>
                <w:b/>
                <w:sz w:val="24"/>
                <w:szCs w:val="24"/>
              </w:rPr>
              <w:t>Ø20″ Schitu Golești – Govora pipeline, Budești zone</w:t>
            </w:r>
            <w:r w:rsidRPr="0037604E">
              <w:rPr>
                <w:rFonts w:asciiTheme="majorHAnsi" w:hAnsiTheme="majorHAnsi"/>
                <w:b/>
                <w:sz w:val="24"/>
              </w:rPr>
              <w:t xml:space="preserve">, </w:t>
            </w:r>
            <w:r w:rsidRPr="0037604E">
              <w:rPr>
                <w:rFonts w:asciiTheme="majorHAnsi" w:hAnsiTheme="majorHAnsi"/>
                <w:b/>
                <w:sz w:val="24"/>
                <w:szCs w:val="24"/>
              </w:rPr>
              <w:t>Vâlcea county</w:t>
            </w:r>
          </w:p>
        </w:tc>
      </w:tr>
      <w:tr w:rsidR="0037604E" w:rsidRPr="0037604E" w:rsidTr="0037604E">
        <w:trPr>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In execution.</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w:t>
            </w:r>
            <w:r w:rsidRPr="0037604E">
              <w:rPr>
                <w:rFonts w:asciiTheme="majorHAnsi" w:hAnsiTheme="majorHAnsi"/>
                <w:b/>
                <w:bCs/>
                <w:color w:val="000000"/>
                <w:sz w:val="24"/>
                <w:szCs w:val="24"/>
              </w:rPr>
              <w:t>Ø</w:t>
            </w:r>
            <w:r w:rsidRPr="0037604E">
              <w:rPr>
                <w:rFonts w:asciiTheme="majorHAnsi" w:hAnsiTheme="majorHAnsi"/>
                <w:b/>
                <w:bCs/>
                <w:iCs/>
                <w:color w:val="000000"/>
                <w:sz w:val="24"/>
                <w:szCs w:val="24"/>
              </w:rPr>
              <w:t>20</w:t>
            </w:r>
            <w:r w:rsidRPr="0037604E">
              <w:rPr>
                <w:rFonts w:asciiTheme="majorHAnsi" w:hAnsiTheme="majorHAnsi"/>
                <w:b/>
                <w:bCs/>
                <w:color w:val="000000"/>
                <w:sz w:val="24"/>
                <w:szCs w:val="24"/>
              </w:rPr>
              <w:t></w:t>
            </w:r>
            <w:r w:rsidRPr="0037604E">
              <w:rPr>
                <w:rFonts w:asciiTheme="majorHAnsi" w:hAnsiTheme="majorHAnsi"/>
                <w:b/>
                <w:bCs/>
                <w:iCs/>
                <w:color w:val="000000"/>
                <w:sz w:val="24"/>
                <w:szCs w:val="24"/>
              </w:rPr>
              <w:t xml:space="preserve"> Hurezani - București</w:t>
            </w:r>
            <w:r w:rsidRPr="0037604E">
              <w:rPr>
                <w:rFonts w:asciiTheme="majorHAnsi" w:hAnsiTheme="majorHAnsi"/>
                <w:b/>
                <w:sz w:val="24"/>
                <w:szCs w:val="24"/>
              </w:rPr>
              <w:t xml:space="preserve"> pipeline</w:t>
            </w:r>
            <w:r w:rsidRPr="0037604E">
              <w:rPr>
                <w:rFonts w:asciiTheme="majorHAnsi" w:hAnsiTheme="majorHAnsi"/>
                <w:b/>
                <w:bCs/>
                <w:iCs/>
                <w:color w:val="000000"/>
                <w:sz w:val="24"/>
                <w:szCs w:val="24"/>
              </w:rPr>
              <w:t xml:space="preserve"> (line I), </w:t>
            </w:r>
            <w:r w:rsidRPr="0037604E">
              <w:rPr>
                <w:rFonts w:asciiTheme="majorHAnsi" w:hAnsiTheme="majorHAnsi"/>
                <w:b/>
                <w:iCs/>
                <w:color w:val="000000"/>
                <w:sz w:val="24"/>
                <w:szCs w:val="24"/>
              </w:rPr>
              <w:t>Momotești zone</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procurement procedure is under preparation.</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 xml:space="preserve">Works for the ensuring of the crossing of the </w:t>
            </w:r>
            <w:r w:rsidRPr="0037604E">
              <w:rPr>
                <w:rFonts w:asciiTheme="majorHAnsi" w:hAnsiTheme="majorHAnsi"/>
                <w:b/>
                <w:iCs/>
                <w:color w:val="000000"/>
                <w:sz w:val="24"/>
                <w:szCs w:val="24"/>
              </w:rPr>
              <w:t xml:space="preserve">Ațintiș river with the </w:t>
            </w:r>
            <w:r w:rsidRPr="0037604E">
              <w:rPr>
                <w:rFonts w:asciiTheme="majorHAnsi" w:hAnsiTheme="majorHAnsi"/>
                <w:b/>
                <w:bCs/>
                <w:iCs/>
                <w:color w:val="000000"/>
                <w:sz w:val="24"/>
                <w:szCs w:val="24"/>
              </w:rPr>
              <w:t xml:space="preserve">Ø20″ Ozd - Câmpia Turzii pipeline, </w:t>
            </w:r>
            <w:r w:rsidRPr="0037604E">
              <w:rPr>
                <w:rFonts w:asciiTheme="majorHAnsi" w:hAnsiTheme="majorHAnsi"/>
                <w:b/>
                <w:iCs/>
                <w:color w:val="000000"/>
                <w:sz w:val="24"/>
                <w:szCs w:val="24"/>
              </w:rPr>
              <w:t xml:space="preserve">Ațintiș zone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execution contract was concluded, but due to the cold season the Order to Commence the Works, following to be resumed in 2017.</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iCs/>
                <w:color w:val="000000"/>
                <w:sz w:val="24"/>
                <w:szCs w:val="24"/>
              </w:rPr>
              <w:t xml:space="preserve">Noise reduction at the </w:t>
            </w:r>
            <w:r w:rsidRPr="0037604E">
              <w:rPr>
                <w:rFonts w:asciiTheme="majorHAnsi" w:hAnsiTheme="majorHAnsi"/>
                <w:b/>
                <w:bCs/>
                <w:iCs/>
                <w:color w:val="000000"/>
                <w:sz w:val="24"/>
                <w:szCs w:val="24"/>
              </w:rPr>
              <w:t xml:space="preserve">TITAN MRS București </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Cs/>
                <w:iCs/>
                <w:color w:val="000000"/>
                <w:sz w:val="24"/>
                <w:szCs w:val="24"/>
              </w:rPr>
              <w:t>The planed works were completed and accepted.</w:t>
            </w:r>
          </w:p>
        </w:tc>
      </w:tr>
      <w:tr w:rsidR="0037604E" w:rsidRPr="0037604E" w:rsidTr="0037604E">
        <w:trPr>
          <w:tblCellSpacing w:w="20" w:type="dxa"/>
        </w:trPr>
        <w:tc>
          <w:tcPr>
            <w:tcW w:w="8941" w:type="dxa"/>
            <w:shd w:val="clear" w:color="auto" w:fill="auto"/>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iCs/>
                <w:color w:val="000000"/>
                <w:sz w:val="24"/>
                <w:szCs w:val="24"/>
              </w:rPr>
              <w:t xml:space="preserve">The undercorssing of the Ialomița river with the </w:t>
            </w:r>
            <w:r w:rsidRPr="0037604E">
              <w:rPr>
                <w:rFonts w:asciiTheme="majorHAnsi" w:hAnsiTheme="majorHAnsi"/>
                <w:b/>
                <w:bCs/>
                <w:color w:val="000000"/>
                <w:sz w:val="24"/>
                <w:szCs w:val="24"/>
              </w:rPr>
              <w:t>Ø</w:t>
            </w:r>
            <w:r w:rsidRPr="0037604E">
              <w:rPr>
                <w:rFonts w:asciiTheme="majorHAnsi" w:hAnsiTheme="majorHAnsi"/>
                <w:b/>
                <w:bCs/>
                <w:iCs/>
                <w:color w:val="000000"/>
                <w:sz w:val="24"/>
                <w:szCs w:val="24"/>
              </w:rPr>
              <w:t>20</w:t>
            </w:r>
            <w:r w:rsidRPr="0037604E">
              <w:rPr>
                <w:rFonts w:asciiTheme="majorHAnsi" w:hAnsiTheme="majorHAnsi"/>
                <w:b/>
                <w:bCs/>
                <w:color w:val="000000"/>
                <w:sz w:val="24"/>
                <w:szCs w:val="24"/>
              </w:rPr>
              <w:t></w:t>
            </w:r>
            <w:r w:rsidRPr="0037604E">
              <w:rPr>
                <w:rFonts w:asciiTheme="majorHAnsi" w:hAnsiTheme="majorHAnsi"/>
                <w:b/>
                <w:bCs/>
                <w:iCs/>
                <w:color w:val="000000"/>
                <w:sz w:val="24"/>
                <w:szCs w:val="24"/>
              </w:rPr>
              <w:t xml:space="preserve"> Colibi - Stâlp 89 - București</w:t>
            </w:r>
            <w:r w:rsidRPr="0037604E">
              <w:rPr>
                <w:rFonts w:asciiTheme="majorHAnsi" w:hAnsiTheme="majorHAnsi"/>
                <w:b/>
                <w:iCs/>
                <w:color w:val="000000"/>
                <w:sz w:val="24"/>
                <w:szCs w:val="24"/>
              </w:rPr>
              <w:t xml:space="preserve"> gas transmission pipeline, Cătunu area</w:t>
            </w:r>
          </w:p>
        </w:tc>
      </w:tr>
      <w:tr w:rsidR="0037604E" w:rsidRPr="0037604E" w:rsidTr="0037604E">
        <w:trPr>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GB"/>
              </w:rPr>
              <w:t>The execution works are completed and accepted.</w:t>
            </w:r>
          </w:p>
        </w:tc>
      </w:tr>
      <w:tr w:rsidR="0037604E" w:rsidRPr="0037604E" w:rsidTr="0037604E">
        <w:trPr>
          <w:tblCellSpacing w:w="20" w:type="dxa"/>
        </w:trPr>
        <w:tc>
          <w:tcPr>
            <w:tcW w:w="8941" w:type="dxa"/>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lang w:val="ro-RO"/>
              </w:rPr>
              <w:t>Works for the ensuring of the</w:t>
            </w:r>
            <w:r w:rsidRPr="0037604E">
              <w:rPr>
                <w:rFonts w:asciiTheme="majorHAnsi" w:hAnsiTheme="majorHAnsi"/>
                <w:b/>
                <w:bCs/>
                <w:sz w:val="24"/>
                <w:szCs w:val="24"/>
              </w:rPr>
              <w:t xml:space="preserve"> pipeline Ø</w:t>
            </w:r>
            <w:r w:rsidRPr="0037604E">
              <w:rPr>
                <w:rFonts w:asciiTheme="majorHAnsi" w:hAnsiTheme="majorHAnsi"/>
                <w:b/>
                <w:bCs/>
                <w:iCs/>
                <w:sz w:val="24"/>
                <w:szCs w:val="24"/>
              </w:rPr>
              <w:t>28</w:t>
            </w:r>
            <w:r w:rsidRPr="0037604E">
              <w:rPr>
                <w:rFonts w:asciiTheme="majorHAnsi" w:hAnsiTheme="majorHAnsi"/>
                <w:b/>
                <w:bCs/>
                <w:sz w:val="24"/>
                <w:szCs w:val="24"/>
              </w:rPr>
              <w:t></w:t>
            </w:r>
            <w:r w:rsidRPr="0037604E">
              <w:rPr>
                <w:rFonts w:asciiTheme="majorHAnsi" w:hAnsiTheme="majorHAnsi"/>
                <w:b/>
                <w:bCs/>
                <w:iCs/>
                <w:sz w:val="24"/>
                <w:szCs w:val="24"/>
              </w:rPr>
              <w:t xml:space="preserve"> Bărcuț - Șinca, Ø24″ Bărcuț - Șinca CS, Ø20″ Rotbav – Șinca CS,</w:t>
            </w:r>
            <w:r w:rsidRPr="0037604E">
              <w:rPr>
                <w:rFonts w:asciiTheme="majorHAnsi" w:hAnsiTheme="majorHAnsi"/>
                <w:b/>
                <w:iCs/>
                <w:sz w:val="24"/>
                <w:szCs w:val="24"/>
              </w:rPr>
              <w:t xml:space="preserve"> Șinca Veche </w:t>
            </w:r>
            <w:r w:rsidRPr="0037604E">
              <w:rPr>
                <w:rFonts w:asciiTheme="majorHAnsi" w:hAnsiTheme="majorHAnsi"/>
                <w:b/>
                <w:iCs/>
                <w:color w:val="000000"/>
                <w:sz w:val="24"/>
                <w:szCs w:val="24"/>
              </w:rPr>
              <w:t xml:space="preserve">area </w:t>
            </w:r>
          </w:p>
        </w:tc>
      </w:tr>
      <w:tr w:rsidR="0037604E" w:rsidRPr="0037604E" w:rsidTr="0037604E">
        <w:trPr>
          <w:tblCellSpacing w:w="20" w:type="dxa"/>
        </w:trPr>
        <w:tc>
          <w:tcPr>
            <w:tcW w:w="8941" w:type="dxa"/>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The procurement procedure is under preparation</w:t>
            </w:r>
          </w:p>
        </w:tc>
      </w:tr>
      <w:tr w:rsidR="0037604E" w:rsidRPr="0037604E" w:rsidTr="0037604E">
        <w:trPr>
          <w:tblCellSpacing w:w="20" w:type="dxa"/>
        </w:trPr>
        <w:tc>
          <w:tcPr>
            <w:tcW w:w="8941" w:type="dxa"/>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iCs/>
                <w:color w:val="000000"/>
                <w:sz w:val="24"/>
                <w:szCs w:val="24"/>
              </w:rPr>
              <w:t xml:space="preserve">Replacement of railway undercrossing with </w:t>
            </w:r>
            <w:r w:rsidRPr="0037604E">
              <w:rPr>
                <w:rFonts w:asciiTheme="majorHAnsi" w:hAnsiTheme="majorHAnsi"/>
                <w:b/>
                <w:bCs/>
                <w:iCs/>
                <w:color w:val="000000"/>
                <w:sz w:val="24"/>
                <w:szCs w:val="24"/>
              </w:rPr>
              <w:t xml:space="preserve">Turburea - Ișalnița </w:t>
            </w:r>
            <w:r w:rsidRPr="0037604E">
              <w:rPr>
                <w:rFonts w:asciiTheme="majorHAnsi" w:hAnsiTheme="majorHAnsi"/>
                <w:b/>
                <w:iCs/>
                <w:color w:val="000000"/>
                <w:sz w:val="24"/>
                <w:szCs w:val="24"/>
              </w:rPr>
              <w:t xml:space="preserve">gas transmission pipeline, </w:t>
            </w:r>
            <w:r w:rsidRPr="0037604E">
              <w:rPr>
                <w:rFonts w:asciiTheme="majorHAnsi" w:hAnsiTheme="majorHAnsi"/>
                <w:b/>
                <w:bCs/>
                <w:iCs/>
                <w:color w:val="000000"/>
                <w:sz w:val="24"/>
                <w:szCs w:val="24"/>
              </w:rPr>
              <w:t>line III</w:t>
            </w:r>
            <w:r w:rsidRPr="0037604E">
              <w:rPr>
                <w:rFonts w:asciiTheme="majorHAnsi" w:hAnsiTheme="majorHAnsi"/>
                <w:b/>
                <w:iCs/>
                <w:color w:val="000000"/>
                <w:sz w:val="24"/>
                <w:szCs w:val="24"/>
              </w:rPr>
              <w:t xml:space="preserve">, Florești zone </w:t>
            </w:r>
          </w:p>
        </w:tc>
      </w:tr>
      <w:tr w:rsidR="0037604E" w:rsidRPr="0037604E" w:rsidTr="0037604E">
        <w:trPr>
          <w:tblCellSpacing w:w="20" w:type="dxa"/>
        </w:trPr>
        <w:tc>
          <w:tcPr>
            <w:tcW w:w="8941" w:type="dxa"/>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 xml:space="preserve">In December it was concluded the execution contract. Due to the cold season the Order to Commence the Works, following to be resumed in 2017. </w:t>
            </w:r>
          </w:p>
        </w:tc>
      </w:tr>
      <w:tr w:rsidR="0037604E" w:rsidRPr="0037604E" w:rsidTr="0037604E">
        <w:trPr>
          <w:trHeight w:val="263"/>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The Giurgiu – Ruse interconnection pipeline</w:t>
            </w:r>
          </w:p>
        </w:tc>
      </w:tr>
      <w:tr w:rsidR="0037604E" w:rsidRPr="0037604E" w:rsidTr="0037604E">
        <w:trPr>
          <w:trHeight w:val="401"/>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lang w:val="en-GB"/>
              </w:rPr>
              <w:t xml:space="preserve">The </w:t>
            </w:r>
            <w:r w:rsidRPr="0037604E">
              <w:rPr>
                <w:rFonts w:asciiTheme="majorHAnsi" w:hAnsiTheme="majorHAnsi" w:cs="Arial"/>
                <w:sz w:val="24"/>
                <w:szCs w:val="24"/>
                <w:lang w:val="en-GB"/>
              </w:rPr>
              <w:t>execution</w:t>
            </w:r>
            <w:r w:rsidRPr="0037604E">
              <w:rPr>
                <w:rFonts w:asciiTheme="majorHAnsi" w:hAnsiTheme="majorHAnsi"/>
                <w:sz w:val="24"/>
                <w:lang w:val="en-GB"/>
              </w:rPr>
              <w:t xml:space="preserve"> works </w:t>
            </w:r>
            <w:r w:rsidRPr="0037604E">
              <w:rPr>
                <w:rFonts w:asciiTheme="majorHAnsi" w:hAnsiTheme="majorHAnsi" w:cs="Arial"/>
                <w:sz w:val="24"/>
                <w:szCs w:val="24"/>
                <w:lang w:val="en-GB"/>
              </w:rPr>
              <w:t>are</w:t>
            </w:r>
            <w:r w:rsidRPr="0037604E">
              <w:rPr>
                <w:rFonts w:asciiTheme="majorHAnsi" w:hAnsiTheme="majorHAnsi"/>
                <w:sz w:val="24"/>
                <w:lang w:val="en-GB"/>
              </w:rPr>
              <w:t xml:space="preserve"> finalized and accepted.</w:t>
            </w:r>
          </w:p>
        </w:tc>
      </w:tr>
      <w:tr w:rsidR="0037604E" w:rsidRPr="0037604E" w:rsidTr="0037604E">
        <w:trPr>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 xml:space="preserve">The surface construction works and installations for the metering regulating stations. </w:t>
            </w:r>
          </w:p>
        </w:tc>
      </w:tr>
      <w:tr w:rsidR="0037604E" w:rsidRPr="0037604E" w:rsidTr="0037604E">
        <w:trPr>
          <w:trHeight w:val="605"/>
          <w:tblCellSpacing w:w="20" w:type="dxa"/>
        </w:trPr>
        <w:tc>
          <w:tcPr>
            <w:tcW w:w="8941" w:type="dxa"/>
            <w:vAlign w:val="center"/>
          </w:tcPr>
          <w:p w:rsidR="0037604E" w:rsidRPr="005C561C" w:rsidRDefault="0037604E" w:rsidP="00FA6EB9">
            <w:pPr>
              <w:numPr>
                <w:ilvl w:val="0"/>
                <w:numId w:val="69"/>
              </w:numPr>
              <w:spacing w:after="0" w:line="240" w:lineRule="auto"/>
              <w:jc w:val="both"/>
              <w:rPr>
                <w:rFonts w:asciiTheme="majorHAnsi" w:hAnsiTheme="majorHAnsi" w:cs="Arial"/>
                <w:sz w:val="24"/>
                <w:szCs w:val="24"/>
                <w:lang w:val="en-GB"/>
              </w:rPr>
            </w:pPr>
            <w:r w:rsidRPr="005C561C">
              <w:rPr>
                <w:rFonts w:asciiTheme="majorHAnsi" w:hAnsiTheme="majorHAnsi"/>
                <w:sz w:val="24"/>
                <w:lang w:val="en-GB"/>
              </w:rPr>
              <w:t xml:space="preserve">MRS Ișalnița – </w:t>
            </w:r>
            <w:r w:rsidRPr="005C561C">
              <w:rPr>
                <w:rFonts w:asciiTheme="majorHAnsi" w:hAnsiTheme="majorHAnsi" w:cs="Arial"/>
                <w:sz w:val="24"/>
                <w:szCs w:val="24"/>
                <w:lang w:val="en-GB"/>
              </w:rPr>
              <w:t>under procurement</w:t>
            </w:r>
            <w:r w:rsidRPr="005C561C">
              <w:rPr>
                <w:rFonts w:asciiTheme="majorHAnsi" w:hAnsiTheme="majorHAnsi"/>
                <w:sz w:val="24"/>
                <w:lang w:val="en-GB"/>
              </w:rPr>
              <w:t xml:space="preserve"> procedure</w:t>
            </w:r>
            <w:r w:rsidRPr="005C561C">
              <w:rPr>
                <w:rFonts w:asciiTheme="majorHAnsi" w:hAnsiTheme="majorHAnsi" w:cs="Arial"/>
                <w:sz w:val="24"/>
                <w:szCs w:val="24"/>
                <w:lang w:val="en-GB"/>
              </w:rPr>
              <w:t xml:space="preserve">; </w:t>
            </w:r>
          </w:p>
          <w:p w:rsidR="0037604E" w:rsidRPr="005C561C" w:rsidRDefault="0037604E" w:rsidP="00FA6EB9">
            <w:pPr>
              <w:numPr>
                <w:ilvl w:val="0"/>
                <w:numId w:val="69"/>
              </w:numPr>
              <w:spacing w:after="0" w:line="240" w:lineRule="auto"/>
              <w:jc w:val="both"/>
              <w:rPr>
                <w:rFonts w:asciiTheme="majorHAnsi" w:hAnsiTheme="majorHAnsi" w:cs="Arial"/>
                <w:sz w:val="24"/>
                <w:szCs w:val="24"/>
                <w:lang w:val="en-GB"/>
              </w:rPr>
            </w:pPr>
            <w:r w:rsidRPr="005C561C">
              <w:rPr>
                <w:rFonts w:asciiTheme="majorHAnsi" w:hAnsiTheme="majorHAnsi"/>
                <w:sz w:val="24"/>
                <w:lang w:val="en-GB"/>
              </w:rPr>
              <w:t>MRS Craiova East – under design;</w:t>
            </w:r>
          </w:p>
          <w:p w:rsidR="0037604E" w:rsidRPr="005C561C" w:rsidRDefault="0037604E" w:rsidP="00FA6EB9">
            <w:pPr>
              <w:numPr>
                <w:ilvl w:val="0"/>
                <w:numId w:val="69"/>
              </w:numPr>
              <w:spacing w:after="0" w:line="240" w:lineRule="auto"/>
              <w:jc w:val="both"/>
              <w:rPr>
                <w:rFonts w:asciiTheme="majorHAnsi" w:hAnsiTheme="majorHAnsi"/>
                <w:sz w:val="24"/>
                <w:lang w:val="en-GB"/>
              </w:rPr>
            </w:pPr>
            <w:r w:rsidRPr="005C561C">
              <w:rPr>
                <w:rFonts w:asciiTheme="majorHAnsi" w:hAnsiTheme="majorHAnsi"/>
                <w:sz w:val="24"/>
                <w:lang w:val="en-GB"/>
              </w:rPr>
              <w:t>MRS Fântânele (Mureș) – the execution</w:t>
            </w:r>
            <w:r w:rsidRPr="005C561C">
              <w:rPr>
                <w:rFonts w:asciiTheme="majorHAnsi" w:hAnsiTheme="majorHAnsi" w:cs="Arial"/>
                <w:sz w:val="24"/>
                <w:szCs w:val="24"/>
                <w:lang w:val="en-GB"/>
              </w:rPr>
              <w:t xml:space="preserve"> works were</w:t>
            </w:r>
            <w:r w:rsidRPr="005C561C">
              <w:rPr>
                <w:rFonts w:asciiTheme="majorHAnsi" w:hAnsiTheme="majorHAnsi"/>
                <w:sz w:val="24"/>
                <w:lang w:val="en-GB"/>
              </w:rPr>
              <w:t xml:space="preserve"> completed following to execute the connection works after the cold season;</w:t>
            </w:r>
          </w:p>
          <w:p w:rsidR="0037604E" w:rsidRPr="005C561C" w:rsidRDefault="0037604E" w:rsidP="00FA6EB9">
            <w:pPr>
              <w:numPr>
                <w:ilvl w:val="0"/>
                <w:numId w:val="69"/>
              </w:numPr>
              <w:spacing w:after="0" w:line="240" w:lineRule="auto"/>
              <w:jc w:val="both"/>
              <w:rPr>
                <w:rFonts w:asciiTheme="majorHAnsi" w:hAnsiTheme="majorHAnsi"/>
                <w:sz w:val="24"/>
                <w:lang w:val="en-GB"/>
              </w:rPr>
            </w:pPr>
            <w:r w:rsidRPr="005C561C">
              <w:rPr>
                <w:rFonts w:asciiTheme="majorHAnsi" w:hAnsiTheme="majorHAnsi"/>
                <w:sz w:val="24"/>
                <w:lang w:val="en-GB"/>
              </w:rPr>
              <w:t xml:space="preserve">MRS </w:t>
            </w:r>
            <w:r w:rsidRPr="005C561C">
              <w:rPr>
                <w:rFonts w:asciiTheme="majorHAnsi" w:hAnsiTheme="majorHAnsi"/>
                <w:sz w:val="24"/>
                <w:lang w:val="ro-RO"/>
              </w:rPr>
              <w:t xml:space="preserve">Sângeorgiu de Mureș </w:t>
            </w:r>
            <w:r w:rsidRPr="005C561C">
              <w:rPr>
                <w:rFonts w:asciiTheme="majorHAnsi" w:hAnsiTheme="majorHAnsi"/>
                <w:sz w:val="24"/>
                <w:lang w:val="en-GB"/>
              </w:rPr>
              <w:t xml:space="preserve">– under the procurement procedure </w:t>
            </w:r>
          </w:p>
          <w:p w:rsidR="0037604E" w:rsidRPr="005C561C" w:rsidRDefault="0037604E" w:rsidP="00FA6EB9">
            <w:pPr>
              <w:numPr>
                <w:ilvl w:val="0"/>
                <w:numId w:val="69"/>
              </w:numPr>
              <w:spacing w:after="0" w:line="240" w:lineRule="auto"/>
              <w:jc w:val="both"/>
              <w:rPr>
                <w:rFonts w:asciiTheme="majorHAnsi" w:hAnsiTheme="majorHAnsi" w:cs="Arial"/>
                <w:sz w:val="24"/>
                <w:szCs w:val="24"/>
                <w:lang w:val="en-GB"/>
              </w:rPr>
            </w:pPr>
            <w:r w:rsidRPr="005C561C">
              <w:rPr>
                <w:rFonts w:asciiTheme="majorHAnsi" w:hAnsiTheme="majorHAnsi"/>
                <w:sz w:val="24"/>
                <w:lang w:val="en-GB"/>
              </w:rPr>
              <w:t xml:space="preserve">MRS </w:t>
            </w:r>
            <w:r w:rsidRPr="005C561C">
              <w:rPr>
                <w:rFonts w:asciiTheme="majorHAnsi" w:hAnsiTheme="majorHAnsi" w:cs="Arial"/>
                <w:sz w:val="24"/>
                <w:szCs w:val="24"/>
                <w:lang w:val="en-GB"/>
              </w:rPr>
              <w:t>Lot 3 –</w:t>
            </w:r>
            <w:r w:rsidRPr="005C561C">
              <w:rPr>
                <w:rFonts w:asciiTheme="majorHAnsi" w:eastAsia="Times New Roman" w:hAnsiTheme="majorHAnsi" w:cs="Times New Roman"/>
                <w:sz w:val="24"/>
                <w:szCs w:val="24"/>
                <w:lang w:val="ro-RO" w:eastAsia="ro-RO"/>
              </w:rPr>
              <w:t xml:space="preserve"> procurement of the MRS in progress</w:t>
            </w:r>
          </w:p>
          <w:p w:rsidR="0037604E" w:rsidRPr="005C561C" w:rsidRDefault="0037604E" w:rsidP="00FA6EB9">
            <w:pPr>
              <w:numPr>
                <w:ilvl w:val="0"/>
                <w:numId w:val="69"/>
              </w:numPr>
              <w:spacing w:after="0" w:line="240" w:lineRule="auto"/>
              <w:jc w:val="both"/>
              <w:rPr>
                <w:rFonts w:asciiTheme="majorHAnsi" w:hAnsiTheme="majorHAnsi" w:cs="Arial"/>
                <w:sz w:val="24"/>
                <w:szCs w:val="24"/>
                <w:lang w:val="en-GB"/>
              </w:rPr>
            </w:pPr>
            <w:r w:rsidRPr="005C561C">
              <w:rPr>
                <w:rFonts w:asciiTheme="majorHAnsi" w:hAnsiTheme="majorHAnsi" w:cs="Arial"/>
                <w:sz w:val="24"/>
                <w:szCs w:val="24"/>
                <w:lang w:val="en-GB"/>
              </w:rPr>
              <w:t xml:space="preserve">Modernisation of MRS </w:t>
            </w:r>
            <w:r w:rsidRPr="005C561C">
              <w:rPr>
                <w:rFonts w:asciiTheme="majorHAnsi" w:eastAsia="Times New Roman" w:hAnsiTheme="majorHAnsi"/>
                <w:sz w:val="24"/>
                <w:szCs w:val="24"/>
                <w:lang w:val="ro-RO"/>
              </w:rPr>
              <w:t xml:space="preserve">Drăgănești Olt, Olt county </w:t>
            </w:r>
            <w:r w:rsidRPr="005C561C">
              <w:rPr>
                <w:rFonts w:asciiTheme="majorHAnsi" w:hAnsiTheme="majorHAnsi"/>
                <w:sz w:val="24"/>
                <w:lang w:val="en-GB"/>
              </w:rPr>
              <w:t>– under the procurement procedure;</w:t>
            </w:r>
          </w:p>
          <w:p w:rsidR="0037604E" w:rsidRPr="005C561C" w:rsidRDefault="0037604E" w:rsidP="00FA6EB9">
            <w:pPr>
              <w:numPr>
                <w:ilvl w:val="0"/>
                <w:numId w:val="69"/>
              </w:numPr>
              <w:spacing w:after="0" w:line="240" w:lineRule="auto"/>
              <w:jc w:val="both"/>
              <w:rPr>
                <w:rFonts w:asciiTheme="majorHAnsi" w:hAnsiTheme="majorHAnsi" w:cs="Arial"/>
                <w:sz w:val="24"/>
                <w:szCs w:val="24"/>
                <w:lang w:val="en-GB"/>
              </w:rPr>
            </w:pPr>
            <w:r w:rsidRPr="005C561C">
              <w:rPr>
                <w:rFonts w:asciiTheme="majorHAnsi" w:eastAsia="Times New Roman" w:hAnsiTheme="majorHAnsi"/>
                <w:sz w:val="24"/>
                <w:szCs w:val="24"/>
                <w:lang w:val="ro-RO"/>
              </w:rPr>
              <w:t xml:space="preserve">Replacement of technological installations at MRS Timișoara I – </w:t>
            </w:r>
            <w:r w:rsidRPr="005C561C">
              <w:rPr>
                <w:rFonts w:asciiTheme="majorHAnsi" w:hAnsiTheme="majorHAnsi" w:cs="Arial"/>
                <w:sz w:val="24"/>
                <w:szCs w:val="24"/>
                <w:lang w:val="en-GB"/>
              </w:rPr>
              <w:t xml:space="preserve">under the </w:t>
            </w:r>
            <w:r w:rsidRPr="005C561C">
              <w:rPr>
                <w:rFonts w:asciiTheme="majorHAnsi" w:hAnsiTheme="majorHAnsi"/>
                <w:sz w:val="24"/>
                <w:lang w:val="en-GB"/>
              </w:rPr>
              <w:t>procurement procedure</w:t>
            </w:r>
            <w:r w:rsidRPr="005C561C">
              <w:rPr>
                <w:rFonts w:asciiTheme="majorHAnsi" w:hAnsiTheme="majorHAnsi" w:cs="Arial"/>
                <w:sz w:val="24"/>
                <w:szCs w:val="24"/>
                <w:lang w:val="en-GB"/>
              </w:rPr>
              <w:t>;</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val="ro-RO" w:eastAsia="ro-RO"/>
              </w:rPr>
              <w:lastRenderedPageBreak/>
              <w:t>Upgrading of MRS IZVIN –</w:t>
            </w:r>
            <w:r w:rsidRPr="0037604E">
              <w:rPr>
                <w:rFonts w:asciiTheme="majorHAnsi" w:hAnsiTheme="majorHAnsi"/>
                <w:sz w:val="24"/>
                <w:lang w:val="ro-RO"/>
              </w:rPr>
              <w:t xml:space="preserve"> under </w:t>
            </w:r>
            <w:r w:rsidRPr="0037604E">
              <w:rPr>
                <w:rFonts w:asciiTheme="majorHAnsi" w:eastAsia="Times New Roman" w:hAnsiTheme="majorHAnsi" w:cs="Times New Roman"/>
                <w:sz w:val="24"/>
                <w:szCs w:val="24"/>
                <w:lang w:val="ro-RO" w:eastAsia="ro-RO"/>
              </w:rPr>
              <w:t>design;</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val="ro-RO" w:eastAsia="ro-RO"/>
              </w:rPr>
              <w:t>Upgrading of MRS Chișineu Cris – under design;</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 xml:space="preserve">Re-location, re-sizing and adaptation to land of technological installation of MRS Cărămida Tg. Mureș at MRS Cristești – </w:t>
            </w:r>
            <w:r w:rsidRPr="0037604E">
              <w:rPr>
                <w:rFonts w:asciiTheme="majorHAnsi" w:hAnsiTheme="majorHAnsi" w:cs="Arial"/>
                <w:sz w:val="24"/>
                <w:szCs w:val="24"/>
                <w:lang w:val="en-GB"/>
              </w:rPr>
              <w:t>the execution works are finalized and accepted;</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 xml:space="preserve">MRS Oradea I – the execution works in progress; </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 xml:space="preserve">MRS adaptation to land lot 1 and 2 – MRS Dej II and Fălticeni adaptation to land </w:t>
            </w:r>
            <w:r w:rsidRPr="0037604E">
              <w:rPr>
                <w:rFonts w:asciiTheme="majorHAnsi" w:hAnsiTheme="majorHAnsi" w:cs="Arial"/>
                <w:sz w:val="24"/>
                <w:szCs w:val="24"/>
                <w:lang w:val="en-GB"/>
              </w:rPr>
              <w:t xml:space="preserve">under the </w:t>
            </w:r>
            <w:r w:rsidRPr="0037604E">
              <w:rPr>
                <w:rFonts w:asciiTheme="majorHAnsi" w:hAnsiTheme="majorHAnsi"/>
                <w:sz w:val="24"/>
                <w:lang w:val="en-GB"/>
              </w:rPr>
              <w:t>procurement procedure</w:t>
            </w:r>
            <w:r w:rsidRPr="0037604E">
              <w:rPr>
                <w:rFonts w:asciiTheme="majorHAnsi" w:eastAsia="Times New Roman" w:hAnsiTheme="majorHAnsi"/>
                <w:sz w:val="24"/>
                <w:szCs w:val="24"/>
                <w:lang w:val="ro-RO"/>
              </w:rPr>
              <w:t>;</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 xml:space="preserve">MRS Brazi – </w:t>
            </w:r>
            <w:r w:rsidRPr="0037604E">
              <w:rPr>
                <w:rFonts w:asciiTheme="majorHAnsi" w:hAnsiTheme="majorHAnsi" w:cs="Arial"/>
                <w:sz w:val="24"/>
                <w:szCs w:val="24"/>
                <w:lang w:val="en-GB"/>
              </w:rPr>
              <w:t>the execution works are finalized and accepted</w:t>
            </w:r>
            <w:r w:rsidRPr="0037604E">
              <w:rPr>
                <w:rFonts w:asciiTheme="majorHAnsi" w:eastAsia="Times New Roman" w:hAnsiTheme="majorHAnsi"/>
                <w:sz w:val="24"/>
                <w:szCs w:val="24"/>
                <w:lang w:val="ro-RO"/>
              </w:rPr>
              <w:t>;</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MRS Câmpina (Petroutilaj P.Câmpina) – the contract concluded was cancelled following differences between the design subject and the FEED which will be prepared again;</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sz w:val="24"/>
                <w:szCs w:val="24"/>
                <w:lang w:val="ro-RO"/>
              </w:rPr>
              <w:t xml:space="preserve">MRS ISCIP Orăștie (ROMOS) – </w:t>
            </w:r>
            <w:r w:rsidRPr="0037604E">
              <w:rPr>
                <w:rFonts w:asciiTheme="majorHAnsi" w:hAnsiTheme="majorHAnsi" w:cs="Arial"/>
                <w:sz w:val="24"/>
                <w:szCs w:val="24"/>
                <w:lang w:val="en-GB"/>
              </w:rPr>
              <w:t>the execution works are finalized and accepted;</w:t>
            </w:r>
          </w:p>
          <w:p w:rsidR="0037604E" w:rsidRPr="0037604E" w:rsidRDefault="0037604E" w:rsidP="00FA6EB9">
            <w:pPr>
              <w:numPr>
                <w:ilvl w:val="0"/>
                <w:numId w:val="69"/>
              </w:numPr>
              <w:spacing w:after="0" w:line="240" w:lineRule="auto"/>
              <w:contextualSpacing/>
              <w:jc w:val="both"/>
              <w:rPr>
                <w:rFonts w:asciiTheme="majorHAnsi" w:hAnsiTheme="majorHAnsi" w:cs="Times New Roman"/>
                <w:sz w:val="24"/>
                <w:szCs w:val="24"/>
                <w:lang w:val="ro-RO"/>
              </w:rPr>
            </w:pPr>
            <w:r w:rsidRPr="0037604E">
              <w:rPr>
                <w:rFonts w:asciiTheme="majorHAnsi" w:eastAsia="Times New Roman" w:hAnsiTheme="majorHAnsi"/>
                <w:sz w:val="24"/>
                <w:szCs w:val="24"/>
                <w:lang w:val="ro-RO"/>
              </w:rPr>
              <w:t>Re-location, re-sizing and adaptation to land of technological installation of MRS</w:t>
            </w:r>
            <w:r w:rsidRPr="0037604E">
              <w:rPr>
                <w:rFonts w:asciiTheme="majorHAnsi" w:hAnsiTheme="majorHAnsi" w:cs="Times New Roman"/>
                <w:sz w:val="24"/>
                <w:szCs w:val="24"/>
                <w:lang w:val="ro-RO"/>
              </w:rPr>
              <w:t xml:space="preserve"> SUPERCOM Afumați la SRM Dragomirești – </w:t>
            </w:r>
            <w:r w:rsidRPr="0037604E">
              <w:rPr>
                <w:rFonts w:asciiTheme="majorHAnsi" w:hAnsiTheme="majorHAnsi" w:cs="Arial"/>
                <w:sz w:val="24"/>
                <w:szCs w:val="24"/>
                <w:lang w:val="en-GB"/>
              </w:rPr>
              <w:t xml:space="preserve">under the </w:t>
            </w:r>
            <w:r w:rsidRPr="0037604E">
              <w:rPr>
                <w:rFonts w:asciiTheme="majorHAnsi" w:hAnsiTheme="majorHAnsi"/>
                <w:sz w:val="24"/>
                <w:lang w:val="en-GB"/>
              </w:rPr>
              <w:t>procurement procedure</w:t>
            </w:r>
            <w:r w:rsidRPr="0037604E">
              <w:rPr>
                <w:rFonts w:asciiTheme="majorHAnsi" w:hAnsiTheme="majorHAnsi" w:cs="Arial"/>
                <w:sz w:val="24"/>
                <w:szCs w:val="24"/>
                <w:lang w:val="ro-RO"/>
              </w:rPr>
              <w:t>.</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Times New Roman"/>
                <w:sz w:val="24"/>
                <w:szCs w:val="24"/>
                <w:lang w:val="ro-RO" w:eastAsia="ro-RO"/>
              </w:rPr>
              <w:t xml:space="preserve">MRS boxes – made by the personnel at the </w:t>
            </w:r>
            <w:r w:rsidRPr="0037604E">
              <w:rPr>
                <w:rFonts w:asciiTheme="majorHAnsi" w:eastAsia="Times New Roman" w:hAnsiTheme="majorHAnsi" w:cs="Arial"/>
                <w:sz w:val="24"/>
                <w:szCs w:val="24"/>
                <w:lang w:val="ro-RO" w:eastAsia="ro-RO"/>
              </w:rPr>
              <w:t xml:space="preserve">Mediaș </w:t>
            </w:r>
            <w:r w:rsidRPr="0037604E">
              <w:rPr>
                <w:rFonts w:asciiTheme="majorHAnsi" w:eastAsia="Times New Roman" w:hAnsiTheme="majorHAnsi" w:cs="Times New Roman"/>
                <w:sz w:val="24"/>
                <w:szCs w:val="24"/>
                <w:lang w:val="ro-RO" w:eastAsia="ro-RO"/>
              </w:rPr>
              <w:t xml:space="preserve">Regional Office for the </w:t>
            </w:r>
            <w:r w:rsidRPr="0037604E">
              <w:rPr>
                <w:rFonts w:asciiTheme="majorHAnsi" w:eastAsia="Times New Roman" w:hAnsiTheme="majorHAnsi" w:cs="Arial"/>
                <w:sz w:val="24"/>
                <w:szCs w:val="24"/>
                <w:lang w:val="ro-RO" w:eastAsia="ro-RO"/>
              </w:rPr>
              <w:t>Boița and Venturelli MRSs;</w:t>
            </w:r>
          </w:p>
          <w:p w:rsidR="0037604E" w:rsidRPr="0037604E" w:rsidRDefault="0037604E" w:rsidP="00FA6EB9">
            <w:pPr>
              <w:numPr>
                <w:ilvl w:val="0"/>
                <w:numId w:val="69"/>
              </w:numPr>
              <w:spacing w:after="0" w:line="240" w:lineRule="auto"/>
              <w:jc w:val="both"/>
              <w:rPr>
                <w:rFonts w:asciiTheme="majorHAnsi" w:hAnsiTheme="majorHAnsi" w:cs="Arial"/>
                <w:b/>
                <w:sz w:val="24"/>
                <w:szCs w:val="24"/>
              </w:rPr>
            </w:pPr>
            <w:r w:rsidRPr="0037604E">
              <w:rPr>
                <w:rFonts w:asciiTheme="majorHAnsi" w:hAnsiTheme="majorHAnsi" w:cs="Arial"/>
                <w:sz w:val="24"/>
                <w:szCs w:val="24"/>
                <w:lang w:val="en-GB"/>
              </w:rPr>
              <w:t xml:space="preserve">Modernisation and adaptation to land of the </w:t>
            </w:r>
            <w:r w:rsidRPr="0037604E">
              <w:rPr>
                <w:rFonts w:asciiTheme="majorHAnsi" w:eastAsia="Times New Roman" w:hAnsiTheme="majorHAnsi" w:cs="Arial"/>
                <w:sz w:val="24"/>
                <w:szCs w:val="24"/>
                <w:lang w:val="ro-RO" w:eastAsia="ro-RO"/>
              </w:rPr>
              <w:t>Suceava MRS – under procurement procedure;</w:t>
            </w:r>
          </w:p>
          <w:p w:rsidR="0037604E" w:rsidRPr="0037604E" w:rsidRDefault="0037604E" w:rsidP="00FA6EB9">
            <w:pPr>
              <w:numPr>
                <w:ilvl w:val="0"/>
                <w:numId w:val="69"/>
              </w:numPr>
              <w:spacing w:after="0" w:line="240" w:lineRule="auto"/>
              <w:jc w:val="both"/>
              <w:rPr>
                <w:rFonts w:asciiTheme="majorHAnsi" w:eastAsia="Times New Roman" w:hAnsiTheme="majorHAnsi" w:cs="Times New Roman"/>
                <w:sz w:val="24"/>
                <w:szCs w:val="24"/>
                <w:lang w:val="ro-RO" w:eastAsia="ro-RO"/>
              </w:rPr>
            </w:pPr>
            <w:r w:rsidRPr="0037604E">
              <w:rPr>
                <w:rFonts w:asciiTheme="majorHAnsi" w:eastAsia="Times New Roman" w:hAnsiTheme="majorHAnsi" w:cs="Arial"/>
                <w:sz w:val="24"/>
                <w:szCs w:val="24"/>
                <w:lang w:val="ro-RO" w:eastAsia="ro-RO"/>
              </w:rPr>
              <w:t xml:space="preserve">Upgrading of MRS Bârcea – under procurement procedure </w:t>
            </w:r>
          </w:p>
          <w:p w:rsidR="0037604E" w:rsidRPr="0037604E" w:rsidRDefault="0037604E" w:rsidP="0037604E">
            <w:pPr>
              <w:spacing w:after="0" w:line="240" w:lineRule="auto"/>
              <w:ind w:left="720" w:firstLine="0"/>
              <w:jc w:val="both"/>
              <w:rPr>
                <w:rFonts w:asciiTheme="majorHAnsi" w:hAnsiTheme="majorHAnsi" w:cs="Arial"/>
                <w:color w:val="FF0000"/>
                <w:sz w:val="24"/>
                <w:szCs w:val="24"/>
                <w:lang w:val="en-GB"/>
              </w:rPr>
            </w:pPr>
          </w:p>
        </w:tc>
      </w:tr>
      <w:tr w:rsidR="0037604E" w:rsidRPr="0037604E" w:rsidTr="0037604E">
        <w:trPr>
          <w:trHeight w:val="30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lastRenderedPageBreak/>
              <w:t xml:space="preserve">Cathodic Protection Station </w:t>
            </w:r>
          </w:p>
        </w:tc>
      </w:tr>
      <w:tr w:rsidR="0037604E" w:rsidRPr="0037604E" w:rsidTr="0037604E">
        <w:trPr>
          <w:trHeight w:val="407"/>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 xml:space="preserve">In 2015 the </w:t>
            </w:r>
            <w:r w:rsidRPr="0037604E">
              <w:rPr>
                <w:rFonts w:asciiTheme="majorHAnsi" w:hAnsiTheme="majorHAnsi"/>
                <w:sz w:val="24"/>
                <w:szCs w:val="24"/>
              </w:rPr>
              <w:t>Laloșu</w:t>
            </w:r>
            <w:r w:rsidRPr="0037604E">
              <w:rPr>
                <w:rFonts w:asciiTheme="majorHAnsi" w:hAnsiTheme="majorHAnsi" w:cs="Arial"/>
                <w:sz w:val="24"/>
                <w:szCs w:val="24"/>
                <w:lang w:val="en-GB"/>
              </w:rPr>
              <w:t xml:space="preserve"> CPS execution works were completed. At the Hârlești CPS the consent of the land owner was obtained and the obtaining of the building permit is in progress. The 5 remaining CPUs are under design.</w:t>
            </w:r>
          </w:p>
        </w:tc>
      </w:tr>
      <w:tr w:rsidR="0037604E" w:rsidRPr="0037604E" w:rsidTr="0037604E">
        <w:trPr>
          <w:trHeight w:val="380"/>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 xml:space="preserve">The works related to the information technology and telecommunication </w:t>
            </w:r>
          </w:p>
        </w:tc>
      </w:tr>
      <w:tr w:rsidR="0037604E" w:rsidRPr="0037604E" w:rsidTr="0037604E">
        <w:trPr>
          <w:trHeight w:val="75"/>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The annual achievements mainly represent the value of the procurement of softs and IT, video and telecommunication equipment.</w:t>
            </w:r>
            <w:r w:rsidRPr="0037604E">
              <w:rPr>
                <w:rFonts w:asciiTheme="majorHAnsi" w:eastAsia="Times New Roman" w:hAnsiTheme="majorHAnsi" w:cs="Times New Roman"/>
                <w:sz w:val="24"/>
                <w:szCs w:val="24"/>
                <w:lang w:val="ro-RO" w:eastAsia="ro-RO"/>
              </w:rPr>
              <w:t xml:space="preserve"> The modernization works of Cluj and Mediaș Regional Office IT/TC data network are in progress.</w:t>
            </w:r>
          </w:p>
        </w:tc>
      </w:tr>
      <w:tr w:rsidR="0037604E" w:rsidRPr="0037604E" w:rsidTr="0037604E">
        <w:trPr>
          <w:trHeight w:val="353"/>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sz w:val="24"/>
                <w:szCs w:val="24"/>
                <w:lang w:val="en-GB"/>
              </w:rPr>
            </w:pPr>
            <w:r w:rsidRPr="0037604E">
              <w:rPr>
                <w:rFonts w:asciiTheme="majorHAnsi" w:hAnsiTheme="majorHAnsi" w:cs="Arial"/>
                <w:b/>
                <w:sz w:val="24"/>
                <w:szCs w:val="24"/>
                <w:lang w:val="en-GB"/>
              </w:rPr>
              <w:t xml:space="preserve">Surface construction and installation works for the odorization installations. </w:t>
            </w:r>
          </w:p>
        </w:tc>
      </w:tr>
      <w:tr w:rsidR="0037604E" w:rsidRPr="0037604E" w:rsidTr="0037604E">
        <w:trPr>
          <w:trHeight w:val="73"/>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sz w:val="24"/>
                <w:szCs w:val="24"/>
                <w:lang w:val="en-GB"/>
              </w:rPr>
            </w:pPr>
            <w:r w:rsidRPr="0037604E">
              <w:rPr>
                <w:rFonts w:asciiTheme="majorHAnsi" w:hAnsiTheme="majorHAnsi" w:cs="Arial"/>
                <w:sz w:val="24"/>
                <w:szCs w:val="24"/>
                <w:lang w:val="en-GB"/>
              </w:rPr>
              <w:t xml:space="preserve">For the 92 installations contracted with SC TOTAL GAZ Iași and SC SUDOCOR VMV – Făgăraș, the mounting works are in progress being mounted </w:t>
            </w:r>
            <w:r w:rsidRPr="0037604E">
              <w:rPr>
                <w:rFonts w:asciiTheme="majorHAnsi" w:hAnsiTheme="majorHAnsi" w:cs="Arial"/>
                <w:sz w:val="24"/>
                <w:szCs w:val="24"/>
              </w:rPr>
              <w:t xml:space="preserve">90 new installations, and </w:t>
            </w:r>
            <w:r w:rsidRPr="0037604E">
              <w:rPr>
                <w:rFonts w:asciiTheme="majorHAnsi" w:hAnsiTheme="majorHAnsi"/>
                <w:sz w:val="24"/>
              </w:rPr>
              <w:t>lot 2 is under the procurement procedure.</w:t>
            </w:r>
          </w:p>
        </w:tc>
      </w:tr>
      <w:tr w:rsidR="0037604E" w:rsidRPr="0037604E" w:rsidTr="0037604E">
        <w:trPr>
          <w:trHeight w:val="380"/>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b/>
                <w:sz w:val="24"/>
                <w:szCs w:val="24"/>
              </w:rPr>
              <w:t>Connections, networks and thermal installations at the administrative offices and MRS</w:t>
            </w:r>
          </w:p>
        </w:tc>
      </w:tr>
      <w:tr w:rsidR="0037604E" w:rsidRPr="0037604E" w:rsidTr="0037604E">
        <w:trPr>
          <w:trHeight w:val="605"/>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lang w:val="en"/>
              </w:rPr>
              <w:t xml:space="preserve">The works at the heating system at Aghireşu MRS, at the Slobozia MRS thermal installation and at the </w:t>
            </w:r>
            <w:r w:rsidRPr="0037604E">
              <w:rPr>
                <w:rFonts w:asciiTheme="majorHAnsi" w:hAnsiTheme="majorHAnsi" w:cs="Arial"/>
                <w:sz w:val="24"/>
                <w:szCs w:val="24"/>
              </w:rPr>
              <w:t>Bățani Sector thermal</w:t>
            </w:r>
            <w:r w:rsidRPr="0037604E">
              <w:rPr>
                <w:rFonts w:asciiTheme="majorHAnsi" w:hAnsiTheme="majorHAnsi" w:cs="Arial"/>
                <w:sz w:val="24"/>
                <w:szCs w:val="24"/>
                <w:lang w:val="en"/>
              </w:rPr>
              <w:t xml:space="preserve"> heating system are completed and accepted. The street sewerage connection works regarding the building of the Tg. Jiu Sector, the </w:t>
            </w:r>
            <w:r w:rsidRPr="0037604E">
              <w:rPr>
                <w:rFonts w:asciiTheme="majorHAnsi" w:hAnsiTheme="majorHAnsi" w:cs="Arial"/>
                <w:sz w:val="24"/>
                <w:szCs w:val="24"/>
              </w:rPr>
              <w:t xml:space="preserve">Chişcani MRS </w:t>
            </w:r>
            <w:r w:rsidRPr="0037604E">
              <w:rPr>
                <w:rFonts w:asciiTheme="majorHAnsi" w:hAnsiTheme="majorHAnsi" w:cs="Arial"/>
                <w:sz w:val="24"/>
                <w:szCs w:val="24"/>
                <w:lang w:val="en"/>
              </w:rPr>
              <w:t>water supply works and the procurements of 20 thermal heating systems and 19 convectors which will be mounted at the MRS are under the procurement procedure. The other objectives planned are under design.</w:t>
            </w:r>
          </w:p>
        </w:tc>
      </w:tr>
      <w:tr w:rsidR="0037604E" w:rsidRPr="0037604E" w:rsidTr="0037604E">
        <w:trPr>
          <w:trHeight w:val="448"/>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b/>
                <w:bCs/>
                <w:iCs/>
                <w:sz w:val="24"/>
                <w:szCs w:val="24"/>
              </w:rPr>
            </w:pPr>
            <w:r w:rsidRPr="0037604E">
              <w:rPr>
                <w:rFonts w:asciiTheme="majorHAnsi" w:hAnsiTheme="majorHAnsi"/>
                <w:b/>
                <w:iCs/>
                <w:sz w:val="24"/>
                <w:szCs w:val="24"/>
              </w:rPr>
              <w:t xml:space="preserve">Regional Office administrative offices and production bases </w:t>
            </w:r>
          </w:p>
          <w:p w:rsidR="0037604E" w:rsidRPr="0037604E" w:rsidRDefault="0037604E" w:rsidP="0037604E">
            <w:pPr>
              <w:spacing w:after="0" w:line="240" w:lineRule="auto"/>
              <w:jc w:val="both"/>
              <w:rPr>
                <w:rFonts w:asciiTheme="majorHAnsi" w:hAnsiTheme="majorHAnsi" w:cs="Arial"/>
                <w:color w:val="FF0000"/>
                <w:sz w:val="24"/>
                <w:szCs w:val="24"/>
                <w:lang w:val="en-GB"/>
              </w:rPr>
            </w:pPr>
          </w:p>
        </w:tc>
      </w:tr>
      <w:tr w:rsidR="0037604E" w:rsidRPr="0037604E" w:rsidTr="0037604E">
        <w:trPr>
          <w:trHeight w:val="380"/>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Cs/>
                <w:iCs/>
                <w:sz w:val="24"/>
                <w:szCs w:val="24"/>
              </w:rPr>
              <w:t xml:space="preserve">The Siliștea CS insulation works, the rehabilitation works at the Transgaz offices in  G Enescu street, the modernization of job flat in Medias, Feleac street, and the air conditioning installation cleaning works at the Transgaz Representative Office in Primăverii Blvd., Bucharest were completed. At the Transgaz office in Medias in 6 </w:t>
            </w:r>
            <w:r w:rsidRPr="0037604E">
              <w:rPr>
                <w:rFonts w:asciiTheme="majorHAnsi" w:hAnsiTheme="majorHAnsi"/>
                <w:bCs/>
                <w:iCs/>
                <w:sz w:val="24"/>
                <w:szCs w:val="24"/>
              </w:rPr>
              <w:lastRenderedPageBreak/>
              <w:t>Carpati street, due to major delays in the execution of the works, the execution contract concluded with SC SEVENERG Brăila was terminated. The remaining objectives planned are under design.</w:t>
            </w:r>
          </w:p>
        </w:tc>
      </w:tr>
      <w:tr w:rsidR="0037604E" w:rsidRPr="0037604E" w:rsidTr="0037604E">
        <w:trPr>
          <w:trHeight w:val="380"/>
          <w:tblCellSpacing w:w="20" w:type="dxa"/>
        </w:trPr>
        <w:tc>
          <w:tcPr>
            <w:tcW w:w="8941" w:type="dxa"/>
            <w:shd w:val="clear" w:color="auto" w:fill="F2F2F2"/>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b/>
                <w:iCs/>
                <w:sz w:val="24"/>
                <w:szCs w:val="24"/>
              </w:rPr>
              <w:lastRenderedPageBreak/>
              <w:t>Security and surveillance systems</w:t>
            </w:r>
            <w:r w:rsidRPr="0037604E">
              <w:rPr>
                <w:rFonts w:asciiTheme="majorHAnsi" w:hAnsiTheme="majorHAnsi"/>
                <w:b/>
                <w:bCs/>
                <w:iCs/>
                <w:sz w:val="24"/>
                <w:szCs w:val="24"/>
              </w:rPr>
              <w:t xml:space="preserve"> </w:t>
            </w:r>
          </w:p>
        </w:tc>
      </w:tr>
      <w:tr w:rsidR="0037604E" w:rsidRPr="0037604E" w:rsidTr="0037604E">
        <w:trPr>
          <w:trHeight w:val="378"/>
          <w:tblCellSpacing w:w="20" w:type="dxa"/>
        </w:trPr>
        <w:tc>
          <w:tcPr>
            <w:tcW w:w="8941" w:type="dxa"/>
            <w:shd w:val="clear" w:color="auto" w:fill="auto"/>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sz w:val="24"/>
              </w:rPr>
              <w:t>The security and surveillance systems at Isaccea GMS are completed and accepted.</w:t>
            </w:r>
          </w:p>
        </w:tc>
      </w:tr>
      <w:tr w:rsidR="0037604E" w:rsidRPr="0037604E" w:rsidTr="0037604E">
        <w:trPr>
          <w:trHeight w:val="380"/>
          <w:tblCellSpacing w:w="20" w:type="dxa"/>
        </w:trPr>
        <w:tc>
          <w:tcPr>
            <w:tcW w:w="8941" w:type="dxa"/>
            <w:shd w:val="clear" w:color="auto" w:fill="F2F2F2"/>
            <w:vAlign w:val="center"/>
          </w:tcPr>
          <w:p w:rsidR="0037604E" w:rsidRPr="0037604E" w:rsidRDefault="0037604E" w:rsidP="0037604E">
            <w:pPr>
              <w:spacing w:after="0" w:line="240" w:lineRule="auto"/>
              <w:ind w:firstLine="0"/>
              <w:jc w:val="both"/>
              <w:rPr>
                <w:rFonts w:asciiTheme="majorHAnsi" w:hAnsiTheme="majorHAnsi" w:cs="Arial"/>
                <w:b/>
                <w:color w:val="FF0000"/>
                <w:sz w:val="24"/>
                <w:szCs w:val="24"/>
                <w:lang w:val="en-GB"/>
              </w:rPr>
            </w:pPr>
            <w:r w:rsidRPr="0037604E">
              <w:rPr>
                <w:rFonts w:asciiTheme="majorHAnsi" w:hAnsiTheme="majorHAnsi" w:cs="Arial"/>
                <w:b/>
                <w:sz w:val="24"/>
                <w:szCs w:val="24"/>
                <w:lang w:val="en-GB"/>
              </w:rPr>
              <w:t>NTS acces works</w:t>
            </w:r>
          </w:p>
        </w:tc>
      </w:tr>
      <w:tr w:rsidR="0037604E" w:rsidRPr="0037604E" w:rsidTr="0037604E">
        <w:trPr>
          <w:trHeight w:val="578"/>
          <w:tblCellSpacing w:w="20" w:type="dxa"/>
        </w:trPr>
        <w:tc>
          <w:tcPr>
            <w:tcW w:w="8941" w:type="dxa"/>
            <w:vAlign w:val="center"/>
          </w:tcPr>
          <w:p w:rsidR="0037604E" w:rsidRPr="0037604E" w:rsidRDefault="0037604E" w:rsidP="0037604E">
            <w:pPr>
              <w:spacing w:after="0" w:line="240" w:lineRule="auto"/>
              <w:ind w:firstLine="0"/>
              <w:jc w:val="both"/>
              <w:rPr>
                <w:rFonts w:asciiTheme="majorHAnsi" w:hAnsiTheme="majorHAnsi" w:cs="Arial"/>
                <w:color w:val="FF0000"/>
                <w:sz w:val="24"/>
                <w:szCs w:val="24"/>
                <w:lang w:val="en-GB"/>
              </w:rPr>
            </w:pPr>
            <w:r w:rsidRPr="0037604E">
              <w:rPr>
                <w:rFonts w:asciiTheme="majorHAnsi" w:hAnsiTheme="majorHAnsi" w:cs="Arial"/>
                <w:sz w:val="24"/>
                <w:szCs w:val="24"/>
              </w:rPr>
              <w:t xml:space="preserve">Independența Galați MRS and </w:t>
            </w:r>
            <w:r w:rsidRPr="0037604E">
              <w:rPr>
                <w:rFonts w:asciiTheme="majorHAnsi" w:hAnsiTheme="majorHAnsi"/>
                <w:sz w:val="24"/>
              </w:rPr>
              <w:t>Borzești</w:t>
            </w:r>
            <w:r w:rsidRPr="0037604E">
              <w:rPr>
                <w:rFonts w:asciiTheme="majorHAnsi" w:hAnsiTheme="majorHAnsi" w:cs="Arial"/>
                <w:sz w:val="24"/>
                <w:szCs w:val="24"/>
              </w:rPr>
              <w:t xml:space="preserve"> MRS extension works and the execution of the connections and MRS at </w:t>
            </w:r>
            <w:r w:rsidRPr="0037604E">
              <w:rPr>
                <w:rFonts w:asciiTheme="majorHAnsi" w:hAnsiTheme="majorHAnsi"/>
                <w:sz w:val="24"/>
              </w:rPr>
              <w:t>Bucovăț</w:t>
            </w:r>
            <w:r w:rsidRPr="0037604E">
              <w:rPr>
                <w:rFonts w:asciiTheme="majorHAnsi" w:hAnsiTheme="majorHAnsi" w:cs="Arial"/>
                <w:sz w:val="24"/>
                <w:szCs w:val="24"/>
              </w:rPr>
              <w:t xml:space="preserve">, Frumușica, </w:t>
            </w:r>
            <w:r w:rsidRPr="0037604E">
              <w:rPr>
                <w:rFonts w:asciiTheme="majorHAnsi" w:hAnsiTheme="majorHAnsi"/>
                <w:sz w:val="24"/>
              </w:rPr>
              <w:t>Slobozia</w:t>
            </w:r>
            <w:r w:rsidRPr="0037604E">
              <w:rPr>
                <w:rFonts w:asciiTheme="majorHAnsi" w:hAnsiTheme="majorHAnsi" w:cs="Arial"/>
                <w:sz w:val="24"/>
                <w:szCs w:val="24"/>
              </w:rPr>
              <w:t xml:space="preserve"> II</w:t>
            </w:r>
            <w:r w:rsidRPr="0037604E">
              <w:rPr>
                <w:rFonts w:asciiTheme="majorHAnsi" w:hAnsiTheme="majorHAnsi"/>
                <w:sz w:val="24"/>
              </w:rPr>
              <w:t xml:space="preserve">, Ștefan Vodă, </w:t>
            </w:r>
            <w:r w:rsidRPr="0037604E">
              <w:rPr>
                <w:rFonts w:asciiTheme="majorHAnsi" w:hAnsiTheme="majorHAnsi" w:cs="Arial"/>
                <w:sz w:val="24"/>
                <w:szCs w:val="24"/>
              </w:rPr>
              <w:t>Turceni and SC VANBET Rebricea were completed and accepted.</w:t>
            </w:r>
            <w:r w:rsidRPr="0037604E">
              <w:rPr>
                <w:rFonts w:asciiTheme="majorHAnsi" w:hAnsiTheme="majorHAnsi"/>
                <w:sz w:val="24"/>
              </w:rPr>
              <w:t xml:space="preserve"> The connectiona and MRS for </w:t>
            </w:r>
            <w:r w:rsidRPr="0037604E">
              <w:rPr>
                <w:rFonts w:asciiTheme="majorHAnsi" w:hAnsiTheme="majorHAnsi" w:cs="Arial"/>
                <w:sz w:val="24"/>
                <w:szCs w:val="24"/>
              </w:rPr>
              <w:t>CRAMELE Recaș, SC SCANDINC</w:t>
            </w:r>
            <w:r w:rsidRPr="0037604E">
              <w:rPr>
                <w:rFonts w:asciiTheme="majorHAnsi" w:hAnsiTheme="majorHAnsi"/>
                <w:sz w:val="24"/>
              </w:rPr>
              <w:t xml:space="preserve"> DISTILLERIES Drăgănești</w:t>
            </w:r>
            <w:r w:rsidRPr="0037604E">
              <w:rPr>
                <w:rFonts w:asciiTheme="majorHAnsi" w:hAnsiTheme="majorHAnsi" w:cs="Arial"/>
                <w:sz w:val="24"/>
                <w:szCs w:val="24"/>
              </w:rPr>
              <w:t>, SC ARC PARC Dej</w:t>
            </w:r>
            <w:r w:rsidRPr="0037604E">
              <w:rPr>
                <w:rFonts w:asciiTheme="majorHAnsi" w:hAnsiTheme="majorHAnsi"/>
                <w:sz w:val="24"/>
              </w:rPr>
              <w:t xml:space="preserve"> and </w:t>
            </w:r>
            <w:r w:rsidRPr="0037604E">
              <w:rPr>
                <w:rFonts w:asciiTheme="majorHAnsi" w:hAnsiTheme="majorHAnsi" w:cs="Arial"/>
                <w:sz w:val="24"/>
                <w:szCs w:val="24"/>
              </w:rPr>
              <w:t>Banca, Vaslui</w:t>
            </w:r>
            <w:r w:rsidRPr="0037604E">
              <w:rPr>
                <w:rFonts w:asciiTheme="majorHAnsi" w:hAnsiTheme="majorHAnsi"/>
                <w:sz w:val="24"/>
              </w:rPr>
              <w:t xml:space="preserve"> couty are in progress.</w:t>
            </w:r>
          </w:p>
        </w:tc>
      </w:tr>
    </w:tbl>
    <w:p w:rsidR="0037604E" w:rsidRPr="0037604E" w:rsidRDefault="0037604E" w:rsidP="0037604E">
      <w:pPr>
        <w:spacing w:after="0" w:line="240" w:lineRule="auto"/>
        <w:jc w:val="both"/>
        <w:rPr>
          <w:rFonts w:ascii="Cambria" w:eastAsia="Times New Roman" w:hAnsi="Cambria" w:cs="Arial"/>
          <w:b/>
          <w:sz w:val="24"/>
          <w:szCs w:val="24"/>
          <w:lang w:val="en-GB"/>
        </w:rPr>
      </w:pPr>
    </w:p>
    <w:p w:rsidR="0037604E" w:rsidRPr="0037604E" w:rsidRDefault="0037604E" w:rsidP="0037604E">
      <w:pPr>
        <w:spacing w:after="0" w:line="240" w:lineRule="auto"/>
        <w:ind w:firstLine="0"/>
        <w:jc w:val="both"/>
        <w:rPr>
          <w:rFonts w:ascii="Cambria" w:eastAsia="Times New Roman" w:hAnsi="Cambria" w:cs="Arial"/>
          <w:sz w:val="24"/>
          <w:szCs w:val="24"/>
          <w:lang w:val="en-GB"/>
        </w:rPr>
      </w:pPr>
      <w:r w:rsidRPr="0037604E">
        <w:rPr>
          <w:rFonts w:ascii="Cambria" w:eastAsia="Times New Roman" w:hAnsi="Cambria" w:cs="Arial"/>
          <w:b/>
          <w:sz w:val="24"/>
          <w:szCs w:val="24"/>
          <w:lang w:val="en-GB"/>
        </w:rPr>
        <w:t>Difficulties are still encountered during the achievement of some investment objectives</w:t>
      </w:r>
      <w:r w:rsidRPr="0037604E">
        <w:rPr>
          <w:rFonts w:ascii="Cambria" w:eastAsia="Times New Roman" w:hAnsi="Cambria" w:cs="Arial"/>
          <w:sz w:val="24"/>
          <w:szCs w:val="24"/>
          <w:lang w:val="en-GB"/>
        </w:rPr>
        <w:t>:</w:t>
      </w:r>
    </w:p>
    <w:p w:rsidR="0037604E" w:rsidRPr="0037604E" w:rsidRDefault="0037604E" w:rsidP="0037604E">
      <w:pPr>
        <w:spacing w:after="0" w:line="240" w:lineRule="auto"/>
        <w:ind w:firstLine="0"/>
        <w:jc w:val="both"/>
        <w:rPr>
          <w:rFonts w:ascii="Cambria" w:eastAsia="Times New Roman" w:hAnsi="Cambria" w:cs="Arial"/>
          <w:color w:val="FF0000"/>
          <w:sz w:val="24"/>
          <w:szCs w:val="24"/>
          <w:lang w:val="en-GB"/>
        </w:rPr>
      </w:pPr>
    </w:p>
    <w:p w:rsidR="0037604E" w:rsidRPr="0037604E" w:rsidRDefault="0037604E" w:rsidP="00FA6EB9">
      <w:pPr>
        <w:numPr>
          <w:ilvl w:val="0"/>
          <w:numId w:val="71"/>
        </w:numPr>
        <w:spacing w:after="0" w:line="240" w:lineRule="auto"/>
        <w:jc w:val="both"/>
        <w:rPr>
          <w:rFonts w:ascii="Cambria" w:eastAsia="Times New Roman" w:hAnsi="Cambria" w:cs="Arial"/>
          <w:sz w:val="24"/>
          <w:szCs w:val="24"/>
          <w:lang w:val="en-GB"/>
        </w:rPr>
      </w:pPr>
      <w:r w:rsidRPr="0037604E">
        <w:rPr>
          <w:rFonts w:ascii="Cambria" w:eastAsia="Times New Roman" w:hAnsi="Cambria" w:cs="Arial"/>
          <w:sz w:val="24"/>
          <w:szCs w:val="24"/>
          <w:lang w:val="en-GB"/>
        </w:rPr>
        <w:t>At the</w:t>
      </w:r>
      <w:r w:rsidRPr="0037604E">
        <w:rPr>
          <w:rFonts w:ascii="Cambria" w:eastAsia="Times New Roman" w:hAnsi="Cambria" w:cs="Arial"/>
          <w:b/>
          <w:sz w:val="24"/>
          <w:szCs w:val="24"/>
          <w:lang w:val="en-GB"/>
        </w:rPr>
        <w:t xml:space="preserve"> Ø 10”Câmpulung Moldovenesc – Vatra</w:t>
      </w:r>
      <w:r w:rsidRPr="0037604E">
        <w:rPr>
          <w:rFonts w:ascii="Cambria" w:eastAsia="Times New Roman" w:hAnsi="Cambria" w:cs="Arial"/>
          <w:sz w:val="24"/>
          <w:szCs w:val="24"/>
          <w:lang w:val="en-GB"/>
        </w:rPr>
        <w:t xml:space="preserve"> </w:t>
      </w:r>
      <w:r w:rsidRPr="0037604E">
        <w:rPr>
          <w:rFonts w:ascii="Cambria" w:eastAsia="Times New Roman" w:hAnsi="Cambria" w:cs="Arial"/>
          <w:b/>
          <w:sz w:val="24"/>
          <w:szCs w:val="24"/>
          <w:lang w:val="en-GB"/>
        </w:rPr>
        <w:t>Dornei gas transmission pipeline,</w:t>
      </w:r>
      <w:r w:rsidRPr="0037604E">
        <w:rPr>
          <w:rFonts w:ascii="Cambria" w:eastAsia="Times New Roman" w:hAnsi="Cambria" w:cs="Arial"/>
          <w:sz w:val="24"/>
          <w:szCs w:val="24"/>
          <w:lang w:val="en-GB"/>
        </w:rPr>
        <w:t xml:space="preserve"> the continuing of the works in the forest area on the section designed for Pojorâta at Vatra Dornei with a length of 25,8 km, depends upon the ROMSILVA permit, necessary for obtaining the building permit, not issued until now;</w:t>
      </w:r>
    </w:p>
    <w:p w:rsidR="0037604E" w:rsidRPr="0037604E" w:rsidRDefault="0037604E" w:rsidP="00FA6EB9">
      <w:pPr>
        <w:numPr>
          <w:ilvl w:val="0"/>
          <w:numId w:val="71"/>
        </w:numPr>
        <w:spacing w:after="0" w:line="240" w:lineRule="auto"/>
        <w:jc w:val="both"/>
        <w:rPr>
          <w:rFonts w:ascii="Cambria" w:eastAsia="Times New Roman" w:hAnsi="Cambria" w:cs="Arial"/>
          <w:sz w:val="24"/>
          <w:szCs w:val="24"/>
          <w:lang w:val="en-GB"/>
        </w:rPr>
      </w:pPr>
      <w:r w:rsidRPr="0037604E">
        <w:rPr>
          <w:rFonts w:ascii="Cambria" w:eastAsia="Times New Roman" w:hAnsi="Cambria" w:cs="Arial"/>
          <w:sz w:val="24"/>
          <w:szCs w:val="24"/>
          <w:lang w:val="en-GB"/>
        </w:rPr>
        <w:t xml:space="preserve">At the </w:t>
      </w:r>
      <w:r w:rsidRPr="0037604E">
        <w:rPr>
          <w:rFonts w:ascii="Cambria" w:eastAsia="Times New Roman" w:hAnsi="Cambria" w:cs="Arial"/>
          <w:b/>
          <w:sz w:val="24"/>
          <w:szCs w:val="24"/>
          <w:lang w:val="en-GB"/>
        </w:rPr>
        <w:t>Ø16” Vaslui – Iași</w:t>
      </w:r>
      <w:r w:rsidRPr="0037604E">
        <w:rPr>
          <w:rFonts w:ascii="Cambria" w:eastAsia="Times New Roman" w:hAnsi="Cambria" w:cs="Arial"/>
          <w:sz w:val="24"/>
          <w:szCs w:val="24"/>
          <w:lang w:val="en-GB"/>
        </w:rPr>
        <w:t xml:space="preserve"> </w:t>
      </w:r>
      <w:r w:rsidRPr="0037604E">
        <w:rPr>
          <w:rFonts w:ascii="Cambria" w:eastAsia="Times New Roman" w:hAnsi="Cambria" w:cs="Arial"/>
          <w:b/>
          <w:sz w:val="24"/>
          <w:szCs w:val="24"/>
          <w:lang w:val="en-GB"/>
        </w:rPr>
        <w:t>(Vaslui – Mogoșești section)</w:t>
      </w:r>
      <w:r w:rsidRPr="0037604E">
        <w:rPr>
          <w:rFonts w:ascii="Cambria" w:eastAsia="Times New Roman" w:hAnsi="Cambria" w:cs="Arial"/>
          <w:sz w:val="24"/>
          <w:szCs w:val="24"/>
          <w:lang w:val="en-GB"/>
        </w:rPr>
        <w:t xml:space="preserve"> </w:t>
      </w:r>
      <w:r w:rsidRPr="0037604E">
        <w:rPr>
          <w:rFonts w:ascii="Cambria" w:eastAsia="Times New Roman" w:hAnsi="Cambria" w:cs="Arial"/>
          <w:b/>
          <w:sz w:val="24"/>
          <w:szCs w:val="24"/>
          <w:lang w:val="en-GB"/>
        </w:rPr>
        <w:t>gas transmission pipeline</w:t>
      </w:r>
      <w:r w:rsidRPr="0037604E">
        <w:rPr>
          <w:rFonts w:ascii="Cambria" w:eastAsia="Times New Roman" w:hAnsi="Cambria" w:cs="Arial"/>
          <w:sz w:val="24"/>
          <w:szCs w:val="24"/>
          <w:lang w:val="en-GB"/>
        </w:rPr>
        <w:t xml:space="preserve"> – the execution works are suspended because of problems related to the ROMSILVA permit for the lands located in forested area, the permit being necessary in orde to obtain the building permit;</w:t>
      </w:r>
    </w:p>
    <w:p w:rsidR="0037604E" w:rsidRPr="0037604E" w:rsidRDefault="0037604E" w:rsidP="0037604E">
      <w:pPr>
        <w:spacing w:after="0" w:line="240" w:lineRule="auto"/>
        <w:ind w:firstLine="0"/>
        <w:jc w:val="both"/>
        <w:rPr>
          <w:rFonts w:ascii="Cambria" w:eastAsia="Times New Roman" w:hAnsi="Cambria" w:cs="Arial"/>
          <w:b/>
          <w:color w:val="FF0000"/>
          <w:sz w:val="24"/>
          <w:szCs w:val="24"/>
          <w:lang w:val="en-GB"/>
        </w:rPr>
      </w:pPr>
    </w:p>
    <w:p w:rsidR="0037604E" w:rsidRPr="0037604E" w:rsidRDefault="0037604E" w:rsidP="0037604E">
      <w:pPr>
        <w:spacing w:after="0" w:line="240" w:lineRule="auto"/>
        <w:ind w:firstLine="0"/>
        <w:jc w:val="both"/>
        <w:rPr>
          <w:rFonts w:ascii="Cambria" w:eastAsia="Times New Roman" w:hAnsi="Cambria" w:cs="Arial"/>
          <w:b/>
          <w:sz w:val="24"/>
          <w:szCs w:val="24"/>
          <w:lang w:val="en-GB"/>
        </w:rPr>
      </w:pPr>
      <w:r w:rsidRPr="0037604E">
        <w:rPr>
          <w:rFonts w:ascii="Cambria" w:eastAsia="Times New Roman" w:hAnsi="Cambria" w:cs="Arial"/>
          <w:b/>
          <w:sz w:val="24"/>
          <w:szCs w:val="24"/>
          <w:lang w:val="en-GB"/>
        </w:rPr>
        <w:t xml:space="preserve">The following </w:t>
      </w:r>
      <w:r w:rsidR="00EF6EFE">
        <w:rPr>
          <w:rFonts w:ascii="Cambria" w:eastAsia="Times New Roman" w:hAnsi="Cambria" w:cs="Arial"/>
          <w:b/>
          <w:sz w:val="24"/>
          <w:szCs w:val="24"/>
          <w:lang w:val="en-GB"/>
        </w:rPr>
        <w:t>steps were taken t</w:t>
      </w:r>
      <w:r w:rsidRPr="0037604E">
        <w:rPr>
          <w:rFonts w:ascii="Cambria" w:eastAsia="Times New Roman" w:hAnsi="Cambria" w:cs="Arial"/>
          <w:b/>
          <w:sz w:val="24"/>
          <w:szCs w:val="24"/>
          <w:lang w:val="en-GB"/>
        </w:rPr>
        <w:t>o solve the problems which occurred during the performance of the execution of the works and achievement of planned objectives:</w:t>
      </w:r>
    </w:p>
    <w:p w:rsidR="0037604E" w:rsidRPr="0037604E" w:rsidRDefault="0037604E" w:rsidP="0037604E">
      <w:pPr>
        <w:spacing w:after="0" w:line="240" w:lineRule="auto"/>
        <w:jc w:val="both"/>
        <w:rPr>
          <w:rFonts w:ascii="Cambria" w:eastAsia="Times New Roman" w:hAnsi="Cambria" w:cs="Arial"/>
          <w:b/>
          <w:sz w:val="24"/>
          <w:szCs w:val="24"/>
          <w:lang w:val="en-GB"/>
        </w:rPr>
      </w:pPr>
    </w:p>
    <w:tbl>
      <w:tblPr>
        <w:tblW w:w="0" w:type="auto"/>
        <w:tblCellSpacing w:w="20" w:type="dxa"/>
        <w:tblInd w:w="6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958"/>
      </w:tblGrid>
      <w:tr w:rsidR="0037604E" w:rsidRPr="0037604E" w:rsidTr="0037604E">
        <w:trPr>
          <w:tblCellSpacing w:w="20" w:type="dxa"/>
        </w:trPr>
        <w:tc>
          <w:tcPr>
            <w:tcW w:w="8878" w:type="dxa"/>
          </w:tcPr>
          <w:p w:rsidR="0037604E" w:rsidRPr="0037604E" w:rsidRDefault="0037604E" w:rsidP="00FA6EB9">
            <w:pPr>
              <w:numPr>
                <w:ilvl w:val="0"/>
                <w:numId w:val="70"/>
              </w:numPr>
              <w:spacing w:after="0" w:line="240" w:lineRule="auto"/>
              <w:jc w:val="both"/>
              <w:rPr>
                <w:rFonts w:asciiTheme="majorHAnsi" w:hAnsiTheme="majorHAnsi" w:cs="Arial"/>
                <w:sz w:val="24"/>
                <w:szCs w:val="24"/>
                <w:lang w:val="en-GB"/>
              </w:rPr>
            </w:pPr>
            <w:r w:rsidRPr="0037604E">
              <w:rPr>
                <w:rFonts w:asciiTheme="majorHAnsi" w:hAnsiTheme="majorHAnsi" w:cs="Arial"/>
                <w:sz w:val="24"/>
                <w:szCs w:val="24"/>
                <w:lang w:val="en-GB"/>
              </w:rPr>
              <w:t>For the land owners who did not consent to the access of the constructors in the field cases were brought to justice. If the court of justice did not solve these situations steps were taken for the expropriation;</w:t>
            </w:r>
          </w:p>
        </w:tc>
      </w:tr>
      <w:tr w:rsidR="0037604E" w:rsidRPr="0037604E" w:rsidTr="0037604E">
        <w:trPr>
          <w:tblCellSpacing w:w="20" w:type="dxa"/>
        </w:trPr>
        <w:tc>
          <w:tcPr>
            <w:tcW w:w="8878" w:type="dxa"/>
          </w:tcPr>
          <w:p w:rsidR="0037604E" w:rsidRPr="0037604E" w:rsidRDefault="0037604E" w:rsidP="00FA6EB9">
            <w:pPr>
              <w:numPr>
                <w:ilvl w:val="0"/>
                <w:numId w:val="70"/>
              </w:numPr>
              <w:spacing w:after="0" w:line="240" w:lineRule="auto"/>
              <w:jc w:val="both"/>
              <w:rPr>
                <w:rFonts w:asciiTheme="majorHAnsi" w:hAnsiTheme="majorHAnsi" w:cs="Arial"/>
                <w:sz w:val="24"/>
                <w:szCs w:val="24"/>
                <w:lang w:val="en-GB"/>
              </w:rPr>
            </w:pPr>
            <w:r w:rsidRPr="0037604E">
              <w:rPr>
                <w:rFonts w:asciiTheme="majorHAnsi" w:hAnsiTheme="majorHAnsi" w:cs="Arial"/>
                <w:sz w:val="24"/>
                <w:szCs w:val="24"/>
                <w:lang w:val="en-GB"/>
              </w:rPr>
              <w:t xml:space="preserve">In the areas where the consent of the owners was not received either upon the request of the local administrations the decision to redesign the pipeline route was taken or some other technical solutions were envisaged. </w:t>
            </w:r>
          </w:p>
        </w:tc>
      </w:tr>
      <w:tr w:rsidR="0037604E" w:rsidRPr="0037604E" w:rsidTr="0037604E">
        <w:trPr>
          <w:trHeight w:val="893"/>
          <w:tblCellSpacing w:w="20" w:type="dxa"/>
        </w:trPr>
        <w:tc>
          <w:tcPr>
            <w:tcW w:w="8878" w:type="dxa"/>
          </w:tcPr>
          <w:p w:rsidR="0037604E" w:rsidRPr="0037604E" w:rsidRDefault="0037604E" w:rsidP="00FA6EB9">
            <w:pPr>
              <w:numPr>
                <w:ilvl w:val="0"/>
                <w:numId w:val="70"/>
              </w:numPr>
              <w:spacing w:after="0" w:line="240" w:lineRule="auto"/>
              <w:jc w:val="both"/>
              <w:rPr>
                <w:rFonts w:asciiTheme="majorHAnsi" w:hAnsiTheme="majorHAnsi" w:cs="Arial"/>
                <w:sz w:val="24"/>
                <w:szCs w:val="24"/>
                <w:lang w:val="en-GB"/>
              </w:rPr>
            </w:pPr>
            <w:r w:rsidRPr="0037604E">
              <w:rPr>
                <w:rFonts w:asciiTheme="majorHAnsi" w:hAnsiTheme="majorHAnsi" w:cs="Arial"/>
                <w:sz w:val="24"/>
                <w:szCs w:val="24"/>
                <w:lang w:val="en-GB"/>
              </w:rPr>
              <w:t>For the areas located in forested areas where the ROMSILVA permit was not issued, as aresult of the modification of the legislation in the field, discussions will be initiated in order to solve the divergences occurred when crossing these areas;</w:t>
            </w:r>
          </w:p>
        </w:tc>
      </w:tr>
      <w:tr w:rsidR="0037604E" w:rsidRPr="0037604E" w:rsidTr="0037604E">
        <w:trPr>
          <w:trHeight w:val="384"/>
          <w:tblCellSpacing w:w="20" w:type="dxa"/>
        </w:trPr>
        <w:tc>
          <w:tcPr>
            <w:tcW w:w="8878" w:type="dxa"/>
          </w:tcPr>
          <w:p w:rsidR="0037604E" w:rsidRPr="0037604E" w:rsidRDefault="0037604E" w:rsidP="00FA6EB9">
            <w:pPr>
              <w:numPr>
                <w:ilvl w:val="0"/>
                <w:numId w:val="70"/>
              </w:numPr>
              <w:spacing w:after="0" w:line="240" w:lineRule="auto"/>
              <w:jc w:val="both"/>
              <w:rPr>
                <w:rFonts w:asciiTheme="majorHAnsi" w:hAnsiTheme="majorHAnsi" w:cs="Arial"/>
                <w:sz w:val="24"/>
                <w:szCs w:val="24"/>
                <w:lang w:val="en-GB"/>
              </w:rPr>
            </w:pPr>
            <w:r w:rsidRPr="0037604E">
              <w:rPr>
                <w:rFonts w:asciiTheme="majorHAnsi" w:hAnsiTheme="majorHAnsi" w:cs="Arial"/>
                <w:sz w:val="24"/>
                <w:szCs w:val="24"/>
                <w:lang w:val="en-GB"/>
              </w:rPr>
              <w:t xml:space="preserve">For the non-compliance with the contractual obligations penalties will be applied. </w:t>
            </w:r>
          </w:p>
        </w:tc>
      </w:tr>
    </w:tbl>
    <w:p w:rsidR="0037604E" w:rsidRPr="0037604E" w:rsidRDefault="0037604E" w:rsidP="0037604E">
      <w:pPr>
        <w:tabs>
          <w:tab w:val="left" w:pos="709"/>
          <w:tab w:val="left" w:pos="993"/>
        </w:tabs>
        <w:spacing w:after="0" w:line="240" w:lineRule="auto"/>
        <w:ind w:firstLine="0"/>
        <w:jc w:val="both"/>
        <w:rPr>
          <w:rFonts w:asciiTheme="majorHAnsi" w:eastAsia="Calibri" w:hAnsiTheme="majorHAnsi" w:cs="Times New Roman"/>
          <w:b/>
          <w:sz w:val="24"/>
          <w:szCs w:val="24"/>
          <w:lang w:eastAsia="en-US"/>
        </w:rPr>
      </w:pPr>
      <w:r w:rsidRPr="0037604E">
        <w:rPr>
          <w:rFonts w:asciiTheme="majorHAnsi" w:eastAsia="Times New Roman" w:hAnsiTheme="majorHAnsi" w:cs="Times New Roman"/>
          <w:sz w:val="24"/>
          <w:szCs w:val="24"/>
          <w:lang w:val="ro-RO" w:eastAsia="ro-RO"/>
        </w:rPr>
        <w:t>For the Câmpulung – Vatra Dornei pipeline a joint work group was establioshed between the representatives of the local administration, of ROMSILVA and of TRANSGAZ, who work together to establish the actions to be taken to obtain the approval of ROMSILVA.</w:t>
      </w:r>
    </w:p>
    <w:p w:rsidR="0037604E" w:rsidRPr="0037604E" w:rsidRDefault="0037604E" w:rsidP="0037604E">
      <w:pPr>
        <w:spacing w:after="0" w:line="240" w:lineRule="auto"/>
        <w:jc w:val="both"/>
        <w:rPr>
          <w:rFonts w:ascii="Cambria" w:eastAsia="Times New Roman" w:hAnsi="Cambria" w:cs="Arial"/>
          <w:b/>
          <w:sz w:val="24"/>
          <w:szCs w:val="24"/>
          <w:lang w:val="en-GB"/>
        </w:rPr>
      </w:pPr>
    </w:p>
    <w:p w:rsidR="0037604E" w:rsidRPr="0037604E" w:rsidRDefault="0037604E" w:rsidP="0037604E">
      <w:pPr>
        <w:spacing w:after="0" w:line="240" w:lineRule="auto"/>
        <w:ind w:firstLine="0"/>
        <w:jc w:val="both"/>
        <w:rPr>
          <w:rFonts w:ascii="Cambria" w:eastAsia="Times New Roman" w:hAnsi="Cambria" w:cs="Arial"/>
          <w:b/>
          <w:sz w:val="24"/>
          <w:szCs w:val="24"/>
          <w:lang w:val="en-GB"/>
        </w:rPr>
      </w:pPr>
      <w:r w:rsidRPr="0037604E">
        <w:rPr>
          <w:rFonts w:ascii="Cambria" w:eastAsia="Times New Roman" w:hAnsi="Cambria" w:cs="Arial"/>
          <w:b/>
          <w:sz w:val="24"/>
          <w:szCs w:val="24"/>
          <w:lang w:val="en-GB"/>
        </w:rPr>
        <w:t xml:space="preserve">Most of the investment objectives which did not register achievements are under design or procurement. </w:t>
      </w:r>
    </w:p>
    <w:p w:rsidR="0037604E" w:rsidRPr="0037604E" w:rsidRDefault="0037604E" w:rsidP="0037604E">
      <w:pPr>
        <w:spacing w:after="0" w:line="240" w:lineRule="auto"/>
        <w:ind w:firstLine="0"/>
        <w:jc w:val="both"/>
        <w:rPr>
          <w:rFonts w:ascii="Cambria" w:eastAsia="Times New Roman" w:hAnsi="Cambria" w:cs="Arial"/>
          <w:b/>
          <w:sz w:val="24"/>
          <w:szCs w:val="24"/>
          <w:lang w:val="en-GB"/>
        </w:rPr>
      </w:pPr>
    </w:p>
    <w:p w:rsidR="0037604E" w:rsidRPr="0037604E" w:rsidRDefault="0037604E" w:rsidP="0037604E">
      <w:pPr>
        <w:spacing w:after="0" w:line="240" w:lineRule="auto"/>
        <w:ind w:firstLine="0"/>
        <w:jc w:val="both"/>
        <w:rPr>
          <w:rFonts w:ascii="Cambria" w:eastAsia="Times New Roman" w:hAnsi="Cambria" w:cs="Arial"/>
          <w:b/>
          <w:sz w:val="24"/>
          <w:szCs w:val="24"/>
          <w:lang w:val="en-GB"/>
        </w:rPr>
      </w:pPr>
      <w:r w:rsidRPr="0037604E">
        <w:rPr>
          <w:rFonts w:ascii="Cambria" w:eastAsia="Times New Roman" w:hAnsi="Cambria" w:cs="Arial"/>
          <w:b/>
          <w:sz w:val="24"/>
          <w:szCs w:val="24"/>
          <w:lang w:val="en-GB"/>
        </w:rPr>
        <w:t xml:space="preserve">At the same time, in case of a series of objectives which are under design some difficulties are encountered when obtaining the consent of the land owners which impede the issuance of the construction permits. </w:t>
      </w:r>
    </w:p>
    <w:p w:rsidR="0037604E" w:rsidRPr="0037604E" w:rsidRDefault="0037604E" w:rsidP="0037604E">
      <w:pPr>
        <w:spacing w:after="0" w:line="240" w:lineRule="auto"/>
        <w:jc w:val="both"/>
        <w:rPr>
          <w:rFonts w:ascii="Cambria" w:eastAsia="Times New Roman" w:hAnsi="Cambria" w:cs="Arial"/>
          <w:sz w:val="24"/>
          <w:szCs w:val="24"/>
          <w:lang w:val="en-GB"/>
        </w:rPr>
      </w:pPr>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rPr>
      </w:pPr>
      <w:bookmarkStart w:id="56" w:name="_Toc414263637"/>
      <w:bookmarkStart w:id="57" w:name="_Toc446310834"/>
      <w:r w:rsidRPr="0037604E">
        <w:rPr>
          <w:rFonts w:asciiTheme="majorHAnsi" w:eastAsia="Times New Roman" w:hAnsiTheme="majorHAnsi" w:cstheme="majorBidi"/>
          <w:b/>
          <w:bCs/>
          <w:i/>
          <w:iCs/>
          <w:sz w:val="26"/>
          <w:szCs w:val="26"/>
          <w:lang w:val="en-GB"/>
        </w:rPr>
        <w:t>3.2.3 De</w:t>
      </w:r>
      <w:bookmarkEnd w:id="56"/>
      <w:r w:rsidRPr="0037604E">
        <w:rPr>
          <w:rFonts w:asciiTheme="majorHAnsi" w:eastAsia="Times New Roman" w:hAnsiTheme="majorHAnsi" w:cstheme="majorBidi"/>
          <w:b/>
          <w:bCs/>
          <w:i/>
          <w:iCs/>
          <w:sz w:val="26"/>
          <w:szCs w:val="26"/>
          <w:lang w:val="en-GB"/>
        </w:rPr>
        <w:t>velopment projects</w:t>
      </w:r>
      <w:bookmarkEnd w:id="57"/>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Calibri" w:hAnsi="Cambria" w:cs="Times New Roman"/>
          <w:sz w:val="24"/>
          <w:szCs w:val="24"/>
          <w:lang w:val="en-GB" w:eastAsia="en-US"/>
        </w:rPr>
        <w:t xml:space="preserve">In consideration of compliance with the European Directive EC/73/2009 Art. 22, on the obligation to draft the </w:t>
      </w:r>
      <w:r w:rsidRPr="0037604E">
        <w:rPr>
          <w:rFonts w:ascii="Cambria" w:eastAsia="Calibri" w:hAnsi="Cambria" w:cs="Times New Roman"/>
          <w:b/>
          <w:sz w:val="24"/>
          <w:szCs w:val="24"/>
          <w:lang w:val="en-GB" w:eastAsia="en-US"/>
        </w:rPr>
        <w:t>Ten-year Development Plan</w:t>
      </w:r>
      <w:r w:rsidRPr="0037604E">
        <w:rPr>
          <w:rFonts w:ascii="Cambria" w:eastAsia="Calibri" w:hAnsi="Cambria" w:cs="Times New Roman"/>
          <w:sz w:val="24"/>
          <w:szCs w:val="24"/>
          <w:lang w:val="en-GB" w:eastAsia="en-US"/>
        </w:rPr>
        <w:t xml:space="preserve"> for all gas transmission system in the European Union, and with the Art. 125 par. (6) of Law 123/2012, SNTGN TRANSGAZ SA Medias, as technical operator of the National Gas Transmission System in Romania drafted the </w:t>
      </w:r>
      <w:r w:rsidRPr="0037604E">
        <w:rPr>
          <w:rFonts w:ascii="Cambria" w:eastAsia="Calibri" w:hAnsi="Cambria" w:cs="Times New Roman"/>
          <w:b/>
          <w:sz w:val="24"/>
          <w:szCs w:val="24"/>
          <w:lang w:val="en-GB" w:eastAsia="en-US"/>
        </w:rPr>
        <w:t xml:space="preserve">Development Plan of the national gas transmission system during the period 2014-2023, Plan approved by ANRE by Decision no. </w:t>
      </w:r>
      <w:r w:rsidRPr="0037604E">
        <w:rPr>
          <w:rFonts w:asciiTheme="majorHAnsi" w:eastAsia="Times New Roman" w:hAnsiTheme="majorHAnsi" w:cs="Times New Roman"/>
          <w:sz w:val="24"/>
          <w:szCs w:val="24"/>
          <w:lang w:eastAsia="en-US"/>
        </w:rPr>
        <w:t>2819/17.12.2014</w:t>
      </w:r>
      <w:r w:rsidRPr="0037604E">
        <w:rPr>
          <w:rFonts w:ascii="Cambria" w:eastAsia="Times New Roman" w:hAnsi="Cambria" w:cs="Times New Roman"/>
          <w:b/>
          <w:sz w:val="24"/>
          <w:szCs w:val="24"/>
          <w:lang w:val="en-GB" w:eastAsia="en-US"/>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Calibri" w:hAnsi="Cambria" w:cs="Times New Roman"/>
          <w:sz w:val="24"/>
          <w:szCs w:val="24"/>
          <w:lang w:val="en-GB" w:eastAsia="en-US"/>
        </w:rPr>
        <w:t>The document presents the development directions of the Romanian gas transmission network and the major projects that the company intends to implement in the next 10 years in order to achieve a maximum degree of transparency in the development of the national gas transmission system and the possibility of the actors on the market to be timely informed on the existing and planned transmission capacity so that by public consultations, the decisions on the investments in the gas transmission network to meet the market requirements</w:t>
      </w:r>
      <w:r w:rsidRPr="0037604E">
        <w:rPr>
          <w:rFonts w:ascii="Cambria" w:eastAsia="Times New Roman" w:hAnsi="Cambria" w:cs="Times New Roman"/>
          <w:sz w:val="24"/>
          <w:szCs w:val="24"/>
          <w:lang w:val="en-GB" w:eastAsia="en-US"/>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Calibri" w:hAnsi="Cambria" w:cs="Times New Roman"/>
          <w:b/>
          <w:sz w:val="24"/>
          <w:szCs w:val="24"/>
          <w:lang w:val="en-GB" w:eastAsia="en-US"/>
        </w:rPr>
        <w:t>The Development Plan of the National gas Transmission System (NTS) during the period from 2014 to 2023</w:t>
      </w:r>
      <w:r w:rsidRPr="0037604E">
        <w:rPr>
          <w:rFonts w:ascii="Cambria" w:eastAsia="Calibri" w:hAnsi="Cambria" w:cs="Times New Roman"/>
          <w:sz w:val="24"/>
          <w:szCs w:val="24"/>
          <w:lang w:val="en-GB" w:eastAsia="en-US"/>
        </w:rPr>
        <w:t xml:space="preserve"> prepared in accordance with A</w:t>
      </w:r>
      <w:r w:rsidRPr="0037604E">
        <w:rPr>
          <w:rFonts w:ascii="Cambria" w:eastAsia="Calibri" w:hAnsi="Cambria" w:cs="Times New Roman"/>
          <w:b/>
          <w:sz w:val="24"/>
          <w:szCs w:val="24"/>
          <w:lang w:val="en-GB" w:eastAsia="en-US"/>
        </w:rPr>
        <w:t>rt. 125 paragraph 6 of Law No.123/2012 of electricity and gas</w:t>
      </w:r>
      <w:r w:rsidRPr="0037604E">
        <w:rPr>
          <w:rFonts w:ascii="Cambria" w:eastAsia="Calibri" w:hAnsi="Cambria" w:cs="Times New Roman"/>
          <w:sz w:val="24"/>
          <w:szCs w:val="24"/>
          <w:lang w:val="en-GB" w:eastAsia="en-US"/>
        </w:rPr>
        <w:t>, with the objectives set in the Romania’s Energy Strategy for the period 2016 to 2030 with estimations for 2050 and the Energy Pact of May 2013 meet the European energy policy on</w:t>
      </w:r>
      <w:r w:rsidRPr="0037604E">
        <w:rPr>
          <w:rFonts w:ascii="Cambria" w:eastAsia="Times New Roman" w:hAnsi="Cambria" w:cs="Times New Roman"/>
          <w:sz w:val="24"/>
          <w:szCs w:val="24"/>
          <w:lang w:val="en-GB" w:eastAsia="en-US"/>
        </w:rPr>
        <w:t xml:space="preserve">: </w:t>
      </w:r>
    </w:p>
    <w:tbl>
      <w:tblPr>
        <w:tblW w:w="0" w:type="auto"/>
        <w:jc w:val="center"/>
        <w:tblCellSpacing w:w="20" w:type="dxa"/>
        <w:shd w:val="clear" w:color="auto" w:fill="FFFFFF"/>
        <w:tblLook w:val="04A0" w:firstRow="1" w:lastRow="0" w:firstColumn="1" w:lastColumn="0" w:noHBand="0" w:noVBand="1"/>
      </w:tblPr>
      <w:tblGrid>
        <w:gridCol w:w="9027"/>
      </w:tblGrid>
      <w:tr w:rsidR="0037604E" w:rsidRPr="0037604E" w:rsidTr="0037604E">
        <w:trPr>
          <w:tblCellSpacing w:w="20" w:type="dxa"/>
          <w:jc w:val="center"/>
        </w:trPr>
        <w:tc>
          <w:tcPr>
            <w:tcW w:w="8995" w:type="dxa"/>
            <w:shd w:val="clear" w:color="auto" w:fill="FFFFFF"/>
          </w:tcPr>
          <w:p w:rsidR="0037604E" w:rsidRPr="0037604E" w:rsidRDefault="0037604E" w:rsidP="00FA6EB9">
            <w:pPr>
              <w:numPr>
                <w:ilvl w:val="0"/>
                <w:numId w:val="5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ensuring safety of natural gas supply;</w:t>
            </w:r>
          </w:p>
          <w:p w:rsidR="0037604E" w:rsidRPr="0037604E" w:rsidRDefault="0037604E" w:rsidP="00FA6EB9">
            <w:pPr>
              <w:numPr>
                <w:ilvl w:val="0"/>
                <w:numId w:val="5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increasing the interconnection of the national gas transmission network to the European network;</w:t>
            </w:r>
          </w:p>
          <w:p w:rsidR="0037604E" w:rsidRPr="0037604E" w:rsidRDefault="0037604E" w:rsidP="00FA6EB9">
            <w:pPr>
              <w:numPr>
                <w:ilvl w:val="0"/>
                <w:numId w:val="5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increasing the flexibility of the national gas transmission network;</w:t>
            </w:r>
          </w:p>
          <w:p w:rsidR="0037604E" w:rsidRPr="0037604E" w:rsidRDefault="0037604E" w:rsidP="00FA6EB9">
            <w:pPr>
              <w:numPr>
                <w:ilvl w:val="0"/>
                <w:numId w:val="5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liberating the gas market;</w:t>
            </w:r>
          </w:p>
          <w:p w:rsidR="0037604E" w:rsidRPr="0037604E" w:rsidRDefault="0037604E" w:rsidP="00FA6EB9">
            <w:pPr>
              <w:numPr>
                <w:ilvl w:val="0"/>
                <w:numId w:val="57"/>
              </w:numPr>
              <w:spacing w:after="0" w:line="240" w:lineRule="auto"/>
              <w:contextualSpacing/>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integrating the gas market in the European Union.</w:t>
            </w:r>
          </w:p>
        </w:tc>
      </w:tr>
    </w:tbl>
    <w:p w:rsidR="0037604E" w:rsidRPr="0037604E" w:rsidRDefault="0037604E" w:rsidP="0037604E">
      <w:pPr>
        <w:spacing w:after="20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Being a transmission and system operator certified under the provisions of the third energy law package, TRANSGAZ is a member of ENTSOG (The European Network of Transmission System Operators for Gas), a body in which the company cooperates with all the transmission and system operators of the European Union to create a common regulatory framework and a common development vision and strategy at the level of the European Union in view of creating an integrated energy market</w:t>
      </w:r>
      <w:r w:rsidRPr="0037604E">
        <w:rPr>
          <w:rFonts w:ascii="Cambria" w:eastAsia="Times New Roman" w:hAnsi="Cambria" w:cs="Times New Roman"/>
          <w:b/>
          <w:bCs/>
          <w:sz w:val="24"/>
          <w:szCs w:val="24"/>
          <w:lang w:val="en-GB" w:eastAsia="en-US"/>
        </w:rPr>
        <w:t xml:space="preserve">.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en-US"/>
        </w:rPr>
      </w:pPr>
      <w:r w:rsidRPr="0037604E">
        <w:rPr>
          <w:rFonts w:ascii="Cambria" w:eastAsia="Calibri" w:hAnsi="Cambria" w:cs="Times New Roman"/>
          <w:sz w:val="24"/>
          <w:szCs w:val="24"/>
          <w:lang w:val="en-GB" w:eastAsia="en-US"/>
        </w:rPr>
        <w:t>In this context, the development plan of the national gas transmission system during the period 2014 - 2023 envisaged the coordination with the development plans envisaged by other operators in the region</w:t>
      </w:r>
      <w:r w:rsidRPr="0037604E">
        <w:rPr>
          <w:rFonts w:ascii="Cambria" w:eastAsia="Times New Roman" w:hAnsi="Cambria" w:cs="Times New Roman"/>
          <w:bCs/>
          <w:sz w:val="24"/>
          <w:szCs w:val="24"/>
          <w:lang w:val="en-GB" w:eastAsia="en-US"/>
        </w:rPr>
        <w:t xml:space="preserve">.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Through the </w:t>
      </w:r>
      <w:r w:rsidRPr="0037604E">
        <w:rPr>
          <w:rFonts w:ascii="Cambria" w:eastAsia="Calibri" w:hAnsi="Cambria" w:cs="Times New Roman"/>
          <w:b/>
          <w:sz w:val="24"/>
          <w:szCs w:val="24"/>
          <w:lang w:val="en-GB" w:eastAsia="en-US"/>
        </w:rPr>
        <w:t>10 Year National gas transmission system development plan</w:t>
      </w:r>
      <w:r w:rsidRPr="0037604E">
        <w:rPr>
          <w:rFonts w:ascii="Cambria" w:eastAsia="Calibri" w:hAnsi="Cambria" w:cs="Times New Roman"/>
          <w:sz w:val="24"/>
          <w:szCs w:val="24"/>
          <w:lang w:val="en-GB" w:eastAsia="en-US"/>
        </w:rPr>
        <w:t>, Transgaz, proposes major investment projects for the strategic and sustainable development of the gas transmission infrastructure in Romania and its compliance with the requirements of the relevant European regulations</w:t>
      </w:r>
      <w:r w:rsidRPr="0037604E">
        <w:rPr>
          <w:rFonts w:ascii="Cambria" w:eastAsia="Times New Roman" w:hAnsi="Cambria" w:cs="Times New Roman"/>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libri" w:hAnsi="Cambria" w:cs="Times New Roman"/>
          <w:sz w:val="24"/>
          <w:szCs w:val="24"/>
          <w:lang w:val="en-GB" w:eastAsia="en-US"/>
        </w:rPr>
        <w:t xml:space="preserve">The orientation of the gas transmission system operators in the neighbouring countries to create new cross-border transmission capacities or amplify the existing ones clearly </w:t>
      </w:r>
      <w:r w:rsidRPr="0037604E">
        <w:rPr>
          <w:rFonts w:ascii="Cambria" w:eastAsia="Calibri" w:hAnsi="Cambria" w:cs="Times New Roman"/>
          <w:sz w:val="24"/>
          <w:szCs w:val="24"/>
          <w:lang w:val="en-GB" w:eastAsia="en-US"/>
        </w:rPr>
        <w:lastRenderedPageBreak/>
        <w:t>shows concern for a significant increase in the degree of interconnection in an area of Europe where there is still much to be done for a fully integrated market</w:t>
      </w:r>
      <w:r w:rsidRPr="0037604E">
        <w:rPr>
          <w:rFonts w:ascii="Cambria" w:eastAsia="Times New Roman" w:hAnsi="Cambria" w:cs="Times New Roman"/>
          <w:color w:val="000000"/>
          <w:sz w:val="24"/>
          <w:szCs w:val="24"/>
          <w:lang w:val="en-GB"/>
        </w:rPr>
        <w:t>.</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color w:val="000000"/>
          <w:sz w:val="24"/>
          <w:szCs w:val="24"/>
          <w:lang w:val="en-GB"/>
        </w:rPr>
      </w:pPr>
      <w:r w:rsidRPr="0037604E">
        <w:rPr>
          <w:rFonts w:ascii="Cambria" w:eastAsia="Calibri" w:hAnsi="Cambria" w:cs="Times New Roman"/>
          <w:b/>
          <w:sz w:val="24"/>
          <w:szCs w:val="24"/>
          <w:lang w:val="en-GB" w:eastAsia="en-US"/>
        </w:rPr>
        <w:t>The 10 Year National gas transmission system development plan was approved by ANRE by Decision no. 2819/17.12.2014 and is posted on the company’s website</w:t>
      </w:r>
      <w:r w:rsidRPr="0037604E">
        <w:rPr>
          <w:rFonts w:ascii="Cambria" w:eastAsia="Times New Roman" w:hAnsi="Cambria" w:cs="Times New Roman"/>
          <w:b/>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In all this picture, </w:t>
      </w:r>
      <w:r w:rsidRPr="0037604E">
        <w:rPr>
          <w:rFonts w:ascii="Cambria" w:eastAsia="Times New Roman" w:hAnsi="Cambria" w:cs="Times New Roman"/>
          <w:b/>
          <w:sz w:val="24"/>
          <w:szCs w:val="24"/>
          <w:lang w:val="en-GB" w:eastAsia="ro-RO"/>
        </w:rPr>
        <w:t>Romania</w:t>
      </w:r>
      <w:r w:rsidRPr="0037604E">
        <w:rPr>
          <w:rFonts w:ascii="Cambria" w:eastAsia="Times New Roman" w:hAnsi="Cambria" w:cs="Times New Roman"/>
          <w:sz w:val="24"/>
          <w:szCs w:val="24"/>
          <w:lang w:val="en-GB" w:eastAsia="ro-RO"/>
        </w:rPr>
        <w:t xml:space="preserve"> is the country with the most developed market and, especially, with the lowest dependence on imported gas. Adding to this landscape, in addition to its favourable geostrategic position, the newly-revealed resources in the Black Sea and the future potential created by the shale gas, Romania could clearly play a defining role in the region</w:t>
      </w:r>
      <w:r w:rsidRPr="0037604E">
        <w:rPr>
          <w:rFonts w:ascii="Cambria" w:eastAsia="Times New Roman" w:hAnsi="Cambria" w:cs="Times New Roman"/>
          <w:color w:val="000000"/>
          <w:sz w:val="24"/>
          <w:szCs w:val="24"/>
          <w:lang w:val="en-GB"/>
        </w:rPr>
        <w:t xml:space="preserve">. </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color w:val="000000"/>
          <w:sz w:val="24"/>
          <w:szCs w:val="24"/>
          <w:lang w:val="en-GB"/>
        </w:rPr>
      </w:pPr>
      <w:r w:rsidRPr="0037604E">
        <w:rPr>
          <w:rFonts w:ascii="Cambria" w:eastAsia="Calibri" w:hAnsi="Cambria" w:cs="Times New Roman"/>
          <w:sz w:val="24"/>
          <w:szCs w:val="24"/>
          <w:lang w:val="en-GB" w:eastAsia="en-US"/>
        </w:rPr>
        <w:t xml:space="preserve">In this context the natural gas transmission infrastructure is probably the most important factor, and </w:t>
      </w:r>
      <w:r w:rsidRPr="0037604E">
        <w:rPr>
          <w:rFonts w:ascii="Cambria" w:eastAsia="Calibri" w:hAnsi="Cambria" w:cs="Times New Roman"/>
          <w:b/>
          <w:sz w:val="24"/>
          <w:szCs w:val="24"/>
          <w:lang w:val="en-GB" w:eastAsia="en-US"/>
        </w:rPr>
        <w:t>Transgaz</w:t>
      </w:r>
      <w:r w:rsidRPr="0037604E">
        <w:rPr>
          <w:rFonts w:ascii="Cambria" w:eastAsia="Calibri" w:hAnsi="Cambria" w:cs="Times New Roman"/>
          <w:sz w:val="24"/>
          <w:szCs w:val="24"/>
          <w:lang w:val="en-GB" w:eastAsia="en-US"/>
        </w:rPr>
        <w:t xml:space="preserve"> is currently facing a major challenge: </w:t>
      </w:r>
      <w:r w:rsidRPr="0037604E">
        <w:rPr>
          <w:rFonts w:ascii="Cambria" w:eastAsia="Calibri" w:hAnsi="Cambria" w:cs="Times New Roman"/>
          <w:b/>
          <w:sz w:val="24"/>
          <w:szCs w:val="24"/>
          <w:lang w:val="en-GB" w:eastAsia="en-US"/>
        </w:rPr>
        <w:t>the development - in the shortest time possible – of gas transmission corridors that would ensure the required degree of interconnectivity at European level as well as enough gas transmission potential in harnessing the resources on the local and regional market</w:t>
      </w:r>
      <w:r w:rsidRPr="0037604E">
        <w:rPr>
          <w:rFonts w:ascii="Cambria" w:eastAsia="Times New Roman" w:hAnsi="Cambria" w:cs="Times New Roman"/>
          <w:b/>
          <w:color w:val="000000"/>
          <w:sz w:val="24"/>
          <w:szCs w:val="24"/>
          <w:lang w:val="en-GB"/>
        </w:rPr>
        <w:t xml:space="preserve">.   </w:t>
      </w:r>
    </w:p>
    <w:p w:rsidR="0037604E" w:rsidRPr="0037604E" w:rsidRDefault="0037604E" w:rsidP="0037604E">
      <w:pPr>
        <w:spacing w:after="0" w:line="240" w:lineRule="auto"/>
        <w:jc w:val="both"/>
        <w:rPr>
          <w:rFonts w:ascii="Cambria" w:eastAsia="Times New Roman" w:hAnsi="Cambria" w:cs="Times New Roman"/>
          <w:b/>
          <w:i/>
          <w:sz w:val="16"/>
          <w:szCs w:val="16"/>
          <w:lang w:val="en-GB"/>
        </w:rPr>
      </w:pPr>
    </w:p>
    <w:p w:rsidR="0037604E" w:rsidRPr="0037604E" w:rsidRDefault="0037604E" w:rsidP="0037604E">
      <w:pPr>
        <w:spacing w:after="0" w:line="240" w:lineRule="auto"/>
        <w:jc w:val="center"/>
        <w:rPr>
          <w:rFonts w:ascii="Cambria" w:eastAsia="Times New Roman" w:hAnsi="Cambria" w:cs="Times New Roman"/>
          <w:b/>
          <w:i/>
          <w:sz w:val="16"/>
          <w:szCs w:val="16"/>
          <w:lang w:val="en-GB"/>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r w:rsidRPr="0037604E">
        <w:rPr>
          <w:rFonts w:ascii="Cambria" w:eastAsia="Calibri" w:hAnsi="Cambria" w:cs="Times New Roman"/>
          <w:sz w:val="24"/>
          <w:szCs w:val="24"/>
          <w:lang w:val="en-GB" w:eastAsia="en-US"/>
        </w:rPr>
        <w:t xml:space="preserve">Given the estimated potential of the natural gas reserves in the Black Sea, in order to provide transmission of the volumes retrieved from the off-shore production, needed for the domestic consumption and in case of excess volumes to ensure their export on the markets of the European Union and the Republic of Moldova, </w:t>
      </w:r>
      <w:r w:rsidRPr="0037604E">
        <w:rPr>
          <w:rFonts w:ascii="Cambria" w:eastAsia="Calibri" w:hAnsi="Cambria" w:cs="Times New Roman"/>
          <w:b/>
          <w:sz w:val="24"/>
          <w:szCs w:val="24"/>
          <w:lang w:val="en-GB" w:eastAsia="en-US"/>
        </w:rPr>
        <w:t>SNTGN TRANSGAZ S.A.</w:t>
      </w:r>
      <w:r w:rsidRPr="0037604E">
        <w:rPr>
          <w:rFonts w:ascii="Cambria" w:eastAsia="Calibri" w:hAnsi="Cambria" w:cs="Times New Roman"/>
          <w:sz w:val="24"/>
          <w:szCs w:val="24"/>
          <w:lang w:val="en-GB" w:eastAsia="en-US"/>
        </w:rPr>
        <w:t xml:space="preserve"> intends to implement in the coming years, an ambitious plan for the development of the gas transmission infrastructure of about 1.5 billion euros, contributing to the development of a regional energy corridor</w:t>
      </w:r>
      <w:r w:rsidRPr="0037604E">
        <w:rPr>
          <w:rFonts w:ascii="Cambria" w:eastAsia="Times New Roman" w:hAnsi="Cambria" w:cs="Cambria"/>
          <w:color w:val="000000"/>
          <w:sz w:val="24"/>
          <w:szCs w:val="24"/>
          <w:lang w:val="en-GB"/>
        </w:rPr>
        <w:t xml:space="preserve">. </w:t>
      </w:r>
    </w:p>
    <w:p w:rsidR="0037604E" w:rsidRPr="0037604E" w:rsidRDefault="0037604E" w:rsidP="0037604E">
      <w:pPr>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Cambria"/>
          <w:color w:val="000000"/>
          <w:sz w:val="24"/>
          <w:szCs w:val="24"/>
          <w:lang w:val="en-GB"/>
        </w:rPr>
      </w:pPr>
      <w:r w:rsidRPr="0037604E">
        <w:rPr>
          <w:rFonts w:ascii="Cambria" w:eastAsia="Calibri" w:hAnsi="Cambria" w:cs="Times New Roman"/>
          <w:sz w:val="24"/>
          <w:szCs w:val="24"/>
          <w:lang w:val="en-GB" w:eastAsia="en-US"/>
        </w:rPr>
        <w:t>Specifically, it is intended to develop two transport corridors in Romania (</w:t>
      </w:r>
      <w:r w:rsidRPr="0037604E">
        <w:rPr>
          <w:rFonts w:ascii="Cambria" w:eastAsia="Calibri" w:hAnsi="Cambria" w:cs="Times New Roman"/>
          <w:b/>
          <w:sz w:val="24"/>
          <w:szCs w:val="24"/>
          <w:lang w:val="en-GB" w:eastAsia="en-US"/>
        </w:rPr>
        <w:t>a southern-Danubian one</w:t>
      </w:r>
      <w:r w:rsidRPr="0037604E">
        <w:rPr>
          <w:rFonts w:ascii="Cambria" w:eastAsia="Calibri" w:hAnsi="Cambria" w:cs="Times New Roman"/>
          <w:sz w:val="24"/>
          <w:szCs w:val="24"/>
          <w:lang w:val="en-GB" w:eastAsia="en-US"/>
        </w:rPr>
        <w:t xml:space="preserve">, in a first step, and </w:t>
      </w:r>
      <w:r w:rsidRPr="0037604E">
        <w:rPr>
          <w:rFonts w:ascii="Cambria" w:eastAsia="Calibri" w:hAnsi="Cambria" w:cs="Times New Roman"/>
          <w:b/>
          <w:sz w:val="24"/>
          <w:szCs w:val="24"/>
          <w:lang w:val="en-GB" w:eastAsia="en-US"/>
        </w:rPr>
        <w:t>a central one</w:t>
      </w:r>
      <w:r w:rsidRPr="0037604E">
        <w:rPr>
          <w:rFonts w:ascii="Cambria" w:eastAsia="Calibri" w:hAnsi="Cambria" w:cs="Times New Roman"/>
          <w:sz w:val="24"/>
          <w:szCs w:val="24"/>
          <w:lang w:val="en-GB" w:eastAsia="en-US"/>
        </w:rPr>
        <w:t>, in a second step, in the event that the operation of the Black Sea exceeds the current estimates) that will ensure the connection between the gas reserves in the Black Sea area and the Central-Western European markets, while ensuring the backbone of the Romania’s national transmission system for gas</w:t>
      </w:r>
      <w:r w:rsidRPr="0037604E">
        <w:rPr>
          <w:rFonts w:ascii="Cambria" w:eastAsia="Times New Roman" w:hAnsi="Cambria" w:cs="Cambria"/>
          <w:color w:val="000000"/>
          <w:sz w:val="24"/>
          <w:szCs w:val="24"/>
          <w:lang w:val="en-GB"/>
        </w:rPr>
        <w:t>.</w:t>
      </w:r>
    </w:p>
    <w:p w:rsidR="0037604E" w:rsidRPr="0037604E" w:rsidRDefault="0037604E" w:rsidP="0037604E">
      <w:pPr>
        <w:spacing w:after="0" w:line="240" w:lineRule="auto"/>
        <w:ind w:firstLine="0"/>
        <w:jc w:val="both"/>
        <w:rPr>
          <w:rFonts w:ascii="Cambria" w:eastAsia="Calibri" w:hAnsi="Cambria" w:cs="Times New Roman"/>
          <w:sz w:val="24"/>
          <w:szCs w:val="24"/>
          <w:lang w:val="en-GB"/>
        </w:rPr>
      </w:pPr>
    </w:p>
    <w:p w:rsidR="0037604E" w:rsidRPr="0037604E" w:rsidRDefault="0037604E" w:rsidP="0037604E">
      <w:pPr>
        <w:spacing w:after="0" w:line="240" w:lineRule="auto"/>
        <w:ind w:firstLine="0"/>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 xml:space="preserve">Thus the project proposed in the </w:t>
      </w:r>
      <w:r w:rsidRPr="0037604E">
        <w:rPr>
          <w:rFonts w:ascii="Cambria" w:eastAsia="Calibri" w:hAnsi="Cambria" w:cs="Times New Roman"/>
          <w:b/>
          <w:sz w:val="24"/>
          <w:szCs w:val="24"/>
          <w:lang w:val="en-GB" w:eastAsia="en-US"/>
        </w:rPr>
        <w:t xml:space="preserve">10 Year National gas transmission system development plan </w:t>
      </w:r>
      <w:r w:rsidRPr="0037604E">
        <w:rPr>
          <w:rFonts w:ascii="Cambria" w:eastAsia="Calibri" w:hAnsi="Cambria" w:cs="Times New Roman"/>
          <w:b/>
          <w:sz w:val="24"/>
          <w:szCs w:val="24"/>
          <w:lang w:val="en-GB"/>
        </w:rPr>
        <w:t>2014 – 2023</w:t>
      </w:r>
      <w:r w:rsidRPr="0037604E">
        <w:rPr>
          <w:rFonts w:ascii="Cambria" w:eastAsia="Calibri" w:hAnsi="Cambria" w:cs="Times New Roman"/>
          <w:sz w:val="24"/>
          <w:szCs w:val="24"/>
          <w:lang w:val="en-GB"/>
        </w:rPr>
        <w:t xml:space="preserve"> are:</w:t>
      </w:r>
    </w:p>
    <w:p w:rsidR="0037604E" w:rsidRPr="0037604E" w:rsidRDefault="0037604E" w:rsidP="00FA6EB9">
      <w:pPr>
        <w:numPr>
          <w:ilvl w:val="0"/>
          <w:numId w:val="66"/>
        </w:numPr>
        <w:spacing w:after="0" w:line="240" w:lineRule="auto"/>
        <w:contextualSpacing/>
        <w:jc w:val="both"/>
        <w:rPr>
          <w:rFonts w:ascii="Cambria" w:eastAsia="Calibri" w:hAnsi="Cambria" w:cs="Times New Roman"/>
          <w:sz w:val="24"/>
          <w:szCs w:val="24"/>
          <w:lang w:val="en-GB"/>
        </w:rPr>
      </w:pPr>
      <w:r w:rsidRPr="0037604E">
        <w:rPr>
          <w:rFonts w:ascii="Cambria" w:eastAsia="Calibri" w:hAnsi="Cambria" w:cs="Times New Roman"/>
          <w:sz w:val="24"/>
          <w:szCs w:val="24"/>
          <w:lang w:val="en-GB" w:eastAsia="en-US"/>
        </w:rPr>
        <w:t>Development in Romania of the National Gas Transmission System on the Bulgaria - Romania - Hungary - Austria Corridor</w:t>
      </w:r>
      <w:r w:rsidRPr="0037604E">
        <w:rPr>
          <w:rFonts w:ascii="Cambria" w:eastAsia="Calibri" w:hAnsi="Cambria" w:cs="Times New Roman"/>
          <w:sz w:val="24"/>
          <w:szCs w:val="24"/>
          <w:lang w:val="en-GB"/>
        </w:rPr>
        <w:t>;</w:t>
      </w:r>
    </w:p>
    <w:p w:rsidR="0037604E" w:rsidRPr="0037604E" w:rsidRDefault="0037604E" w:rsidP="00FA6EB9">
      <w:pPr>
        <w:numPr>
          <w:ilvl w:val="0"/>
          <w:numId w:val="66"/>
        </w:numPr>
        <w:spacing w:after="0" w:line="240" w:lineRule="auto"/>
        <w:contextualSpacing/>
        <w:jc w:val="both"/>
        <w:rPr>
          <w:rFonts w:ascii="Cambria" w:eastAsia="Calibri" w:hAnsi="Cambria" w:cs="Times New Roman"/>
          <w:sz w:val="24"/>
          <w:szCs w:val="24"/>
          <w:lang w:val="en-GB"/>
        </w:rPr>
      </w:pPr>
      <w:r w:rsidRPr="0037604E">
        <w:rPr>
          <w:rFonts w:ascii="Cambria" w:eastAsia="Calibri" w:hAnsi="Cambria" w:cs="Times New Roman"/>
          <w:sz w:val="24"/>
          <w:szCs w:val="24"/>
          <w:lang w:val="en-GB" w:eastAsia="en-US"/>
        </w:rPr>
        <w:t>Development in Romania of the Southern Transmission Corridor for retrieving the gas from the Black Sea shore</w:t>
      </w:r>
    </w:p>
    <w:p w:rsidR="0037604E" w:rsidRPr="0037604E" w:rsidRDefault="0037604E" w:rsidP="00FA6EB9">
      <w:pPr>
        <w:numPr>
          <w:ilvl w:val="0"/>
          <w:numId w:val="66"/>
        </w:numPr>
        <w:spacing w:after="0" w:line="240" w:lineRule="auto"/>
        <w:contextualSpacing/>
        <w:jc w:val="both"/>
        <w:rPr>
          <w:rFonts w:ascii="Cambria" w:eastAsia="Calibri" w:hAnsi="Cambria" w:cs="Times New Roman"/>
          <w:sz w:val="24"/>
          <w:szCs w:val="24"/>
          <w:lang w:val="en-GB"/>
        </w:rPr>
      </w:pPr>
      <w:r w:rsidRPr="0037604E">
        <w:rPr>
          <w:rFonts w:ascii="Cambria" w:eastAsia="Calibri" w:hAnsi="Cambria" w:cs="Times New Roman"/>
          <w:sz w:val="24"/>
          <w:szCs w:val="24"/>
          <w:lang w:val="en-GB" w:eastAsia="en-US"/>
        </w:rPr>
        <w:t>Project on the interconnection of the national transmission system with the international gas transmission pipelines;</w:t>
      </w:r>
    </w:p>
    <w:p w:rsidR="0037604E" w:rsidRPr="0037604E" w:rsidRDefault="0037604E" w:rsidP="00FA6EB9">
      <w:pPr>
        <w:numPr>
          <w:ilvl w:val="0"/>
          <w:numId w:val="66"/>
        </w:numPr>
        <w:spacing w:after="0" w:line="240" w:lineRule="auto"/>
        <w:contextualSpacing/>
        <w:jc w:val="both"/>
        <w:rPr>
          <w:rFonts w:ascii="Cambria" w:eastAsia="Calibri" w:hAnsi="Cambria" w:cs="Times New Roman"/>
          <w:sz w:val="24"/>
          <w:szCs w:val="24"/>
          <w:lang w:val="en-GB"/>
        </w:rPr>
      </w:pPr>
      <w:r w:rsidRPr="0037604E">
        <w:rPr>
          <w:rFonts w:ascii="Cambria" w:eastAsia="Calibri" w:hAnsi="Cambria" w:cs="Times New Roman"/>
          <w:sz w:val="24"/>
          <w:szCs w:val="24"/>
          <w:lang w:val="en-GB" w:eastAsia="en-US"/>
        </w:rPr>
        <w:t>Project on the development of the NTS in the North East of Romania in order to improve the gas supply to the area and to ensure the transmission capacity to Republic of Moldova</w:t>
      </w:r>
      <w:r w:rsidRPr="0037604E">
        <w:rPr>
          <w:rFonts w:ascii="Cambria" w:eastAsia="Calibri" w:hAnsi="Cambria" w:cs="Times New Roman"/>
          <w:sz w:val="24"/>
          <w:szCs w:val="24"/>
          <w:lang w:val="en-GB"/>
        </w:rPr>
        <w:t>;</w:t>
      </w:r>
    </w:p>
    <w:p w:rsidR="0037604E" w:rsidRPr="0037604E" w:rsidRDefault="0037604E" w:rsidP="00FA6EB9">
      <w:pPr>
        <w:numPr>
          <w:ilvl w:val="0"/>
          <w:numId w:val="66"/>
        </w:numPr>
        <w:spacing w:after="0" w:line="240" w:lineRule="auto"/>
        <w:contextualSpacing/>
        <w:jc w:val="both"/>
        <w:rPr>
          <w:rFonts w:ascii="Cambria" w:eastAsia="Calibri" w:hAnsi="Cambria" w:cs="Times New Roman"/>
          <w:sz w:val="24"/>
          <w:szCs w:val="24"/>
          <w:lang w:val="en-GB"/>
        </w:rPr>
      </w:pPr>
      <w:r w:rsidRPr="0037604E">
        <w:rPr>
          <w:rFonts w:ascii="Cambria" w:eastAsia="Calibri" w:hAnsi="Cambria" w:cs="Times New Roman"/>
          <w:sz w:val="24"/>
          <w:szCs w:val="24"/>
          <w:lang w:val="en-GB" w:eastAsia="en-US"/>
        </w:rPr>
        <w:t>Development in Romania of the Central Transmission Corridor for retrieving the gas from the Black Sea shore</w:t>
      </w:r>
      <w:r w:rsidRPr="0037604E">
        <w:rPr>
          <w:rFonts w:ascii="Cambria" w:eastAsia="Calibri" w:hAnsi="Cambria" w:cs="Times New Roman"/>
          <w:sz w:val="24"/>
          <w:szCs w:val="24"/>
          <w:lang w:val="en-GB"/>
        </w:rPr>
        <w:t>.</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noProof/>
          <w:sz w:val="24"/>
          <w:szCs w:val="24"/>
          <w:lang w:val="ro-RO" w:eastAsia="ro-RO"/>
        </w:rPr>
        <w:lastRenderedPageBreak/>
        <w:drawing>
          <wp:inline distT="0" distB="0" distL="0" distR="0" wp14:anchorId="2D70082D" wp14:editId="3DF6831C">
            <wp:extent cx="5614670" cy="394462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4670" cy="3944620"/>
                    </a:xfrm>
                    <a:prstGeom prst="rect">
                      <a:avLst/>
                    </a:prstGeom>
                    <a:noFill/>
                  </pic:spPr>
                </pic:pic>
              </a:graphicData>
            </a:graphic>
          </wp:inline>
        </w:drawing>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F47A26" w:rsidP="0037604E">
      <w:pPr>
        <w:spacing w:after="0" w:line="240" w:lineRule="auto"/>
        <w:jc w:val="center"/>
        <w:rPr>
          <w:rFonts w:ascii="Cambria" w:eastAsia="Times New Roman" w:hAnsi="Cambria" w:cs="Times New Roman"/>
          <w:b/>
          <w:i/>
          <w:sz w:val="16"/>
          <w:szCs w:val="16"/>
          <w:lang w:val="en-GB"/>
        </w:rPr>
      </w:pPr>
      <w:r>
        <w:rPr>
          <w:rFonts w:ascii="Cambria" w:eastAsia="Times New Roman" w:hAnsi="Cambria" w:cs="Times New Roman"/>
          <w:b/>
          <w:i/>
          <w:sz w:val="16"/>
          <w:szCs w:val="16"/>
          <w:lang w:val="en-GB"/>
        </w:rPr>
        <w:t>Fig. 5</w:t>
      </w:r>
      <w:r w:rsidR="0037604E" w:rsidRPr="0037604E">
        <w:rPr>
          <w:rFonts w:ascii="Cambria" w:eastAsia="Times New Roman" w:hAnsi="Cambria" w:cs="Times New Roman"/>
          <w:b/>
          <w:i/>
          <w:sz w:val="16"/>
          <w:szCs w:val="16"/>
          <w:lang w:val="en-GB"/>
        </w:rPr>
        <w:t xml:space="preserve"> – The natural gas transmission corridors of the NTS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FA6EB9">
      <w:pPr>
        <w:numPr>
          <w:ilvl w:val="0"/>
          <w:numId w:val="72"/>
        </w:numPr>
        <w:shd w:val="clear" w:color="auto" w:fill="E8EFF9"/>
        <w:autoSpaceDE w:val="0"/>
        <w:autoSpaceDN w:val="0"/>
        <w:adjustRightInd w:val="0"/>
        <w:spacing w:after="0" w:line="240" w:lineRule="auto"/>
        <w:contextualSpacing/>
        <w:jc w:val="both"/>
        <w:rPr>
          <w:rFonts w:ascii="Cambria" w:eastAsia="Times New Roman" w:hAnsi="Cambria" w:cs="Cambria"/>
          <w:color w:val="000000"/>
          <w:sz w:val="23"/>
          <w:szCs w:val="23"/>
          <w:lang w:val="en-GB"/>
        </w:rPr>
      </w:pPr>
      <w:r w:rsidRPr="0037604E">
        <w:rPr>
          <w:rFonts w:ascii="Cambria" w:eastAsia="Times New Roman" w:hAnsi="Cambria" w:cs="Cambria"/>
          <w:b/>
          <w:bCs/>
          <w:color w:val="000000"/>
          <w:sz w:val="23"/>
          <w:szCs w:val="23"/>
          <w:shd w:val="clear" w:color="auto" w:fill="D1DEEE"/>
          <w:lang w:val="en-GB"/>
        </w:rPr>
        <w:t>Development on the Romanian territory of the national gas transmission system on the Bulgaria – Romania – Hungary – Austria corridor</w:t>
      </w:r>
      <w:r w:rsidRPr="0037604E">
        <w:rPr>
          <w:rFonts w:ascii="Cambria" w:eastAsia="Times New Roman" w:hAnsi="Cambria" w:cs="Cambria"/>
          <w:b/>
          <w:bCs/>
          <w:color w:val="000000"/>
          <w:sz w:val="23"/>
          <w:szCs w:val="23"/>
          <w:lang w:val="en-GB"/>
        </w:rPr>
        <w:t xml:space="preserve">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fr-FR" w:eastAsia="en-US"/>
        </w:rPr>
      </w:pPr>
      <w:r w:rsidRPr="0037604E">
        <w:rPr>
          <w:rFonts w:ascii="Cambria" w:eastAsia="Calibri" w:hAnsi="Cambria" w:cs="Times New Roman"/>
          <w:sz w:val="24"/>
          <w:szCs w:val="24"/>
          <w:lang w:val="en-GB" w:eastAsia="en-US"/>
        </w:rPr>
        <w:t xml:space="preserve">The project aims to </w:t>
      </w:r>
      <w:r w:rsidRPr="00EF6EFE">
        <w:rPr>
          <w:rFonts w:ascii="Cambria" w:eastAsia="Calibri" w:hAnsi="Cambria" w:cs="Times New Roman"/>
          <w:b/>
          <w:sz w:val="24"/>
          <w:szCs w:val="24"/>
          <w:lang w:val="en-GB" w:eastAsia="en-US"/>
        </w:rPr>
        <w:t xml:space="preserve">develop transmission capacities in </w:t>
      </w:r>
      <w:r w:rsidR="00EF6EFE">
        <w:rPr>
          <w:rFonts w:ascii="Cambria" w:eastAsia="Calibri" w:hAnsi="Cambria" w:cs="Times New Roman"/>
          <w:b/>
          <w:sz w:val="24"/>
          <w:szCs w:val="24"/>
          <w:lang w:val="en-GB" w:eastAsia="en-US"/>
        </w:rPr>
        <w:t xml:space="preserve">the </w:t>
      </w:r>
      <w:r w:rsidRPr="00EF6EFE">
        <w:rPr>
          <w:rFonts w:ascii="Cambria" w:eastAsia="Calibri" w:hAnsi="Cambria" w:cs="Times New Roman"/>
          <w:b/>
          <w:sz w:val="24"/>
          <w:szCs w:val="24"/>
          <w:lang w:val="en-GB" w:eastAsia="en-US"/>
        </w:rPr>
        <w:t>system</w:t>
      </w:r>
      <w:r w:rsidRPr="0037604E">
        <w:rPr>
          <w:rFonts w:ascii="Cambria" w:eastAsia="Calibri" w:hAnsi="Cambria" w:cs="Times New Roman"/>
          <w:sz w:val="24"/>
          <w:szCs w:val="24"/>
          <w:lang w:val="en-GB" w:eastAsia="en-US"/>
        </w:rPr>
        <w:t xml:space="preserve"> between the interconnections of the Romanian natural gas transmission system</w:t>
      </w:r>
      <w:r w:rsidRPr="0037604E">
        <w:rPr>
          <w:rFonts w:asciiTheme="majorHAnsi" w:eastAsia="Times New Roman" w:hAnsiTheme="majorHAnsi" w:cs="Times New Roman"/>
          <w:sz w:val="24"/>
          <w:szCs w:val="24"/>
          <w:lang w:val="fr-FR" w:eastAsia="en-US"/>
        </w:rPr>
        <w:t xml:space="preserve"> and of the </w:t>
      </w:r>
      <w:r w:rsidRPr="0037604E">
        <w:rPr>
          <w:rFonts w:asciiTheme="majorHAnsi" w:eastAsia="Times New Roman" w:hAnsiTheme="majorHAnsi" w:cs="Times New Roman"/>
          <w:sz w:val="24"/>
          <w:szCs w:val="24"/>
          <w:lang w:val="en-GB" w:eastAsia="en-US"/>
        </w:rPr>
        <w:t xml:space="preserve">similar </w:t>
      </w:r>
      <w:r w:rsidRPr="0037604E">
        <w:rPr>
          <w:rFonts w:ascii="Cambria" w:eastAsia="Calibri" w:hAnsi="Cambria" w:cs="Times New Roman"/>
          <w:sz w:val="24"/>
          <w:szCs w:val="24"/>
          <w:lang w:val="en-GB" w:eastAsia="en-US"/>
        </w:rPr>
        <w:t>Bulgarian</w:t>
      </w:r>
      <w:r w:rsidRPr="0037604E">
        <w:rPr>
          <w:rFonts w:asciiTheme="majorHAnsi" w:eastAsia="Times New Roman" w:hAnsiTheme="majorHAnsi" w:cs="Times New Roman"/>
          <w:sz w:val="24"/>
          <w:szCs w:val="24"/>
          <w:lang w:val="fr-FR" w:eastAsia="en-US"/>
        </w:rPr>
        <w:t xml:space="preserve"> </w:t>
      </w:r>
      <w:r w:rsidRPr="0037604E">
        <w:rPr>
          <w:rFonts w:ascii="Cambria" w:eastAsia="Calibri" w:hAnsi="Cambria" w:cs="Times New Roman"/>
          <w:sz w:val="24"/>
          <w:szCs w:val="24"/>
          <w:lang w:val="en-GB" w:eastAsia="en-US"/>
        </w:rPr>
        <w:t>and Hungarian</w:t>
      </w:r>
      <w:r w:rsidRPr="0037604E">
        <w:rPr>
          <w:rFonts w:asciiTheme="majorHAnsi" w:eastAsia="Times New Roman" w:hAnsiTheme="majorHAnsi" w:cs="Times New Roman"/>
          <w:sz w:val="24"/>
          <w:szCs w:val="24"/>
          <w:lang w:val="fr-FR" w:eastAsia="en-US"/>
        </w:rPr>
        <w:t xml:space="preserve"> </w:t>
      </w:r>
      <w:r w:rsidRPr="0037604E">
        <w:rPr>
          <w:rFonts w:asciiTheme="majorHAnsi" w:eastAsia="Times New Roman" w:hAnsiTheme="majorHAnsi" w:cs="Times New Roman"/>
          <w:sz w:val="24"/>
          <w:szCs w:val="24"/>
          <w:lang w:val="en-GB" w:eastAsia="en-US"/>
        </w:rPr>
        <w:t>systems</w:t>
      </w:r>
      <w:r w:rsidRPr="0037604E">
        <w:rPr>
          <w:rFonts w:ascii="Cambria" w:eastAsia="Times New Roman" w:hAnsi="Cambria" w:cs="Cambria"/>
          <w:color w:val="000000"/>
          <w:sz w:val="24"/>
          <w:szCs w:val="24"/>
          <w:lang w:val="en-GB"/>
        </w:rPr>
        <w:t xml:space="preserve"> </w:t>
      </w:r>
      <w:r w:rsidRPr="0037604E">
        <w:rPr>
          <w:rFonts w:asciiTheme="majorHAnsi" w:eastAsia="Times New Roman" w:hAnsiTheme="majorHAnsi" w:cs="Times New Roman"/>
          <w:sz w:val="24"/>
          <w:szCs w:val="24"/>
          <w:lang w:val="fr-FR" w:eastAsia="en-US"/>
        </w:rPr>
        <w:t xml:space="preserve">that is the building of a new gas transmission pipeline connecting the Podișor TN and Horia GMS.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r w:rsidRPr="0037604E">
        <w:rPr>
          <w:rFonts w:ascii="Cambria" w:eastAsia="Times New Roman" w:hAnsi="Cambria" w:cs="Cambria"/>
          <w:color w:val="000000"/>
          <w:sz w:val="24"/>
          <w:szCs w:val="24"/>
          <w:lang w:val="en-GB"/>
        </w:rPr>
        <w:t xml:space="preserve"> </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ind w:firstLine="0"/>
        <w:jc w:val="center"/>
        <w:rPr>
          <w:rFonts w:ascii="Cambria" w:eastAsia="Calibri" w:hAnsi="Cambria" w:cs="Times New Roman"/>
          <w:sz w:val="24"/>
          <w:szCs w:val="24"/>
          <w:lang w:val="en-GB" w:eastAsia="en-US"/>
        </w:rPr>
      </w:pPr>
      <w:r w:rsidRPr="0037604E">
        <w:rPr>
          <w:rFonts w:ascii="Times New Roman" w:eastAsia="Times New Roman" w:hAnsi="Times New Roman" w:cs="Times New Roman"/>
          <w:noProof/>
          <w:sz w:val="24"/>
          <w:szCs w:val="24"/>
          <w:lang w:val="ro-RO" w:eastAsia="ro-RO"/>
        </w:rPr>
        <w:drawing>
          <wp:inline distT="0" distB="0" distL="0" distR="0" wp14:anchorId="35109E11" wp14:editId="598CC44C">
            <wp:extent cx="3962400" cy="2788664"/>
            <wp:effectExtent l="0" t="0" r="0" b="0"/>
            <wp:docPr id="122" name="Picture 122" descr="D:\Analiza_Sistem\An_2014\Plan_Dezvoltare\Figuri\fig.8-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aliza_Sistem\An_2014\Plan_Dezvoltare\Figuri\fig.8-SNT.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67851" cy="2792501"/>
                    </a:xfrm>
                    <a:prstGeom prst="rect">
                      <a:avLst/>
                    </a:prstGeom>
                    <a:noFill/>
                    <a:ln>
                      <a:noFill/>
                    </a:ln>
                  </pic:spPr>
                </pic:pic>
              </a:graphicData>
            </a:graphic>
          </wp:inline>
        </w:drawing>
      </w:r>
    </w:p>
    <w:p w:rsidR="0037604E" w:rsidRPr="0037604E" w:rsidRDefault="0037604E" w:rsidP="00A21FBF">
      <w:pPr>
        <w:spacing w:after="0" w:line="240" w:lineRule="auto"/>
        <w:ind w:firstLine="0"/>
        <w:rPr>
          <w:rFonts w:ascii="Cambria" w:eastAsia="Times New Roman" w:hAnsi="Cambria" w:cs="Times New Roman"/>
          <w:b/>
          <w:bCs/>
          <w:i/>
          <w:sz w:val="16"/>
          <w:szCs w:val="16"/>
          <w:lang w:val="fr-FR" w:eastAsia="en-US"/>
        </w:rPr>
      </w:pPr>
    </w:p>
    <w:p w:rsidR="0037604E" w:rsidRPr="00A21FBF" w:rsidRDefault="00C50A56" w:rsidP="00A21FBF">
      <w:pPr>
        <w:spacing w:after="0" w:line="240" w:lineRule="auto"/>
        <w:jc w:val="center"/>
        <w:rPr>
          <w:rFonts w:asciiTheme="majorHAnsi" w:hAnsiTheme="majorHAnsi"/>
          <w:b/>
          <w:i/>
          <w:sz w:val="16"/>
          <w:szCs w:val="16"/>
        </w:rPr>
      </w:pPr>
      <w:r w:rsidRPr="00945A8E">
        <w:rPr>
          <w:rFonts w:asciiTheme="majorHAnsi" w:hAnsiTheme="majorHAnsi"/>
          <w:b/>
          <w:i/>
          <w:sz w:val="16"/>
          <w:szCs w:val="16"/>
        </w:rPr>
        <w:t xml:space="preserve">Fig. </w:t>
      </w:r>
      <w:r w:rsidR="00F47A26">
        <w:rPr>
          <w:rFonts w:asciiTheme="majorHAnsi" w:hAnsiTheme="majorHAnsi"/>
          <w:b/>
          <w:i/>
          <w:sz w:val="16"/>
          <w:szCs w:val="16"/>
        </w:rPr>
        <w:t xml:space="preserve">6 </w:t>
      </w:r>
      <w:r w:rsidRPr="00945A8E">
        <w:rPr>
          <w:rFonts w:asciiTheme="majorHAnsi" w:hAnsiTheme="majorHAnsi"/>
          <w:b/>
          <w:i/>
          <w:sz w:val="16"/>
          <w:szCs w:val="16"/>
        </w:rPr>
        <w:t xml:space="preserve">- </w:t>
      </w:r>
      <w:r>
        <w:rPr>
          <w:rFonts w:asciiTheme="majorHAnsi" w:hAnsiTheme="majorHAnsi"/>
          <w:b/>
          <w:i/>
          <w:sz w:val="16"/>
          <w:szCs w:val="16"/>
        </w:rPr>
        <w:t>BRUA</w:t>
      </w:r>
      <w:r w:rsidRPr="00C50A56">
        <w:rPr>
          <w:rFonts w:asciiTheme="majorHAnsi" w:hAnsiTheme="majorHAnsi"/>
          <w:b/>
          <w:i/>
          <w:sz w:val="16"/>
          <w:szCs w:val="16"/>
        </w:rPr>
        <w:t xml:space="preserve"> </w:t>
      </w:r>
      <w:r>
        <w:rPr>
          <w:rFonts w:asciiTheme="majorHAnsi" w:hAnsiTheme="majorHAnsi"/>
          <w:b/>
          <w:i/>
          <w:sz w:val="16"/>
          <w:szCs w:val="16"/>
        </w:rPr>
        <w:t>cor</w:t>
      </w:r>
      <w:r w:rsidR="0035123D">
        <w:rPr>
          <w:rFonts w:asciiTheme="majorHAnsi" w:hAnsiTheme="majorHAnsi"/>
          <w:b/>
          <w:i/>
          <w:sz w:val="16"/>
          <w:szCs w:val="16"/>
        </w:rPr>
        <w:t>r</w:t>
      </w:r>
      <w:r>
        <w:rPr>
          <w:rFonts w:asciiTheme="majorHAnsi" w:hAnsiTheme="majorHAnsi"/>
          <w:b/>
          <w:i/>
          <w:sz w:val="16"/>
          <w:szCs w:val="16"/>
        </w:rPr>
        <w:t>idor</w:t>
      </w:r>
    </w:p>
    <w:p w:rsidR="0037604E" w:rsidRPr="0037604E" w:rsidRDefault="0037604E" w:rsidP="0037604E">
      <w:pPr>
        <w:spacing w:after="0" w:line="240" w:lineRule="auto"/>
        <w:ind w:firstLine="0"/>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lastRenderedPageBreak/>
        <w:t>Transgaz considers the phased development of the BRUA Project:</w:t>
      </w:r>
    </w:p>
    <w:p w:rsidR="0037604E" w:rsidRPr="0037604E" w:rsidRDefault="0037604E" w:rsidP="0037604E">
      <w:pPr>
        <w:spacing w:after="0" w:line="240" w:lineRule="auto"/>
        <w:ind w:firstLine="0"/>
        <w:jc w:val="both"/>
        <w:rPr>
          <w:rFonts w:asciiTheme="majorHAnsi" w:eastAsia="Calibri" w:hAnsiTheme="majorHAnsi" w:cs="Times New Roman"/>
          <w:b/>
          <w:sz w:val="24"/>
          <w:szCs w:val="24"/>
          <w:lang w:eastAsia="en-US"/>
        </w:rPr>
      </w:pPr>
      <w:r w:rsidRPr="0037604E">
        <w:rPr>
          <w:rFonts w:asciiTheme="majorHAnsi" w:hAnsiTheme="majorHAnsi"/>
          <w:b/>
          <w:sz w:val="24"/>
        </w:rPr>
        <w:t>Phase I</w:t>
      </w:r>
    </w:p>
    <w:p w:rsidR="0037604E" w:rsidRPr="0037604E" w:rsidRDefault="0037604E" w:rsidP="00FA6EB9">
      <w:pPr>
        <w:numPr>
          <w:ilvl w:val="1"/>
          <w:numId w:val="146"/>
        </w:numPr>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 xml:space="preserve">Podişor-Recaș 32” x 63 bar gas transmission pipeline, approximately 479 km-long; </w:t>
      </w:r>
    </w:p>
    <w:p w:rsidR="0037604E" w:rsidRPr="0037604E" w:rsidRDefault="0037604E" w:rsidP="00FA6EB9">
      <w:pPr>
        <w:numPr>
          <w:ilvl w:val="1"/>
          <w:numId w:val="146"/>
        </w:numPr>
        <w:spacing w:after="0" w:line="240" w:lineRule="auto"/>
        <w:contextualSpacing/>
        <w:jc w:val="both"/>
        <w:rPr>
          <w:rFonts w:asciiTheme="majorHAnsi" w:eastAsia="Calibri" w:hAnsiTheme="majorHAnsi" w:cs="Times New Roman"/>
          <w:b/>
          <w:sz w:val="24"/>
          <w:szCs w:val="24"/>
          <w:lang w:eastAsia="en-US"/>
        </w:rPr>
      </w:pPr>
      <w:r w:rsidRPr="0037604E">
        <w:rPr>
          <w:rFonts w:asciiTheme="majorHAnsi" w:eastAsia="Calibri" w:hAnsiTheme="majorHAnsi" w:cs="Times New Roman"/>
          <w:sz w:val="24"/>
          <w:szCs w:val="24"/>
          <w:lang w:eastAsia="en-US"/>
        </w:rPr>
        <w:t>3 ga compressor stations (Podișor CS, Bibești CS and Jupa CS), each station having two compressor units (one operating and one backup), with the possibility to ensuregas bidirectional flow</w:t>
      </w:r>
      <w:r w:rsidRPr="0037604E">
        <w:rPr>
          <w:rFonts w:asciiTheme="majorHAnsi" w:eastAsia="Times New Roman" w:hAnsiTheme="majorHAnsi" w:cs="Cambria"/>
          <w:sz w:val="24"/>
          <w:szCs w:val="24"/>
          <w:lang w:val="ro-RO" w:eastAsia="zh-CN"/>
        </w:rPr>
        <w:t>.</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At the end of Phase I the following transmission capacities will be ensured</w:t>
      </w:r>
    </w:p>
    <w:p w:rsidR="0037604E" w:rsidRPr="0037604E" w:rsidRDefault="0037604E" w:rsidP="00FA6EB9">
      <w:pPr>
        <w:numPr>
          <w:ilvl w:val="0"/>
          <w:numId w:val="145"/>
        </w:numPr>
        <w:spacing w:after="0" w:line="240" w:lineRule="auto"/>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In the Hungary direction: 1,75 bcm/year;</w:t>
      </w:r>
    </w:p>
    <w:p w:rsidR="0037604E" w:rsidRPr="0037604E" w:rsidRDefault="0037604E" w:rsidP="00FA6EB9">
      <w:pPr>
        <w:numPr>
          <w:ilvl w:val="0"/>
          <w:numId w:val="145"/>
        </w:numPr>
        <w:spacing w:after="0" w:line="240" w:lineRule="auto"/>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In the Bulgaria direction: 1,5 bcm/year</w:t>
      </w:r>
    </w:p>
    <w:p w:rsidR="0037604E" w:rsidRPr="0037604E" w:rsidRDefault="0037604E" w:rsidP="0037604E">
      <w:pPr>
        <w:spacing w:after="0" w:line="240" w:lineRule="auto"/>
        <w:ind w:left="90" w:firstLine="0"/>
        <w:contextualSpacing/>
        <w:jc w:val="both"/>
        <w:rPr>
          <w:rFonts w:asciiTheme="majorHAnsi" w:eastAsia="Calibri" w:hAnsiTheme="majorHAnsi" w:cs="Times New Roman"/>
          <w:b/>
          <w:color w:val="FF0000"/>
          <w:sz w:val="24"/>
          <w:szCs w:val="24"/>
          <w:lang w:eastAsia="en-US"/>
        </w:rPr>
      </w:pPr>
    </w:p>
    <w:p w:rsidR="0037604E" w:rsidRPr="0037604E" w:rsidRDefault="0037604E" w:rsidP="0037604E">
      <w:pPr>
        <w:spacing w:after="0" w:line="240" w:lineRule="auto"/>
        <w:ind w:firstLine="0"/>
        <w:contextualSpacing/>
        <w:jc w:val="both"/>
        <w:rPr>
          <w:rFonts w:asciiTheme="majorHAnsi" w:eastAsia="Calibri" w:hAnsiTheme="majorHAnsi" w:cs="Times New Roman"/>
          <w:b/>
          <w:sz w:val="24"/>
          <w:szCs w:val="24"/>
          <w:lang w:eastAsia="en-US"/>
        </w:rPr>
      </w:pPr>
      <w:r w:rsidRPr="0037604E">
        <w:rPr>
          <w:rFonts w:asciiTheme="majorHAnsi" w:hAnsiTheme="majorHAnsi"/>
          <w:b/>
          <w:sz w:val="24"/>
        </w:rPr>
        <w:t xml:space="preserve">Phase </w:t>
      </w:r>
      <w:r w:rsidRPr="0037604E">
        <w:rPr>
          <w:rFonts w:asciiTheme="majorHAnsi" w:eastAsia="Calibri" w:hAnsiTheme="majorHAnsi" w:cs="Times New Roman"/>
          <w:b/>
          <w:sz w:val="24"/>
          <w:szCs w:val="24"/>
          <w:lang w:eastAsia="en-US"/>
        </w:rPr>
        <w:t>II</w:t>
      </w:r>
    </w:p>
    <w:p w:rsidR="0037604E" w:rsidRPr="0037604E" w:rsidRDefault="0037604E" w:rsidP="00FA6EB9">
      <w:pPr>
        <w:numPr>
          <w:ilvl w:val="1"/>
          <w:numId w:val="146"/>
        </w:numPr>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Recaş–Horia 32” x 63 bar gas transmission pipeline, approximately 50 km-long;</w:t>
      </w:r>
    </w:p>
    <w:p w:rsidR="0037604E" w:rsidRPr="0037604E" w:rsidRDefault="0037604E" w:rsidP="00FA6EB9">
      <w:pPr>
        <w:numPr>
          <w:ilvl w:val="1"/>
          <w:numId w:val="146"/>
        </w:numPr>
        <w:spacing w:after="0" w:line="240" w:lineRule="auto"/>
        <w:contextualSpacing/>
        <w:jc w:val="both"/>
        <w:rPr>
          <w:rFonts w:asciiTheme="majorHAnsi" w:eastAsia="Calibri" w:hAnsiTheme="majorHAnsi" w:cs="Times New Roman"/>
          <w:sz w:val="24"/>
          <w:szCs w:val="24"/>
          <w:lang w:eastAsia="en-US"/>
        </w:rPr>
      </w:pPr>
      <w:r w:rsidRPr="0037604E">
        <w:rPr>
          <w:rFonts w:asciiTheme="majorHAnsi" w:eastAsia="Calibri" w:hAnsiTheme="majorHAnsi" w:cs="Times New Roman"/>
          <w:sz w:val="24"/>
          <w:szCs w:val="24"/>
          <w:lang w:eastAsia="en-US"/>
        </w:rPr>
        <w:t>Extension of the 3 compressor stations (Podișor CS, Bibești CS and Jupa CS) by mounting an additional compressor unit in each station;</w:t>
      </w:r>
    </w:p>
    <w:p w:rsidR="0037604E" w:rsidRPr="0037604E" w:rsidRDefault="0037604E" w:rsidP="00FA6EB9">
      <w:pPr>
        <w:numPr>
          <w:ilvl w:val="1"/>
          <w:numId w:val="146"/>
        </w:numPr>
        <w:spacing w:after="0" w:line="240" w:lineRule="auto"/>
        <w:contextualSpacing/>
        <w:jc w:val="both"/>
        <w:rPr>
          <w:rFonts w:asciiTheme="majorHAnsi" w:eastAsia="Calibri" w:hAnsiTheme="majorHAnsi" w:cs="Times New Roman"/>
          <w:sz w:val="24"/>
          <w:szCs w:val="24"/>
          <w:lang w:val="fr-FR" w:eastAsia="en-US"/>
        </w:rPr>
      </w:pPr>
      <w:r w:rsidRPr="0037604E">
        <w:rPr>
          <w:rFonts w:asciiTheme="majorHAnsi" w:eastAsia="Calibri" w:hAnsiTheme="majorHAnsi" w:cs="Times New Roman"/>
          <w:sz w:val="24"/>
          <w:szCs w:val="24"/>
          <w:lang w:eastAsia="en-US"/>
        </w:rPr>
        <w:t xml:space="preserve">Extension of </w:t>
      </w:r>
      <w:r w:rsidRPr="0037604E">
        <w:rPr>
          <w:rFonts w:asciiTheme="majorHAnsi" w:eastAsia="Calibri" w:hAnsiTheme="majorHAnsi" w:cs="Times New Roman"/>
          <w:sz w:val="24"/>
          <w:szCs w:val="24"/>
          <w:lang w:val="fr-FR" w:eastAsia="en-US"/>
        </w:rPr>
        <w:t>Horia GMS.</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At the end of Phase II the following transmission capacities will be ensured</w:t>
      </w:r>
    </w:p>
    <w:p w:rsidR="0037604E" w:rsidRPr="0037604E" w:rsidRDefault="0037604E" w:rsidP="00FA6EB9">
      <w:pPr>
        <w:numPr>
          <w:ilvl w:val="0"/>
          <w:numId w:val="145"/>
        </w:numPr>
        <w:spacing w:after="0" w:line="240" w:lineRule="auto"/>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In the Hungary direction: 4,4 bcm/year;</w:t>
      </w:r>
    </w:p>
    <w:p w:rsidR="0037604E" w:rsidRPr="0037604E" w:rsidRDefault="0037604E" w:rsidP="00FA6EB9">
      <w:pPr>
        <w:numPr>
          <w:ilvl w:val="0"/>
          <w:numId w:val="145"/>
        </w:numPr>
        <w:spacing w:after="0" w:line="240" w:lineRule="auto"/>
        <w:jc w:val="both"/>
        <w:rPr>
          <w:rFonts w:asciiTheme="majorHAnsi" w:eastAsia="Times New Roman" w:hAnsiTheme="majorHAnsi" w:cs="Times New Roman"/>
          <w:sz w:val="24"/>
          <w:szCs w:val="24"/>
          <w:lang w:val="ro-RO" w:eastAsia="zh-CN"/>
        </w:rPr>
      </w:pPr>
      <w:r w:rsidRPr="0037604E">
        <w:rPr>
          <w:rFonts w:asciiTheme="majorHAnsi" w:eastAsia="Times New Roman" w:hAnsiTheme="majorHAnsi" w:cs="Times New Roman"/>
          <w:sz w:val="24"/>
          <w:szCs w:val="24"/>
          <w:lang w:val="ro-RO" w:eastAsia="zh-CN"/>
        </w:rPr>
        <w:t>In the Bulgaria direction: 1,5 bcm/year.</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b/>
          <w:color w:val="000000"/>
          <w:sz w:val="24"/>
          <w:szCs w:val="24"/>
          <w:lang w:val="en-GB"/>
        </w:rPr>
      </w:pPr>
      <w:r w:rsidRPr="0037604E">
        <w:rPr>
          <w:rFonts w:ascii="Cambria" w:eastAsia="Calibri" w:hAnsi="Cambria" w:cs="Times New Roman"/>
          <w:sz w:val="24"/>
          <w:szCs w:val="24"/>
          <w:lang w:val="en-GB" w:eastAsia="en-US"/>
        </w:rPr>
        <w:t xml:space="preserve">The estimated total value of the investment is </w:t>
      </w:r>
      <w:r w:rsidRPr="0037604E">
        <w:rPr>
          <w:rFonts w:ascii="Cambria" w:eastAsia="Calibri" w:hAnsi="Cambria" w:cs="Times New Roman"/>
          <w:b/>
          <w:sz w:val="24"/>
          <w:szCs w:val="24"/>
          <w:lang w:val="en-GB" w:eastAsia="en-US"/>
        </w:rPr>
        <w:t>547</w:t>
      </w:r>
      <w:r w:rsidR="00EF6EFE" w:rsidRPr="0037604E">
        <w:rPr>
          <w:rFonts w:ascii="Cambria" w:eastAsia="Calibri" w:hAnsi="Cambria" w:cs="Times New Roman"/>
          <w:b/>
          <w:sz w:val="24"/>
          <w:szCs w:val="24"/>
          <w:lang w:val="en-GB" w:eastAsia="en-US"/>
        </w:rPr>
        <w:t>, 4</w:t>
      </w:r>
      <w:r w:rsidR="00EF6EFE">
        <w:rPr>
          <w:rFonts w:ascii="Cambria" w:eastAsia="Calibri" w:hAnsi="Cambria" w:cs="Times New Roman"/>
          <w:b/>
          <w:sz w:val="24"/>
          <w:szCs w:val="24"/>
          <w:lang w:val="en-GB" w:eastAsia="en-US"/>
        </w:rPr>
        <w:t xml:space="preserve"> million euro</w:t>
      </w:r>
      <w:r w:rsidRPr="0037604E">
        <w:rPr>
          <w:rFonts w:ascii="Cambria" w:eastAsia="Calibri" w:hAnsi="Cambria" w:cs="Times New Roman"/>
          <w:sz w:val="24"/>
          <w:szCs w:val="24"/>
          <w:lang w:val="en-GB" w:eastAsia="en-US"/>
        </w:rPr>
        <w:t xml:space="preserve"> and </w:t>
      </w:r>
      <w:r w:rsidRPr="0037604E">
        <w:rPr>
          <w:rFonts w:ascii="Cambria" w:eastAsia="Calibri" w:hAnsi="Cambria" w:cs="Times New Roman"/>
          <w:b/>
          <w:sz w:val="24"/>
          <w:szCs w:val="24"/>
          <w:lang w:val="en-GB" w:eastAsia="en-US"/>
        </w:rPr>
        <w:t>the estimated time for completion is 2019 for Phase 1 and 2020 for Phase 2</w:t>
      </w:r>
      <w:r w:rsidRPr="0037604E">
        <w:rPr>
          <w:rFonts w:ascii="Cambria" w:eastAsia="Times New Roman" w:hAnsi="Cambria" w:cs="Cambria"/>
          <w:b/>
          <w:color w:val="000000"/>
          <w:sz w:val="24"/>
          <w:szCs w:val="24"/>
          <w:lang w:val="en-GB"/>
        </w:rPr>
        <w:t>.</w:t>
      </w:r>
    </w:p>
    <w:p w:rsidR="0037604E" w:rsidRPr="0037604E" w:rsidRDefault="0037604E" w:rsidP="0037604E">
      <w:pPr>
        <w:autoSpaceDE w:val="0"/>
        <w:autoSpaceDN w:val="0"/>
        <w:adjustRightInd w:val="0"/>
        <w:spacing w:after="0" w:line="240" w:lineRule="auto"/>
        <w:jc w:val="both"/>
        <w:rPr>
          <w:rFonts w:ascii="Cambria" w:eastAsia="Times New Roman" w:hAnsi="Cambria" w:cs="Times New Roman"/>
          <w:b/>
          <w:bCs/>
          <w:i/>
          <w:iCs/>
          <w:sz w:val="16"/>
          <w:szCs w:val="16"/>
          <w:lang w:val="en-GB"/>
        </w:rPr>
      </w:pPr>
    </w:p>
    <w:p w:rsidR="0037604E" w:rsidRPr="0037604E" w:rsidRDefault="0037604E" w:rsidP="0037604E">
      <w:pPr>
        <w:autoSpaceDE w:val="0"/>
        <w:autoSpaceDN w:val="0"/>
        <w:adjustRightInd w:val="0"/>
        <w:spacing w:after="0"/>
        <w:rPr>
          <w:rFonts w:ascii="Cambria" w:eastAsia="Times New Roman" w:hAnsi="Cambria" w:cs="Cambria"/>
          <w:color w:val="000000"/>
          <w:sz w:val="16"/>
          <w:szCs w:val="16"/>
          <w:lang w:val="en-GB"/>
        </w:rPr>
      </w:pPr>
    </w:p>
    <w:p w:rsidR="0037604E" w:rsidRPr="0037604E" w:rsidRDefault="0037604E" w:rsidP="00FA6EB9">
      <w:pPr>
        <w:numPr>
          <w:ilvl w:val="0"/>
          <w:numId w:val="72"/>
        </w:numPr>
        <w:shd w:val="clear" w:color="auto" w:fill="E8EFF9"/>
        <w:autoSpaceDE w:val="0"/>
        <w:autoSpaceDN w:val="0"/>
        <w:adjustRightInd w:val="0"/>
        <w:spacing w:after="0" w:line="240" w:lineRule="auto"/>
        <w:contextualSpacing/>
        <w:jc w:val="both"/>
        <w:rPr>
          <w:rFonts w:ascii="Cambria" w:eastAsia="Times New Roman" w:hAnsi="Cambria" w:cs="Cambria"/>
          <w:color w:val="000000"/>
          <w:sz w:val="23"/>
          <w:szCs w:val="23"/>
          <w:lang w:val="en-GB"/>
        </w:rPr>
      </w:pPr>
      <w:r w:rsidRPr="0037604E">
        <w:rPr>
          <w:rFonts w:ascii="Cambria" w:eastAsia="Times New Roman" w:hAnsi="Cambria" w:cs="Cambria"/>
          <w:b/>
          <w:bCs/>
          <w:color w:val="000000"/>
          <w:sz w:val="23"/>
          <w:szCs w:val="23"/>
          <w:lang w:val="en-GB"/>
        </w:rPr>
        <w:t xml:space="preserve">Development of the Southern Danube Corridor in Romania for extracting gas from the Black Sea </w:t>
      </w:r>
    </w:p>
    <w:p w:rsidR="0037604E" w:rsidRPr="0037604E" w:rsidRDefault="0037604E" w:rsidP="0037604E">
      <w:pPr>
        <w:autoSpaceDE w:val="0"/>
        <w:autoSpaceDN w:val="0"/>
        <w:adjustRightInd w:val="0"/>
        <w:spacing w:after="0"/>
        <w:rPr>
          <w:rFonts w:ascii="Cambria" w:eastAsia="Times New Roman" w:hAnsi="Cambria" w:cs="Cambria"/>
          <w:color w:val="000000"/>
          <w:sz w:val="23"/>
          <w:szCs w:val="23"/>
          <w:lang w:val="en-GB"/>
        </w:rPr>
      </w:pPr>
    </w:p>
    <w:p w:rsidR="0037604E" w:rsidRPr="0037604E" w:rsidRDefault="0037604E" w:rsidP="0037604E">
      <w:pPr>
        <w:autoSpaceDE w:val="0"/>
        <w:autoSpaceDN w:val="0"/>
        <w:adjustRightInd w:val="0"/>
        <w:spacing w:after="0"/>
        <w:rPr>
          <w:rFonts w:ascii="Cambria" w:eastAsia="Times New Roman" w:hAnsi="Cambria" w:cs="Cambria"/>
          <w:b/>
          <w:bCs/>
          <w:i/>
          <w:iCs/>
          <w:color w:val="000000"/>
          <w:sz w:val="16"/>
          <w:szCs w:val="16"/>
          <w:lang w:val="en-GB"/>
        </w:rPr>
      </w:pPr>
      <w:r w:rsidRPr="0037604E">
        <w:rPr>
          <w:rFonts w:ascii="Cambria" w:eastAsia="Times New Roman" w:hAnsi="Cambria" w:cs="Times New Roman"/>
          <w:noProof/>
          <w:color w:val="FF0000"/>
          <w:sz w:val="24"/>
          <w:szCs w:val="24"/>
          <w:lang w:val="ro-RO" w:eastAsia="ro-RO"/>
        </w:rPr>
        <w:drawing>
          <wp:inline distT="0" distB="0" distL="0" distR="0" wp14:anchorId="08537473" wp14:editId="04A71548">
            <wp:extent cx="4377690" cy="3285783"/>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02865" cy="3304679"/>
                    </a:xfrm>
                    <a:prstGeom prst="rect">
                      <a:avLst/>
                    </a:prstGeom>
                    <a:noFill/>
                  </pic:spPr>
                </pic:pic>
              </a:graphicData>
            </a:graphic>
          </wp:inline>
        </w:drawing>
      </w:r>
    </w:p>
    <w:p w:rsidR="00A21FBF" w:rsidRDefault="00A21FBF" w:rsidP="00A21FBF">
      <w:pPr>
        <w:spacing w:after="0" w:line="240" w:lineRule="auto"/>
        <w:ind w:left="360"/>
        <w:jc w:val="center"/>
        <w:rPr>
          <w:rFonts w:asciiTheme="majorHAnsi" w:hAnsiTheme="majorHAnsi"/>
          <w:b/>
          <w:i/>
          <w:sz w:val="16"/>
          <w:szCs w:val="16"/>
        </w:rPr>
      </w:pPr>
      <w:r w:rsidRPr="00945A8E">
        <w:rPr>
          <w:rFonts w:asciiTheme="majorHAnsi" w:hAnsiTheme="majorHAnsi"/>
          <w:b/>
          <w:i/>
          <w:sz w:val="16"/>
          <w:szCs w:val="16"/>
        </w:rPr>
        <w:t xml:space="preserve">Fig. </w:t>
      </w:r>
      <w:r w:rsidR="00F47A26">
        <w:rPr>
          <w:rFonts w:asciiTheme="majorHAnsi" w:hAnsiTheme="majorHAnsi"/>
          <w:b/>
          <w:i/>
          <w:sz w:val="16"/>
          <w:szCs w:val="16"/>
        </w:rPr>
        <w:t xml:space="preserve">7 </w:t>
      </w:r>
      <w:r w:rsidRPr="00945A8E">
        <w:rPr>
          <w:rFonts w:asciiTheme="majorHAnsi" w:hAnsiTheme="majorHAnsi"/>
          <w:b/>
          <w:i/>
          <w:sz w:val="16"/>
          <w:szCs w:val="16"/>
        </w:rPr>
        <w:t xml:space="preserve">- </w:t>
      </w:r>
      <w:r w:rsidR="0035123D">
        <w:rPr>
          <w:rFonts w:asciiTheme="majorHAnsi" w:hAnsiTheme="majorHAnsi"/>
          <w:b/>
          <w:i/>
          <w:sz w:val="16"/>
          <w:szCs w:val="16"/>
        </w:rPr>
        <w:t>Southern corridor Black Sea - Podis</w:t>
      </w:r>
      <w:r>
        <w:rPr>
          <w:rFonts w:asciiTheme="majorHAnsi" w:hAnsiTheme="majorHAnsi"/>
          <w:b/>
          <w:i/>
          <w:sz w:val="16"/>
          <w:szCs w:val="16"/>
        </w:rPr>
        <w:t>or</w:t>
      </w:r>
    </w:p>
    <w:p w:rsidR="0037604E" w:rsidRPr="0037604E" w:rsidRDefault="0037604E" w:rsidP="0037604E">
      <w:pPr>
        <w:spacing w:after="0" w:line="240" w:lineRule="auto"/>
        <w:ind w:firstLine="0"/>
        <w:jc w:val="center"/>
        <w:rPr>
          <w:rFonts w:ascii="Cambria" w:eastAsia="Times New Roman" w:hAnsi="Cambria" w:cs="Times New Roman"/>
          <w:b/>
          <w:bCs/>
          <w:i/>
          <w:sz w:val="16"/>
          <w:szCs w:val="16"/>
          <w:lang w:val="fr-FR" w:eastAsia="en-US"/>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r w:rsidRPr="0037604E">
        <w:rPr>
          <w:rFonts w:ascii="Cambria" w:eastAsia="Times New Roman" w:hAnsi="Cambria" w:cs="Cambria"/>
          <w:b/>
          <w:bCs/>
          <w:i/>
          <w:iCs/>
          <w:color w:val="000000"/>
          <w:sz w:val="16"/>
          <w:szCs w:val="16"/>
          <w:lang w:val="en-GB"/>
        </w:rPr>
        <w:t xml:space="preserve">             </w:t>
      </w: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Cambria" w:eastAsia="Calibri" w:hAnsi="Cambria" w:cs="Times New Roman"/>
          <w:sz w:val="24"/>
          <w:szCs w:val="24"/>
          <w:lang w:val="en-GB" w:eastAsia="en-US"/>
        </w:rPr>
        <w:t xml:space="preserve">The Proiect consist in the creation of a transmission infrastructure to connect the available gas at the Black Sea shore and the BULGARIA-ROMANIA-HUNGARY-AUSTRIA </w:t>
      </w:r>
      <w:r w:rsidRPr="0037604E">
        <w:rPr>
          <w:rFonts w:ascii="Cambria" w:eastAsia="Calibri" w:hAnsi="Cambria" w:cs="Times New Roman"/>
          <w:sz w:val="24"/>
          <w:szCs w:val="24"/>
          <w:lang w:val="en-GB" w:eastAsia="en-US"/>
        </w:rPr>
        <w:lastRenderedPageBreak/>
        <w:t>corridor, enabling the possibility to transmit gas to Bulgaria and Hungary through the interconnections at Giurgiu-Ruse (with Bulgaria) and Nadlac-Szeged (with Hungary).</w:t>
      </w:r>
      <w:r w:rsidRPr="0037604E">
        <w:rPr>
          <w:rFonts w:asciiTheme="majorHAnsi" w:eastAsia="Times New Roman" w:hAnsiTheme="majorHAnsi" w:cs="Times New Roman"/>
          <w:sz w:val="24"/>
          <w:szCs w:val="24"/>
          <w:lang w:val="ro-RO" w:eastAsia="en-US"/>
        </w:rPr>
        <w:t xml:space="preserve"> This pipeline will also interconnect the current international gas ransmission pipeline  T1.</w:t>
      </w:r>
    </w:p>
    <w:p w:rsidR="0037604E" w:rsidRPr="0037604E" w:rsidRDefault="0037604E" w:rsidP="0037604E">
      <w:pPr>
        <w:autoSpaceDE w:val="0"/>
        <w:autoSpaceDN w:val="0"/>
        <w:adjustRightInd w:val="0"/>
        <w:spacing w:after="0" w:line="240" w:lineRule="auto"/>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Thus, a new pipeline is necessary with a length of </w:t>
      </w:r>
      <w:r w:rsidRPr="0037604E">
        <w:rPr>
          <w:rFonts w:ascii="Cambria" w:eastAsia="Calibri" w:hAnsi="Cambria" w:cs="Times New Roman"/>
          <w:b/>
          <w:sz w:val="24"/>
          <w:szCs w:val="24"/>
          <w:lang w:val="en-GB" w:eastAsia="en-US"/>
        </w:rPr>
        <w:t xml:space="preserve">307 km. </w:t>
      </w:r>
      <w:r w:rsidRPr="0037604E">
        <w:rPr>
          <w:rFonts w:ascii="Cambria" w:eastAsia="Calibri" w:hAnsi="Cambria" w:cs="Times New Roman"/>
          <w:sz w:val="24"/>
          <w:szCs w:val="24"/>
          <w:lang w:val="en-GB" w:eastAsia="en-US"/>
        </w:rPr>
        <w:t xml:space="preserve">the cost of this project is approximately </w:t>
      </w:r>
      <w:r w:rsidRPr="0037604E">
        <w:rPr>
          <w:rFonts w:ascii="Cambria" w:eastAsia="Calibri" w:hAnsi="Cambria" w:cs="Times New Roman"/>
          <w:b/>
          <w:sz w:val="24"/>
          <w:szCs w:val="24"/>
          <w:lang w:val="en-GB" w:eastAsia="en-US"/>
        </w:rPr>
        <w:t>Euro 278.3 million</w:t>
      </w:r>
      <w:r w:rsidRPr="0037604E">
        <w:rPr>
          <w:rFonts w:ascii="Cambria" w:eastAsia="Calibri" w:hAnsi="Cambria" w:cs="Times New Roman"/>
          <w:sz w:val="24"/>
          <w:szCs w:val="24"/>
          <w:lang w:val="en-GB" w:eastAsia="en-US"/>
        </w:rPr>
        <w:t xml:space="preserve">, the estimated completion deadline is 2020.  </w:t>
      </w:r>
    </w:p>
    <w:p w:rsidR="0037604E" w:rsidRPr="0037604E" w:rsidRDefault="0037604E" w:rsidP="0037604E">
      <w:pPr>
        <w:autoSpaceDE w:val="0"/>
        <w:autoSpaceDN w:val="0"/>
        <w:adjustRightInd w:val="0"/>
        <w:spacing w:after="0" w:line="240" w:lineRule="auto"/>
        <w:jc w:val="both"/>
        <w:rPr>
          <w:rFonts w:ascii="Cambria" w:eastAsia="Times New Roman" w:hAnsi="Cambria" w:cs="Cambria"/>
          <w:b/>
          <w:bCs/>
          <w:color w:val="000000"/>
          <w:sz w:val="24"/>
          <w:szCs w:val="24"/>
          <w:lang w:val="en-GB"/>
        </w:rPr>
      </w:pPr>
    </w:p>
    <w:p w:rsidR="0037604E" w:rsidRPr="0037604E" w:rsidRDefault="0037604E" w:rsidP="00FA6EB9">
      <w:pPr>
        <w:numPr>
          <w:ilvl w:val="0"/>
          <w:numId w:val="147"/>
        </w:numPr>
        <w:shd w:val="clear" w:color="auto" w:fill="D6E0F4"/>
        <w:spacing w:after="0" w:line="240" w:lineRule="auto"/>
        <w:contextualSpacing/>
        <w:rPr>
          <w:rFonts w:asciiTheme="majorHAnsi" w:eastAsia="Times New Roman" w:hAnsiTheme="majorHAnsi" w:cs="Times New Roman"/>
          <w:b/>
          <w:sz w:val="24"/>
          <w:szCs w:val="24"/>
          <w:lang w:val="fr-FR" w:eastAsia="en-US"/>
        </w:rPr>
      </w:pPr>
      <w:r w:rsidRPr="0037604E">
        <w:rPr>
          <w:rFonts w:asciiTheme="majorHAnsi" w:eastAsia="Times New Roman" w:hAnsiTheme="majorHAnsi" w:cs="Times New Roman"/>
          <w:b/>
          <w:sz w:val="24"/>
          <w:szCs w:val="24"/>
          <w:lang w:val="fr-FR" w:eastAsia="en-US"/>
        </w:rPr>
        <w:t xml:space="preserve">Project for the interconnection of the NTS witht the international gas transmission pipelines </w:t>
      </w:r>
    </w:p>
    <w:p w:rsidR="0037604E" w:rsidRPr="0037604E" w:rsidRDefault="0037604E" w:rsidP="0037604E">
      <w:pPr>
        <w:spacing w:after="0" w:line="240" w:lineRule="auto"/>
        <w:ind w:firstLine="0"/>
        <w:rPr>
          <w:rFonts w:asciiTheme="majorHAnsi" w:eastAsia="Calibri" w:hAnsiTheme="majorHAnsi" w:cs="Arial"/>
          <w:color w:val="FF0000"/>
          <w:sz w:val="24"/>
          <w:szCs w:val="24"/>
          <w:lang w:val="ro-RO" w:eastAsia="en-US"/>
        </w:rPr>
      </w:pPr>
    </w:p>
    <w:p w:rsidR="0037604E" w:rsidRPr="0037604E" w:rsidRDefault="0037604E" w:rsidP="0037604E">
      <w:pPr>
        <w:spacing w:after="0" w:line="240" w:lineRule="auto"/>
        <w:ind w:firstLine="0"/>
        <w:rPr>
          <w:rFonts w:asciiTheme="majorHAnsi" w:eastAsia="Calibri" w:hAnsiTheme="majorHAnsi" w:cs="Arial"/>
          <w:sz w:val="24"/>
          <w:szCs w:val="24"/>
          <w:lang w:val="ro-RO" w:eastAsia="en-US"/>
        </w:rPr>
      </w:pPr>
      <w:r w:rsidRPr="0037604E">
        <w:rPr>
          <w:rFonts w:asciiTheme="majorHAnsi" w:eastAsia="Calibri" w:hAnsiTheme="majorHAnsi" w:cs="Arial"/>
          <w:sz w:val="24"/>
          <w:szCs w:val="24"/>
          <w:lang w:val="ro-RO" w:eastAsia="en-US"/>
        </w:rPr>
        <w:t>This project is necessary since:</w:t>
      </w:r>
    </w:p>
    <w:p w:rsidR="0037604E" w:rsidRPr="0037604E" w:rsidRDefault="0037604E" w:rsidP="0037604E">
      <w:pPr>
        <w:spacing w:after="0" w:line="240" w:lineRule="auto"/>
        <w:ind w:firstLine="0"/>
        <w:rPr>
          <w:rFonts w:asciiTheme="majorHAnsi" w:eastAsia="Calibri" w:hAnsiTheme="majorHAnsi" w:cs="Arial"/>
          <w:sz w:val="24"/>
          <w:szCs w:val="24"/>
          <w:lang w:val="ro-RO" w:eastAsia="en-US"/>
        </w:rPr>
      </w:pPr>
    </w:p>
    <w:p w:rsidR="0037604E" w:rsidRPr="0037604E" w:rsidRDefault="0037604E" w:rsidP="00FA6EB9">
      <w:pPr>
        <w:numPr>
          <w:ilvl w:val="0"/>
          <w:numId w:val="148"/>
        </w:numPr>
        <w:spacing w:after="0" w:line="240" w:lineRule="auto"/>
        <w:ind w:left="714" w:hanging="357"/>
        <w:jc w:val="both"/>
        <w:rPr>
          <w:rFonts w:asciiTheme="majorHAnsi" w:eastAsia="Times New Roman" w:hAnsiTheme="majorHAnsi" w:cs="Arial"/>
          <w:sz w:val="24"/>
          <w:szCs w:val="24"/>
          <w:lang w:val="ro-RO" w:eastAsia="en-US"/>
        </w:rPr>
      </w:pPr>
      <w:r w:rsidRPr="0037604E">
        <w:rPr>
          <w:rFonts w:asciiTheme="majorHAnsi" w:hAnsiTheme="majorHAnsi" w:cs="Arial"/>
          <w:sz w:val="24"/>
          <w:szCs w:val="24"/>
          <w:lang w:val="en"/>
        </w:rPr>
        <w:t>By its implementation it is created a transmission corridor between the markets in Greece, Bulgaria, Romania and Ukraine, in the conditions in which the new interconnection between Greece and Bulgaria is achieved</w:t>
      </w:r>
      <w:r w:rsidRPr="0037604E">
        <w:rPr>
          <w:rFonts w:asciiTheme="majorHAnsi" w:eastAsia="Times New Roman" w:hAnsiTheme="majorHAnsi" w:cs="Arial"/>
          <w:sz w:val="24"/>
          <w:szCs w:val="24"/>
          <w:lang w:val="ro-RO" w:eastAsia="en-US"/>
        </w:rPr>
        <w:t xml:space="preserve">; </w:t>
      </w:r>
    </w:p>
    <w:p w:rsidR="0037604E" w:rsidRPr="0037604E" w:rsidRDefault="0037604E" w:rsidP="00FA6EB9">
      <w:pPr>
        <w:numPr>
          <w:ilvl w:val="0"/>
          <w:numId w:val="148"/>
        </w:numPr>
        <w:spacing w:after="0" w:line="240" w:lineRule="auto"/>
        <w:ind w:left="714" w:hanging="357"/>
        <w:jc w:val="both"/>
        <w:rPr>
          <w:rFonts w:asciiTheme="majorHAnsi" w:eastAsia="Times New Roman" w:hAnsiTheme="majorHAnsi" w:cs="Arial"/>
          <w:sz w:val="24"/>
          <w:szCs w:val="24"/>
          <w:lang w:val="ro-RO" w:eastAsia="en-US"/>
        </w:rPr>
      </w:pPr>
      <w:r w:rsidRPr="0037604E">
        <w:rPr>
          <w:rFonts w:asciiTheme="majorHAnsi" w:hAnsiTheme="majorHAnsi" w:cs="Arial"/>
          <w:sz w:val="24"/>
          <w:szCs w:val="24"/>
          <w:lang w:val="en"/>
        </w:rPr>
        <w:t>The transmission contract for the capacity of the Transit 1pipeline expires on 31 December 2016 and for making available to the market these transmission capacities by creating the connection between the Transit 1 pipeline and the national transport system, it is ensured the access of several shippers  on the Romanian and regional market;</w:t>
      </w:r>
    </w:p>
    <w:p w:rsidR="0037604E" w:rsidRPr="0037604E" w:rsidRDefault="0037604E" w:rsidP="00FA6EB9">
      <w:pPr>
        <w:numPr>
          <w:ilvl w:val="0"/>
          <w:numId w:val="148"/>
        </w:numPr>
        <w:spacing w:after="0" w:line="240" w:lineRule="auto"/>
        <w:ind w:left="714" w:hanging="357"/>
        <w:jc w:val="both"/>
        <w:rPr>
          <w:rFonts w:asciiTheme="majorHAnsi" w:eastAsia="Times New Roman" w:hAnsiTheme="majorHAnsi" w:cs="Arial"/>
          <w:sz w:val="24"/>
          <w:szCs w:val="24"/>
          <w:lang w:val="ro-RO" w:eastAsia="en-US"/>
        </w:rPr>
      </w:pPr>
      <w:r w:rsidRPr="0037604E">
        <w:rPr>
          <w:rFonts w:asciiTheme="majorHAnsi" w:hAnsiTheme="majorHAnsi" w:cs="Arial"/>
          <w:sz w:val="24"/>
          <w:szCs w:val="24"/>
          <w:lang w:val="en"/>
        </w:rPr>
        <w:t>Physical reverse flows could be ensured at  the Negru Voda 1 point in accordance with Regulation (EU) 994/2010;</w:t>
      </w:r>
      <w:r w:rsidRPr="0037604E">
        <w:rPr>
          <w:rFonts w:asciiTheme="majorHAnsi" w:eastAsia="Times New Roman" w:hAnsiTheme="majorHAnsi" w:cs="Arial"/>
          <w:sz w:val="24"/>
          <w:szCs w:val="24"/>
          <w:lang w:val="ro-RO" w:eastAsia="en-US"/>
        </w:rPr>
        <w:t xml:space="preserve"> </w:t>
      </w:r>
    </w:p>
    <w:p w:rsidR="0037604E" w:rsidRPr="0037604E" w:rsidRDefault="0037604E" w:rsidP="00FA6EB9">
      <w:pPr>
        <w:numPr>
          <w:ilvl w:val="0"/>
          <w:numId w:val="148"/>
        </w:numPr>
        <w:spacing w:after="0" w:line="240" w:lineRule="auto"/>
        <w:ind w:left="714" w:hanging="357"/>
        <w:jc w:val="both"/>
        <w:rPr>
          <w:rFonts w:asciiTheme="majorHAnsi" w:eastAsia="Times New Roman" w:hAnsiTheme="majorHAnsi" w:cs="Arial"/>
          <w:sz w:val="24"/>
          <w:szCs w:val="24"/>
          <w:lang w:val="ro-RO" w:eastAsia="en-US"/>
        </w:rPr>
      </w:pPr>
      <w:r w:rsidRPr="0037604E">
        <w:rPr>
          <w:rFonts w:asciiTheme="majorHAnsi" w:hAnsiTheme="majorHAnsi" w:cs="Arial"/>
          <w:sz w:val="24"/>
          <w:szCs w:val="24"/>
          <w:lang w:val="en"/>
        </w:rPr>
        <w:t>The project is necessary also in the context of the taking over of the newly discovered gas in the Black Sea by the Romanian gas transmission system, in order to sell them on the Romanian market and on the regional markets</w:t>
      </w:r>
      <w:r w:rsidRPr="0037604E">
        <w:rPr>
          <w:rFonts w:ascii="Arial" w:hAnsi="Arial" w:cs="Arial"/>
          <w:color w:val="222222"/>
          <w:lang w:val="en"/>
        </w:rPr>
        <w:t xml:space="preserve">. </w:t>
      </w:r>
    </w:p>
    <w:p w:rsidR="0037604E" w:rsidRPr="0037604E" w:rsidRDefault="0037604E" w:rsidP="0037604E">
      <w:pPr>
        <w:autoSpaceDE w:val="0"/>
        <w:autoSpaceDN w:val="0"/>
        <w:adjustRightInd w:val="0"/>
        <w:spacing w:after="0" w:line="240" w:lineRule="auto"/>
        <w:ind w:firstLine="0"/>
        <w:jc w:val="both"/>
        <w:rPr>
          <w:rFonts w:ascii="Arial" w:hAnsi="Arial" w:cs="Arial"/>
          <w:color w:val="222222"/>
          <w:lang w:val="en"/>
        </w:rPr>
      </w:pPr>
      <w:r w:rsidRPr="0037604E">
        <w:rPr>
          <w:rFonts w:ascii="Arial" w:hAnsi="Arial" w:cs="Arial"/>
          <w:color w:val="222222"/>
          <w:lang w:val="en"/>
        </w:rPr>
        <w:br/>
      </w:r>
    </w:p>
    <w:p w:rsidR="0037604E" w:rsidRPr="0037604E" w:rsidRDefault="0037604E" w:rsidP="0037604E">
      <w:pPr>
        <w:spacing w:after="200" w:line="276" w:lineRule="auto"/>
        <w:ind w:firstLine="0"/>
        <w:jc w:val="center"/>
        <w:rPr>
          <w:rFonts w:ascii="Cambria" w:eastAsia="Times New Roman" w:hAnsi="Cambria" w:cs="Times New Roman"/>
          <w:sz w:val="24"/>
          <w:szCs w:val="24"/>
          <w:lang w:val="en-GB" w:eastAsia="ro-RO"/>
        </w:rPr>
      </w:pPr>
      <w:r w:rsidRPr="0037604E">
        <w:rPr>
          <w:rFonts w:asciiTheme="majorHAnsi" w:eastAsia="Times New Roman" w:hAnsiTheme="majorHAnsi" w:cs="Arial"/>
          <w:noProof/>
          <w:color w:val="FF0000"/>
          <w:sz w:val="24"/>
          <w:szCs w:val="24"/>
          <w:lang w:val="ro-RO" w:eastAsia="ro-RO"/>
        </w:rPr>
        <w:drawing>
          <wp:inline distT="0" distB="0" distL="0" distR="0" wp14:anchorId="18E812CC" wp14:editId="1A25D2F6">
            <wp:extent cx="3857625" cy="2716517"/>
            <wp:effectExtent l="0" t="0" r="0" b="8255"/>
            <wp:docPr id="646" name="Picture 646" descr="Interconectare S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conectare S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67519" cy="2723485"/>
                    </a:xfrm>
                    <a:prstGeom prst="rect">
                      <a:avLst/>
                    </a:prstGeom>
                    <a:noFill/>
                    <a:ln>
                      <a:noFill/>
                    </a:ln>
                  </pic:spPr>
                </pic:pic>
              </a:graphicData>
            </a:graphic>
          </wp:inline>
        </w:drawing>
      </w:r>
    </w:p>
    <w:p w:rsidR="0035123D" w:rsidRDefault="0035123D" w:rsidP="0035123D">
      <w:pPr>
        <w:spacing w:after="0" w:line="240" w:lineRule="auto"/>
        <w:jc w:val="center"/>
        <w:rPr>
          <w:rFonts w:asciiTheme="majorHAnsi" w:hAnsiTheme="majorHAnsi"/>
          <w:b/>
          <w:i/>
          <w:sz w:val="16"/>
          <w:szCs w:val="16"/>
        </w:rPr>
      </w:pPr>
      <w:r w:rsidRPr="00945A8E">
        <w:rPr>
          <w:rFonts w:asciiTheme="majorHAnsi" w:hAnsiTheme="majorHAnsi"/>
          <w:b/>
          <w:i/>
          <w:sz w:val="16"/>
          <w:szCs w:val="16"/>
        </w:rPr>
        <w:t xml:space="preserve">Fig. </w:t>
      </w:r>
      <w:r w:rsidR="00F47A26">
        <w:rPr>
          <w:rFonts w:asciiTheme="majorHAnsi" w:hAnsiTheme="majorHAnsi"/>
          <w:b/>
          <w:i/>
          <w:sz w:val="16"/>
          <w:szCs w:val="16"/>
        </w:rPr>
        <w:t xml:space="preserve">8 </w:t>
      </w:r>
      <w:r w:rsidRPr="00945A8E">
        <w:rPr>
          <w:rFonts w:asciiTheme="majorHAnsi" w:hAnsiTheme="majorHAnsi"/>
          <w:b/>
          <w:i/>
          <w:sz w:val="16"/>
          <w:szCs w:val="16"/>
        </w:rPr>
        <w:t xml:space="preserve">- </w:t>
      </w:r>
      <w:r>
        <w:rPr>
          <w:rFonts w:asciiTheme="majorHAnsi" w:hAnsiTheme="majorHAnsi"/>
          <w:b/>
          <w:i/>
          <w:sz w:val="16"/>
          <w:szCs w:val="16"/>
        </w:rPr>
        <w:t xml:space="preserve">Interconect  </w:t>
      </w:r>
      <w:r w:rsidRPr="00945A8E">
        <w:rPr>
          <w:rFonts w:asciiTheme="majorHAnsi" w:hAnsiTheme="majorHAnsi"/>
          <w:b/>
          <w:i/>
          <w:sz w:val="16"/>
          <w:szCs w:val="16"/>
        </w:rPr>
        <w:t xml:space="preserve"> </w:t>
      </w:r>
      <w:r>
        <w:rPr>
          <w:rFonts w:asciiTheme="majorHAnsi" w:hAnsiTheme="majorHAnsi"/>
          <w:b/>
          <w:i/>
          <w:sz w:val="16"/>
          <w:szCs w:val="16"/>
        </w:rPr>
        <w:t>NTS – Transit  I at Isaccea</w:t>
      </w:r>
    </w:p>
    <w:p w:rsidR="0035123D" w:rsidRDefault="0035123D" w:rsidP="0037604E">
      <w:pPr>
        <w:spacing w:after="0" w:line="240" w:lineRule="auto"/>
        <w:ind w:firstLine="0"/>
        <w:jc w:val="both"/>
        <w:rPr>
          <w:rFonts w:asciiTheme="majorHAnsi" w:hAnsiTheme="majorHAnsi" w:cs="Arial"/>
          <w:sz w:val="24"/>
          <w:szCs w:val="24"/>
          <w:lang w:val="en"/>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t>The project will consist of the following</w:t>
      </w:r>
      <w:r w:rsidRPr="0037604E">
        <w:rPr>
          <w:rFonts w:asciiTheme="majorHAnsi" w:eastAsia="Calibri" w:hAnsiTheme="majorHAnsi" w:cs="Times New Roman"/>
          <w:sz w:val="24"/>
          <w:szCs w:val="24"/>
          <w:lang w:val="fr-FR" w:eastAsia="en-US"/>
        </w:rPr>
        <w:t>:</w:t>
      </w:r>
    </w:p>
    <w:p w:rsidR="0037604E" w:rsidRPr="0037604E" w:rsidRDefault="0037604E" w:rsidP="00FA6EB9">
      <w:pPr>
        <w:numPr>
          <w:ilvl w:val="0"/>
          <w:numId w:val="149"/>
        </w:numPr>
        <w:spacing w:after="0" w:line="240" w:lineRule="auto"/>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t>modernization and extension of the  Siliştea compression station</w:t>
      </w:r>
      <w:r w:rsidRPr="0037604E">
        <w:rPr>
          <w:rFonts w:asciiTheme="majorHAnsi" w:eastAsia="Calibri" w:hAnsiTheme="majorHAnsi" w:cs="Times New Roman"/>
          <w:sz w:val="24"/>
          <w:szCs w:val="24"/>
          <w:lang w:val="fr-FR" w:eastAsia="en-US"/>
        </w:rPr>
        <w:t>;</w:t>
      </w:r>
    </w:p>
    <w:p w:rsidR="0037604E" w:rsidRPr="0037604E" w:rsidRDefault="0037604E" w:rsidP="00FA6EB9">
      <w:pPr>
        <w:numPr>
          <w:ilvl w:val="0"/>
          <w:numId w:val="149"/>
        </w:numPr>
        <w:spacing w:after="0" w:line="240" w:lineRule="auto"/>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t xml:space="preserve">modernization and extension of the  </w:t>
      </w:r>
      <w:r w:rsidRPr="0037604E">
        <w:rPr>
          <w:rFonts w:asciiTheme="majorHAnsi" w:eastAsia="Calibri" w:hAnsiTheme="majorHAnsi" w:cs="Times New Roman"/>
          <w:sz w:val="24"/>
          <w:szCs w:val="24"/>
          <w:lang w:val="fr-FR" w:eastAsia="en-US"/>
        </w:rPr>
        <w:t>Onești</w:t>
      </w:r>
      <w:r w:rsidRPr="0037604E">
        <w:rPr>
          <w:rFonts w:asciiTheme="majorHAnsi" w:hAnsiTheme="majorHAnsi" w:cs="Arial"/>
          <w:sz w:val="24"/>
          <w:szCs w:val="24"/>
          <w:lang w:val="en"/>
        </w:rPr>
        <w:t xml:space="preserve"> compression station</w:t>
      </w:r>
      <w:r w:rsidRPr="0037604E">
        <w:rPr>
          <w:rFonts w:asciiTheme="majorHAnsi" w:eastAsia="Calibri" w:hAnsiTheme="majorHAnsi" w:cs="Times New Roman"/>
          <w:sz w:val="24"/>
          <w:szCs w:val="24"/>
          <w:lang w:val="fr-FR" w:eastAsia="en-US"/>
        </w:rPr>
        <w:t>;</w:t>
      </w:r>
    </w:p>
    <w:p w:rsidR="0037604E" w:rsidRPr="0037604E" w:rsidRDefault="0037604E" w:rsidP="00FA6EB9">
      <w:pPr>
        <w:numPr>
          <w:ilvl w:val="0"/>
          <w:numId w:val="149"/>
        </w:numPr>
        <w:spacing w:after="0" w:line="240" w:lineRule="auto"/>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t>changes within the Isaccea metering station</w:t>
      </w:r>
      <w:r w:rsidRPr="0037604E">
        <w:rPr>
          <w:rFonts w:asciiTheme="majorHAnsi" w:eastAsia="Calibri" w:hAnsiTheme="majorHAnsi" w:cs="Times New Roman"/>
          <w:sz w:val="24"/>
          <w:szCs w:val="24"/>
          <w:lang w:val="fr-FR" w:eastAsia="en-US"/>
        </w:rPr>
        <w:t>;</w:t>
      </w:r>
    </w:p>
    <w:p w:rsidR="0037604E" w:rsidRPr="0037604E" w:rsidRDefault="00EF6EFE" w:rsidP="00FA6EB9">
      <w:pPr>
        <w:numPr>
          <w:ilvl w:val="0"/>
          <w:numId w:val="149"/>
        </w:numPr>
        <w:spacing w:after="0" w:line="240" w:lineRule="auto"/>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lastRenderedPageBreak/>
        <w:t>Rehabilitation</w:t>
      </w:r>
      <w:r w:rsidR="0037604E" w:rsidRPr="0037604E">
        <w:rPr>
          <w:rFonts w:asciiTheme="majorHAnsi" w:hAnsiTheme="majorHAnsi" w:cs="Arial"/>
          <w:sz w:val="24"/>
          <w:szCs w:val="24"/>
          <w:lang w:val="en"/>
        </w:rPr>
        <w:t xml:space="preserve"> of the Cosmeşti - Onesti (66.2 km) and Siliştea - Şendreni (11.3 km) pipeline sections</w:t>
      </w:r>
      <w:r w:rsidR="0037604E" w:rsidRPr="0037604E">
        <w:rPr>
          <w:rFonts w:asciiTheme="majorHAnsi" w:eastAsia="Calibri" w:hAnsiTheme="majorHAnsi" w:cs="Times New Roman"/>
          <w:sz w:val="24"/>
          <w:szCs w:val="24"/>
          <w:lang w:val="fr-FR" w:eastAsia="en-US"/>
        </w:rPr>
        <w:t>.</w:t>
      </w:r>
    </w:p>
    <w:p w:rsidR="0037604E" w:rsidRPr="0037604E" w:rsidRDefault="0037604E" w:rsidP="0037604E">
      <w:pPr>
        <w:spacing w:after="200" w:line="276" w:lineRule="auto"/>
        <w:ind w:firstLine="0"/>
        <w:jc w:val="both"/>
        <w:rPr>
          <w:rFonts w:asciiTheme="majorHAnsi" w:hAnsiTheme="majorHAnsi"/>
          <w:b/>
          <w:sz w:val="24"/>
        </w:rPr>
      </w:pPr>
      <w:r w:rsidRPr="0037604E">
        <w:rPr>
          <w:rFonts w:ascii="Arial" w:hAnsi="Arial" w:cs="Arial"/>
          <w:color w:val="222222"/>
          <w:lang w:val="en"/>
        </w:rPr>
        <w:br/>
      </w:r>
      <w:r w:rsidRPr="0037604E">
        <w:rPr>
          <w:rFonts w:ascii="Cambria" w:eastAsia="Times New Roman" w:hAnsi="Cambria" w:cs="Times New Roman"/>
          <w:sz w:val="24"/>
          <w:szCs w:val="24"/>
          <w:lang w:val="en-GB" w:eastAsia="ro-RO"/>
        </w:rPr>
        <w:t xml:space="preserve">The total investment is estimated at </w:t>
      </w:r>
      <w:r w:rsidRPr="0037604E">
        <w:rPr>
          <w:rFonts w:ascii="Cambria" w:eastAsia="Times New Roman" w:hAnsi="Cambria" w:cs="Times New Roman"/>
          <w:b/>
          <w:sz w:val="24"/>
          <w:szCs w:val="24"/>
          <w:lang w:val="en-GB" w:eastAsia="ro-RO"/>
        </w:rPr>
        <w:t>EUR</w:t>
      </w:r>
      <w:r w:rsidRPr="0037604E">
        <w:rPr>
          <w:rFonts w:ascii="Cambria" w:eastAsia="Times New Roman" w:hAnsi="Cambria" w:cs="Times New Roman"/>
          <w:sz w:val="24"/>
          <w:szCs w:val="24"/>
          <w:lang w:val="en-GB" w:eastAsia="ro-RO"/>
        </w:rPr>
        <w:t xml:space="preserve"> </w:t>
      </w:r>
      <w:r w:rsidRPr="0037604E">
        <w:rPr>
          <w:rFonts w:ascii="Cambria" w:eastAsia="Times New Roman" w:hAnsi="Cambria" w:cs="Times New Roman"/>
          <w:b/>
          <w:sz w:val="24"/>
          <w:szCs w:val="24"/>
          <w:lang w:val="en-GB" w:eastAsia="ro-RO"/>
        </w:rPr>
        <w:t>65 million and the estimated completion deadline is</w:t>
      </w:r>
      <w:r w:rsidRPr="0037604E">
        <w:rPr>
          <w:rFonts w:asciiTheme="majorHAnsi" w:hAnsiTheme="majorHAnsi" w:cs="Cambria"/>
          <w:b/>
          <w:sz w:val="24"/>
          <w:szCs w:val="24"/>
        </w:rPr>
        <w:t xml:space="preserve"> 2019.</w:t>
      </w:r>
    </w:p>
    <w:p w:rsidR="0037604E" w:rsidRPr="0037604E" w:rsidRDefault="0037604E" w:rsidP="00FA6EB9">
      <w:pPr>
        <w:numPr>
          <w:ilvl w:val="0"/>
          <w:numId w:val="150"/>
        </w:numPr>
        <w:shd w:val="clear" w:color="auto" w:fill="D6E0F4"/>
        <w:spacing w:after="0" w:line="240" w:lineRule="auto"/>
        <w:contextualSpacing/>
        <w:rPr>
          <w:rFonts w:asciiTheme="majorHAnsi" w:eastAsia="Times New Roman" w:hAnsiTheme="majorHAnsi" w:cs="Times New Roman"/>
          <w:b/>
          <w:sz w:val="24"/>
          <w:szCs w:val="24"/>
          <w:lang w:val="fr-FR" w:eastAsia="en-US"/>
        </w:rPr>
      </w:pPr>
      <w:r w:rsidRPr="0037604E">
        <w:rPr>
          <w:rFonts w:asciiTheme="majorHAnsi" w:eastAsia="Times New Roman" w:hAnsiTheme="majorHAnsi" w:cs="Times New Roman"/>
          <w:b/>
          <w:sz w:val="24"/>
          <w:szCs w:val="24"/>
          <w:lang w:val="fr-FR" w:eastAsia="en-US"/>
        </w:rPr>
        <w:t>NTS development in the North – East of Romania to improve gas supply to the region and nsuring transmission capacity to the Republic of Moldova</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tabs>
          <w:tab w:val="left" w:pos="9360"/>
        </w:tabs>
        <w:spacing w:after="0" w:line="240" w:lineRule="auto"/>
        <w:ind w:firstLine="0"/>
        <w:jc w:val="both"/>
        <w:rPr>
          <w:rFonts w:asciiTheme="majorHAnsi" w:hAnsiTheme="majorHAnsi"/>
          <w:sz w:val="24"/>
        </w:rPr>
      </w:pPr>
      <w:r w:rsidRPr="0037604E">
        <w:rPr>
          <w:rFonts w:asciiTheme="majorHAnsi" w:eastAsia="Calibri" w:hAnsiTheme="majorHAnsi" w:cs="Times New Roman"/>
          <w:sz w:val="24"/>
          <w:szCs w:val="24"/>
          <w:lang w:eastAsia="en-US"/>
        </w:rPr>
        <w:t xml:space="preserve">Romanian gas transmission system developments to improve gas supply to the region to the Northe-East of Romania and to increase transmission capacity in the conditions of the oferred by the new interconnection pipeline between Romania and Moldova. </w:t>
      </w:r>
      <w:r w:rsidRPr="0037604E">
        <w:rPr>
          <w:rFonts w:asciiTheme="majorHAnsi" w:hAnsiTheme="majorHAnsi"/>
          <w:sz w:val="24"/>
        </w:rPr>
        <w:t xml:space="preserve"> </w:t>
      </w:r>
    </w:p>
    <w:p w:rsidR="0037604E" w:rsidRPr="0037604E" w:rsidRDefault="0037604E" w:rsidP="0037604E">
      <w:pPr>
        <w:tabs>
          <w:tab w:val="left" w:pos="4061"/>
        </w:tabs>
        <w:autoSpaceDE w:val="0"/>
        <w:autoSpaceDN w:val="0"/>
        <w:adjustRightInd w:val="0"/>
        <w:spacing w:after="0" w:line="240" w:lineRule="auto"/>
        <w:jc w:val="both"/>
        <w:rPr>
          <w:rFonts w:ascii="Cambria" w:eastAsia="Times New Roman" w:hAnsi="Cambria" w:cs="Cambria"/>
          <w:color w:val="000000"/>
          <w:sz w:val="24"/>
          <w:szCs w:val="24"/>
          <w:lang w:val="en-GB"/>
        </w:rPr>
      </w:pPr>
    </w:p>
    <w:p w:rsidR="0037604E" w:rsidRPr="0037604E" w:rsidRDefault="0037604E" w:rsidP="0037604E">
      <w:pPr>
        <w:tabs>
          <w:tab w:val="left" w:pos="4061"/>
        </w:tabs>
        <w:autoSpaceDE w:val="0"/>
        <w:autoSpaceDN w:val="0"/>
        <w:adjustRightInd w:val="0"/>
        <w:spacing w:after="0" w:line="240" w:lineRule="auto"/>
        <w:jc w:val="center"/>
        <w:rPr>
          <w:rFonts w:ascii="Cambria" w:eastAsia="Times New Roman" w:hAnsi="Cambria" w:cs="Cambria"/>
          <w:color w:val="000000"/>
          <w:sz w:val="24"/>
          <w:szCs w:val="24"/>
          <w:lang w:val="en-GB"/>
        </w:rPr>
      </w:pPr>
      <w:r w:rsidRPr="0037604E">
        <w:rPr>
          <w:rFonts w:asciiTheme="majorHAnsi" w:eastAsia="Times New Roman" w:hAnsiTheme="majorHAnsi" w:cs="Times New Roman"/>
          <w:noProof/>
          <w:color w:val="FF0000"/>
          <w:sz w:val="24"/>
          <w:szCs w:val="24"/>
          <w:lang w:val="ro-RO" w:eastAsia="ro-RO"/>
        </w:rPr>
        <w:drawing>
          <wp:inline distT="0" distB="0" distL="0" distR="0" wp14:anchorId="381AD958" wp14:editId="7910E4B9">
            <wp:extent cx="3570133" cy="2676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80170" cy="2684050"/>
                    </a:xfrm>
                    <a:prstGeom prst="rect">
                      <a:avLst/>
                    </a:prstGeom>
                    <a:noFill/>
                  </pic:spPr>
                </pic:pic>
              </a:graphicData>
            </a:graphic>
          </wp:inline>
        </w:drawing>
      </w:r>
    </w:p>
    <w:p w:rsidR="0037604E" w:rsidRPr="0037604E" w:rsidRDefault="00F47A26" w:rsidP="0037604E">
      <w:pPr>
        <w:spacing w:after="0" w:line="240" w:lineRule="auto"/>
        <w:ind w:firstLine="0"/>
        <w:jc w:val="center"/>
        <w:rPr>
          <w:rFonts w:asciiTheme="majorHAnsi" w:eastAsia="Calibri" w:hAnsiTheme="majorHAnsi" w:cs="Times New Roman"/>
          <w:b/>
          <w:noProof/>
          <w:sz w:val="16"/>
          <w:szCs w:val="16"/>
          <w:lang w:eastAsia="en-US"/>
        </w:rPr>
      </w:pPr>
      <w:r>
        <w:rPr>
          <w:rFonts w:asciiTheme="majorHAnsi" w:eastAsia="Calibri" w:hAnsiTheme="majorHAnsi" w:cs="Times New Roman"/>
          <w:b/>
          <w:i/>
          <w:iCs/>
          <w:noProof/>
          <w:sz w:val="16"/>
          <w:szCs w:val="16"/>
          <w:lang w:eastAsia="en-US"/>
        </w:rPr>
        <w:t xml:space="preserve">Fig. 9 </w:t>
      </w:r>
      <w:r w:rsidR="0037604E" w:rsidRPr="0037604E">
        <w:rPr>
          <w:rFonts w:asciiTheme="majorHAnsi" w:eastAsia="Calibri" w:hAnsiTheme="majorHAnsi" w:cs="Times New Roman"/>
          <w:b/>
          <w:i/>
          <w:iCs/>
          <w:noProof/>
          <w:sz w:val="16"/>
          <w:szCs w:val="16"/>
          <w:lang w:eastAsia="en-US"/>
        </w:rPr>
        <w:t>- NTS developments in the North-east of Romania</w:t>
      </w:r>
    </w:p>
    <w:p w:rsidR="0037604E" w:rsidRPr="0037604E" w:rsidRDefault="0037604E" w:rsidP="0037604E">
      <w:pPr>
        <w:tabs>
          <w:tab w:val="left" w:pos="4061"/>
        </w:tabs>
        <w:autoSpaceDE w:val="0"/>
        <w:autoSpaceDN w:val="0"/>
        <w:adjustRightInd w:val="0"/>
        <w:spacing w:after="0" w:line="240" w:lineRule="auto"/>
        <w:jc w:val="both"/>
        <w:rPr>
          <w:rFonts w:ascii="Cambria" w:eastAsia="Times New Roman" w:hAnsi="Cambria" w:cs="Cambria"/>
          <w:color w:val="000000"/>
          <w:sz w:val="24"/>
          <w:szCs w:val="24"/>
          <w:lang w:val="en-GB"/>
        </w:rPr>
      </w:pPr>
      <w:r w:rsidRPr="0037604E">
        <w:rPr>
          <w:rFonts w:ascii="Cambria" w:eastAsia="Times New Roman" w:hAnsi="Cambria" w:cs="Cambria"/>
          <w:color w:val="000000"/>
          <w:sz w:val="24"/>
          <w:szCs w:val="24"/>
          <w:lang w:val="en-GB"/>
        </w:rPr>
        <w:tab/>
      </w:r>
    </w:p>
    <w:p w:rsidR="0037604E" w:rsidRPr="0037604E" w:rsidRDefault="0037604E" w:rsidP="0037604E">
      <w:pPr>
        <w:spacing w:after="0" w:line="240" w:lineRule="auto"/>
        <w:ind w:right="284" w:firstLine="0"/>
        <w:contextualSpacing/>
        <w:jc w:val="both"/>
        <w:rPr>
          <w:rFonts w:asciiTheme="majorHAnsi" w:eastAsia="Times New Roman" w:hAnsiTheme="majorHAnsi" w:cs="Times New Roman"/>
          <w:sz w:val="24"/>
          <w:szCs w:val="24"/>
          <w:lang w:eastAsia="en-US"/>
        </w:rPr>
      </w:pPr>
      <w:r w:rsidRPr="0037604E">
        <w:rPr>
          <w:rFonts w:asciiTheme="majorHAnsi" w:hAnsiTheme="majorHAnsi" w:cs="Arial"/>
          <w:color w:val="222222"/>
          <w:sz w:val="24"/>
          <w:szCs w:val="24"/>
          <w:lang w:val="en"/>
        </w:rPr>
        <w:t>The project was divided into sub-projects</w:t>
      </w:r>
      <w:r w:rsidRPr="0037604E">
        <w:rPr>
          <w:rFonts w:asciiTheme="majorHAnsi" w:eastAsia="Times New Roman" w:hAnsiTheme="majorHAnsi" w:cs="Times New Roman"/>
          <w:sz w:val="24"/>
          <w:szCs w:val="24"/>
          <w:lang w:eastAsia="en-US"/>
        </w:rPr>
        <w:t>:</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FA6EB9">
      <w:pPr>
        <w:numPr>
          <w:ilvl w:val="0"/>
          <w:numId w:val="151"/>
        </w:numPr>
        <w:spacing w:after="0" w:line="240" w:lineRule="auto"/>
        <w:jc w:val="both"/>
        <w:rPr>
          <w:rFonts w:asciiTheme="majorHAnsi" w:hAnsiTheme="majorHAnsi"/>
          <w:sz w:val="24"/>
        </w:rPr>
      </w:pPr>
      <w:r w:rsidRPr="0037604E">
        <w:rPr>
          <w:rFonts w:asciiTheme="majorHAnsi" w:eastAsia="Times New Roman" w:hAnsiTheme="majorHAnsi" w:cs="Times New Roman"/>
          <w:sz w:val="24"/>
          <w:szCs w:val="24"/>
          <w:lang w:eastAsia="en-US"/>
        </w:rPr>
        <w:t>Building of a new DN 700, Pn 55</w:t>
      </w:r>
      <w:r w:rsidRPr="0037604E">
        <w:rPr>
          <w:rFonts w:asciiTheme="majorHAnsi" w:hAnsiTheme="majorHAnsi"/>
          <w:sz w:val="24"/>
        </w:rPr>
        <w:t xml:space="preserve"> bar</w:t>
      </w:r>
      <w:r w:rsidRPr="0037604E">
        <w:rPr>
          <w:rFonts w:asciiTheme="majorHAnsi" w:eastAsia="Times New Roman" w:hAnsiTheme="majorHAnsi" w:cs="Times New Roman"/>
          <w:sz w:val="24"/>
          <w:szCs w:val="24"/>
          <w:lang w:eastAsia="en-US"/>
        </w:rPr>
        <w:t xml:space="preserve"> </w:t>
      </w:r>
      <w:r w:rsidRPr="0037604E">
        <w:rPr>
          <w:rFonts w:asciiTheme="majorHAnsi" w:hAnsiTheme="majorHAnsi"/>
          <w:sz w:val="24"/>
        </w:rPr>
        <w:t>104 km</w:t>
      </w:r>
      <w:r w:rsidRPr="0037604E">
        <w:rPr>
          <w:rFonts w:asciiTheme="majorHAnsi" w:eastAsia="Times New Roman" w:hAnsiTheme="majorHAnsi" w:cs="Times New Roman"/>
          <w:sz w:val="24"/>
          <w:szCs w:val="24"/>
          <w:lang w:eastAsia="en-US"/>
        </w:rPr>
        <w:t xml:space="preserve"> gas transmission pipeline in the </w:t>
      </w:r>
      <w:r w:rsidRPr="0037604E">
        <w:rPr>
          <w:rFonts w:asciiTheme="majorHAnsi" w:hAnsiTheme="majorHAnsi"/>
          <w:sz w:val="24"/>
        </w:rPr>
        <w:t xml:space="preserve">Oneşti </w:t>
      </w:r>
      <w:r w:rsidRPr="0037604E">
        <w:rPr>
          <w:rFonts w:asciiTheme="majorHAnsi" w:eastAsia="Times New Roman" w:hAnsiTheme="majorHAnsi" w:cs="Times New Roman"/>
          <w:sz w:val="24"/>
          <w:szCs w:val="24"/>
          <w:lang w:eastAsia="en-US"/>
        </w:rPr>
        <w:t>– Gherăeşti</w:t>
      </w:r>
      <w:r w:rsidRPr="0037604E">
        <w:rPr>
          <w:rFonts w:asciiTheme="majorHAnsi" w:hAnsiTheme="majorHAnsi"/>
          <w:sz w:val="24"/>
        </w:rPr>
        <w:t xml:space="preserve"> direction</w:t>
      </w:r>
      <w:r w:rsidRPr="0037604E">
        <w:rPr>
          <w:rFonts w:asciiTheme="majorHAnsi" w:eastAsia="Times New Roman" w:hAnsiTheme="majorHAnsi" w:cs="Times New Roman"/>
          <w:sz w:val="24"/>
          <w:szCs w:val="24"/>
          <w:lang w:eastAsia="en-US"/>
        </w:rPr>
        <w:t>. The route of this pipeline will be mostly parallel with the existing DN 500 Oneşti – Gherăeşti pipeline;</w:t>
      </w:r>
      <w:r w:rsidRPr="0037604E">
        <w:rPr>
          <w:rFonts w:asciiTheme="majorHAnsi" w:hAnsiTheme="majorHAnsi"/>
          <w:sz w:val="24"/>
        </w:rPr>
        <w:t xml:space="preserve"> </w:t>
      </w:r>
    </w:p>
    <w:p w:rsidR="0037604E" w:rsidRPr="0037604E" w:rsidRDefault="0037604E" w:rsidP="00FA6EB9">
      <w:pPr>
        <w:numPr>
          <w:ilvl w:val="0"/>
          <w:numId w:val="151"/>
        </w:numPr>
        <w:spacing w:after="0" w:line="240" w:lineRule="auto"/>
        <w:jc w:val="both"/>
        <w:rPr>
          <w:rFonts w:asciiTheme="majorHAnsi" w:hAnsiTheme="majorHAnsi"/>
          <w:sz w:val="24"/>
        </w:rPr>
      </w:pPr>
      <w:r w:rsidRPr="0037604E">
        <w:rPr>
          <w:rFonts w:asciiTheme="majorHAnsi" w:eastAsia="Times New Roman" w:hAnsiTheme="majorHAnsi" w:cs="Times New Roman"/>
          <w:sz w:val="24"/>
          <w:szCs w:val="24"/>
          <w:lang w:eastAsia="en-US"/>
        </w:rPr>
        <w:t>Building of a new DN</w:t>
      </w:r>
      <w:r w:rsidRPr="0037604E">
        <w:rPr>
          <w:rFonts w:asciiTheme="majorHAnsi" w:hAnsiTheme="majorHAnsi"/>
          <w:sz w:val="24"/>
        </w:rPr>
        <w:t xml:space="preserve"> 700</w:t>
      </w:r>
      <w:r w:rsidRPr="0037604E">
        <w:rPr>
          <w:rFonts w:asciiTheme="majorHAnsi" w:eastAsia="Times New Roman" w:hAnsiTheme="majorHAnsi" w:cs="Times New Roman"/>
          <w:sz w:val="24"/>
          <w:szCs w:val="24"/>
          <w:lang w:eastAsia="en-US"/>
        </w:rPr>
        <w:t>, Pn 55 bar 61km gas transmission pipeline in the Gherăești</w:t>
      </w:r>
      <w:r w:rsidRPr="0037604E">
        <w:rPr>
          <w:rFonts w:asciiTheme="majorHAnsi" w:hAnsiTheme="majorHAnsi"/>
          <w:sz w:val="24"/>
        </w:rPr>
        <w:t xml:space="preserve"> – Lețcani direction</w:t>
      </w:r>
      <w:r w:rsidRPr="0037604E">
        <w:rPr>
          <w:rFonts w:asciiTheme="majorHAnsi" w:eastAsia="Times New Roman" w:hAnsiTheme="majorHAnsi" w:cs="Times New Roman"/>
          <w:sz w:val="24"/>
          <w:szCs w:val="24"/>
          <w:lang w:eastAsia="en-US"/>
        </w:rPr>
        <w:t>. The route of this pipeline will replace the existing DN 400  Gherăești – Iaşi pipeline on the Gherăești – Lețcani pipeline section;</w:t>
      </w:r>
      <w:r w:rsidRPr="0037604E">
        <w:rPr>
          <w:rFonts w:asciiTheme="majorHAnsi" w:hAnsiTheme="majorHAnsi"/>
          <w:sz w:val="24"/>
        </w:rPr>
        <w:t xml:space="preserve"> </w:t>
      </w:r>
      <w:r w:rsidRPr="0037604E">
        <w:rPr>
          <w:rFonts w:ascii="Cambria" w:eastAsia="Times New Roman" w:hAnsi="Cambria" w:cs="Cambria"/>
          <w:b/>
          <w:bCs/>
          <w:i/>
          <w:iCs/>
          <w:color w:val="000000"/>
          <w:sz w:val="16"/>
          <w:szCs w:val="16"/>
          <w:lang w:val="en-GB"/>
        </w:rPr>
        <w:t xml:space="preserve">                 </w:t>
      </w:r>
    </w:p>
    <w:p w:rsidR="0037604E" w:rsidRPr="0037604E" w:rsidRDefault="0037604E" w:rsidP="00FA6EB9">
      <w:pPr>
        <w:numPr>
          <w:ilvl w:val="0"/>
          <w:numId w:val="151"/>
        </w:numPr>
        <w:spacing w:after="0" w:line="240" w:lineRule="auto"/>
        <w:jc w:val="both"/>
        <w:rPr>
          <w:rFonts w:asciiTheme="majorHAnsi" w:eastAsia="Times New Roman" w:hAnsiTheme="majorHAnsi" w:cs="Times New Roman"/>
          <w:sz w:val="24"/>
          <w:szCs w:val="24"/>
          <w:lang w:eastAsia="en-US"/>
        </w:rPr>
      </w:pPr>
      <w:r w:rsidRPr="0037604E">
        <w:rPr>
          <w:rFonts w:asciiTheme="majorHAnsi" w:eastAsia="Times New Roman" w:hAnsiTheme="majorHAnsi" w:cs="Times New Roman"/>
          <w:sz w:val="24"/>
          <w:szCs w:val="24"/>
          <w:lang w:eastAsia="en-US"/>
        </w:rPr>
        <w:t>Building of a new gas compressor station at Oneşti, having an installed power of  6 MW, 2 compressors of 3 MW each, one active and one as a backup;</w:t>
      </w:r>
    </w:p>
    <w:p w:rsidR="0037604E" w:rsidRPr="0037604E" w:rsidRDefault="0037604E" w:rsidP="00FA6EB9">
      <w:pPr>
        <w:numPr>
          <w:ilvl w:val="0"/>
          <w:numId w:val="151"/>
        </w:numPr>
        <w:spacing w:after="0" w:line="240" w:lineRule="auto"/>
        <w:jc w:val="both"/>
        <w:rPr>
          <w:rFonts w:asciiTheme="majorHAnsi" w:eastAsia="Times New Roman" w:hAnsiTheme="majorHAnsi" w:cs="Times New Roman"/>
          <w:sz w:val="24"/>
          <w:szCs w:val="24"/>
          <w:lang w:eastAsia="en-US"/>
        </w:rPr>
      </w:pPr>
      <w:r w:rsidRPr="0037604E">
        <w:rPr>
          <w:rFonts w:asciiTheme="majorHAnsi" w:eastAsia="Times New Roman" w:hAnsiTheme="majorHAnsi" w:cs="Times New Roman"/>
          <w:sz w:val="24"/>
          <w:szCs w:val="24"/>
          <w:lang w:eastAsia="en-US"/>
        </w:rPr>
        <w:t>Building of a new gas compressor station at Gherăeşti, having an installed power of 4 MW, 2 compressors of 2 MW, each, one active and one as a backup.</w:t>
      </w:r>
    </w:p>
    <w:p w:rsidR="0037604E" w:rsidRPr="0037604E" w:rsidRDefault="0037604E" w:rsidP="0037604E">
      <w:pPr>
        <w:spacing w:after="0" w:line="240" w:lineRule="auto"/>
        <w:jc w:val="both"/>
        <w:rPr>
          <w:rFonts w:asciiTheme="majorHAnsi" w:eastAsia="Times New Roman" w:hAnsiTheme="majorHAnsi" w:cs="Times New Roman"/>
          <w:sz w:val="24"/>
          <w:szCs w:val="24"/>
          <w:lang w:eastAsia="en-US"/>
        </w:rPr>
      </w:pPr>
    </w:p>
    <w:p w:rsidR="0037604E" w:rsidRPr="0037604E" w:rsidRDefault="0037604E" w:rsidP="0037604E">
      <w:pPr>
        <w:autoSpaceDE w:val="0"/>
        <w:autoSpaceDN w:val="0"/>
        <w:adjustRightInd w:val="0"/>
        <w:spacing w:after="0" w:line="240" w:lineRule="auto"/>
        <w:ind w:firstLine="0"/>
        <w:jc w:val="both"/>
        <w:rPr>
          <w:rFonts w:asciiTheme="majorHAnsi" w:hAnsiTheme="majorHAnsi" w:cs="Cambria"/>
          <w:b/>
          <w:sz w:val="24"/>
          <w:szCs w:val="24"/>
        </w:rPr>
      </w:pPr>
      <w:r w:rsidRPr="0037604E">
        <w:rPr>
          <w:rFonts w:asciiTheme="majorHAnsi" w:hAnsiTheme="majorHAnsi" w:cs="Arial"/>
          <w:sz w:val="24"/>
          <w:szCs w:val="24"/>
          <w:lang w:val="en"/>
        </w:rPr>
        <w:t xml:space="preserve">The total estimated value of the investment is </w:t>
      </w:r>
      <w:r w:rsidRPr="0037604E">
        <w:rPr>
          <w:rFonts w:asciiTheme="majorHAnsi" w:hAnsiTheme="majorHAnsi" w:cs="Arial"/>
          <w:b/>
          <w:sz w:val="24"/>
          <w:szCs w:val="24"/>
          <w:lang w:val="en"/>
        </w:rPr>
        <w:t>EUR 131.7 million</w:t>
      </w:r>
      <w:r w:rsidRPr="0037604E">
        <w:rPr>
          <w:rFonts w:asciiTheme="majorHAnsi" w:hAnsiTheme="majorHAnsi" w:cs="Arial"/>
          <w:sz w:val="24"/>
          <w:szCs w:val="24"/>
          <w:lang w:val="en"/>
        </w:rPr>
        <w:t xml:space="preserve"> and the </w:t>
      </w:r>
      <w:r w:rsidRPr="0037604E">
        <w:rPr>
          <w:rFonts w:asciiTheme="majorHAnsi" w:hAnsiTheme="majorHAnsi" w:cs="Arial"/>
          <w:b/>
          <w:sz w:val="24"/>
          <w:szCs w:val="24"/>
          <w:lang w:val="en"/>
        </w:rPr>
        <w:t>estimated time of completion is 2019</w:t>
      </w:r>
      <w:r w:rsidRPr="0037604E">
        <w:rPr>
          <w:rFonts w:asciiTheme="majorHAnsi" w:hAnsiTheme="majorHAnsi" w:cs="Arial"/>
          <w:sz w:val="24"/>
          <w:szCs w:val="24"/>
          <w:lang w:val="en"/>
        </w:rPr>
        <w:t>.</w:t>
      </w:r>
    </w:p>
    <w:p w:rsidR="0037604E" w:rsidRPr="0037604E" w:rsidRDefault="0037604E" w:rsidP="0037604E">
      <w:pPr>
        <w:autoSpaceDE w:val="0"/>
        <w:autoSpaceDN w:val="0"/>
        <w:adjustRightInd w:val="0"/>
        <w:spacing w:after="0" w:line="240" w:lineRule="auto"/>
        <w:ind w:firstLine="0"/>
        <w:jc w:val="both"/>
        <w:rPr>
          <w:rFonts w:asciiTheme="majorHAnsi" w:hAnsiTheme="majorHAnsi" w:cs="Cambria"/>
          <w:b/>
          <w:sz w:val="24"/>
          <w:szCs w:val="24"/>
        </w:rPr>
      </w:pPr>
    </w:p>
    <w:p w:rsidR="0037604E" w:rsidRPr="0037604E" w:rsidRDefault="0037604E" w:rsidP="00FA6EB9">
      <w:pPr>
        <w:numPr>
          <w:ilvl w:val="0"/>
          <w:numId w:val="153"/>
        </w:numPr>
        <w:shd w:val="clear" w:color="auto" w:fill="D6E0F4"/>
        <w:spacing w:after="0" w:line="240" w:lineRule="auto"/>
        <w:contextualSpacing/>
        <w:jc w:val="both"/>
        <w:rPr>
          <w:rFonts w:asciiTheme="majorHAnsi" w:eastAsia="Times New Roman" w:hAnsiTheme="majorHAnsi" w:cs="Times New Roman"/>
          <w:b/>
          <w:sz w:val="24"/>
          <w:szCs w:val="24"/>
          <w:lang w:val="ro-RO" w:eastAsia="zh-CN"/>
        </w:rPr>
      </w:pPr>
      <w:r w:rsidRPr="0037604E">
        <w:rPr>
          <w:rFonts w:asciiTheme="majorHAnsi" w:eastAsia="Times New Roman" w:hAnsiTheme="majorHAnsi" w:cs="Times New Roman"/>
          <w:b/>
          <w:sz w:val="24"/>
          <w:szCs w:val="24"/>
          <w:lang w:val="ro-RO" w:eastAsia="zh-CN"/>
        </w:rPr>
        <w:t>Development on the territory of Romania of the Central Corridor to take over gas fom the Black Sea</w:t>
      </w:r>
    </w:p>
    <w:p w:rsidR="0037604E" w:rsidRPr="0037604E" w:rsidRDefault="0037604E" w:rsidP="0037604E">
      <w:pPr>
        <w:spacing w:after="0" w:line="240" w:lineRule="auto"/>
        <w:ind w:firstLine="0"/>
        <w:jc w:val="both"/>
        <w:rPr>
          <w:rFonts w:asciiTheme="majorHAnsi" w:eastAsia="Calibri" w:hAnsiTheme="majorHAnsi" w:cs="Times New Roman"/>
          <w:noProof/>
          <w:color w:val="FF0000"/>
          <w:sz w:val="24"/>
          <w:szCs w:val="24"/>
          <w:lang w:eastAsia="en-US"/>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Developing gas transmission capacity on the Onesti - Coroi - Haţeg - Nădlac corridor depending on the volume of gas available from the Black Sea or other onshore blocks</w:t>
      </w:r>
      <w:r w:rsidRPr="0037604E">
        <w:rPr>
          <w:rFonts w:asciiTheme="majorHAnsi" w:eastAsia="Times New Roman" w:hAnsiTheme="majorHAnsi" w:cs="Times New Roman"/>
          <w:sz w:val="24"/>
          <w:szCs w:val="24"/>
          <w:lang w:eastAsia="en-US"/>
        </w:rPr>
        <w:t xml:space="preserve">. </w:t>
      </w:r>
      <w:r w:rsidRPr="0037604E">
        <w:rPr>
          <w:rFonts w:asciiTheme="majorHAnsi" w:eastAsia="Calibri" w:hAnsiTheme="majorHAnsi" w:cs="Times New Roman"/>
          <w:sz w:val="24"/>
          <w:szCs w:val="24"/>
          <w:lang w:eastAsia="en-US"/>
        </w:rPr>
        <w:t xml:space="preserve">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fr-FR"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eastAsia="en-US"/>
        </w:rPr>
      </w:pPr>
      <w:r w:rsidRPr="0037604E">
        <w:rPr>
          <w:rFonts w:asciiTheme="majorHAnsi" w:hAnsiTheme="majorHAnsi" w:cs="Arial"/>
          <w:sz w:val="24"/>
          <w:szCs w:val="24"/>
          <w:lang w:val="en"/>
        </w:rPr>
        <w:t>The development of this gas transmission corridor includes the following</w:t>
      </w:r>
      <w:r w:rsidRPr="0037604E">
        <w:rPr>
          <w:rFonts w:asciiTheme="majorHAnsi" w:eastAsia="Times New Roman" w:hAnsiTheme="majorHAnsi" w:cs="Times New Roman"/>
          <w:sz w:val="24"/>
          <w:szCs w:val="24"/>
          <w:lang w:val="fr-FR" w:eastAsia="en-US"/>
        </w:rPr>
        <w:t>:</w:t>
      </w:r>
    </w:p>
    <w:p w:rsidR="0037604E" w:rsidRPr="0037604E" w:rsidRDefault="0037604E" w:rsidP="00FA6EB9">
      <w:pPr>
        <w:numPr>
          <w:ilvl w:val="0"/>
          <w:numId w:val="152"/>
        </w:numPr>
        <w:spacing w:after="0" w:line="240" w:lineRule="auto"/>
        <w:contextualSpacing/>
        <w:jc w:val="both"/>
        <w:rPr>
          <w:rFonts w:asciiTheme="majorHAnsi" w:eastAsia="Calibri" w:hAnsiTheme="majorHAnsi" w:cs="Times New Roman"/>
          <w:sz w:val="24"/>
          <w:szCs w:val="24"/>
          <w:lang w:eastAsia="en-US"/>
        </w:rPr>
      </w:pPr>
      <w:r w:rsidRPr="0037604E">
        <w:rPr>
          <w:rFonts w:asciiTheme="majorHAnsi" w:hAnsiTheme="majorHAnsi" w:cs="Arial"/>
          <w:sz w:val="24"/>
          <w:szCs w:val="24"/>
          <w:lang w:val="en"/>
        </w:rPr>
        <w:t>rehabilitation of NTS existing pipelines</w:t>
      </w:r>
      <w:r w:rsidRPr="0037604E">
        <w:rPr>
          <w:rFonts w:asciiTheme="majorHAnsi" w:eastAsia="Calibri" w:hAnsiTheme="majorHAnsi" w:cs="Times New Roman"/>
          <w:sz w:val="24"/>
          <w:szCs w:val="24"/>
          <w:lang w:val="fr-FR" w:eastAsia="en-US"/>
        </w:rPr>
        <w:t>;</w:t>
      </w:r>
    </w:p>
    <w:p w:rsidR="0037604E" w:rsidRPr="0037604E" w:rsidRDefault="0037604E" w:rsidP="00FA6EB9">
      <w:pPr>
        <w:numPr>
          <w:ilvl w:val="0"/>
          <w:numId w:val="152"/>
        </w:numPr>
        <w:spacing w:after="0" w:line="240" w:lineRule="auto"/>
        <w:contextualSpacing/>
        <w:jc w:val="both"/>
        <w:rPr>
          <w:rFonts w:asciiTheme="majorHAnsi" w:eastAsia="Calibri" w:hAnsiTheme="majorHAnsi" w:cs="Times New Roman"/>
          <w:sz w:val="24"/>
          <w:szCs w:val="24"/>
          <w:lang w:val="fr-FR" w:eastAsia="en-US"/>
        </w:rPr>
      </w:pPr>
      <w:r w:rsidRPr="0037604E">
        <w:rPr>
          <w:rFonts w:asciiTheme="majorHAnsi" w:hAnsiTheme="majorHAnsi" w:cs="Arial"/>
          <w:sz w:val="24"/>
          <w:szCs w:val="24"/>
          <w:lang w:val="en"/>
        </w:rPr>
        <w:t xml:space="preserve">replacement of NTS existing pipelines with new pipelines </w:t>
      </w:r>
      <w:r w:rsidRPr="0037604E">
        <w:rPr>
          <w:rFonts w:asciiTheme="majorHAnsi" w:eastAsia="Calibri" w:hAnsiTheme="majorHAnsi" w:cs="Times New Roman"/>
          <w:sz w:val="24"/>
          <w:szCs w:val="24"/>
          <w:lang w:val="fr-FR" w:eastAsia="en-US"/>
        </w:rPr>
        <w:t xml:space="preserve">or </w:t>
      </w:r>
      <w:r w:rsidRPr="0037604E">
        <w:rPr>
          <w:rFonts w:asciiTheme="majorHAnsi" w:hAnsiTheme="majorHAnsi" w:cs="Arial"/>
          <w:sz w:val="24"/>
          <w:szCs w:val="24"/>
          <w:lang w:val="en"/>
        </w:rPr>
        <w:t>building new pipelines installed in parallel to existing pipelines</w:t>
      </w:r>
      <w:r w:rsidRPr="0037604E">
        <w:rPr>
          <w:rFonts w:asciiTheme="majorHAnsi" w:eastAsia="Calibri" w:hAnsiTheme="majorHAnsi" w:cs="Times New Roman"/>
          <w:sz w:val="24"/>
          <w:szCs w:val="24"/>
          <w:lang w:val="fr-FR" w:eastAsia="en-US"/>
        </w:rPr>
        <w:t>;</w:t>
      </w:r>
    </w:p>
    <w:p w:rsidR="0037604E" w:rsidRPr="0037604E" w:rsidRDefault="0037604E" w:rsidP="00FA6EB9">
      <w:pPr>
        <w:numPr>
          <w:ilvl w:val="0"/>
          <w:numId w:val="152"/>
        </w:numPr>
        <w:spacing w:after="0" w:line="240" w:lineRule="auto"/>
        <w:contextualSpacing/>
        <w:jc w:val="both"/>
        <w:rPr>
          <w:rFonts w:asciiTheme="majorHAnsi" w:eastAsia="Calibri" w:hAnsiTheme="majorHAnsi" w:cs="Times New Roman"/>
          <w:noProof/>
          <w:sz w:val="24"/>
          <w:szCs w:val="24"/>
          <w:lang w:val="ro-RO" w:eastAsia="en-US"/>
        </w:rPr>
      </w:pPr>
      <w:r w:rsidRPr="0037604E">
        <w:rPr>
          <w:rFonts w:asciiTheme="majorHAnsi" w:hAnsiTheme="majorHAnsi" w:cs="Arial"/>
          <w:sz w:val="24"/>
          <w:szCs w:val="24"/>
          <w:lang w:val="en"/>
        </w:rPr>
        <w:t xml:space="preserve">development of 4 or 5 new compressor stations with a total installed </w:t>
      </w:r>
      <w:r w:rsidRPr="0037604E">
        <w:rPr>
          <w:rFonts w:asciiTheme="majorHAnsi" w:eastAsia="Calibri" w:hAnsiTheme="majorHAnsi" w:cs="Times New Roman"/>
          <w:sz w:val="24"/>
          <w:szCs w:val="24"/>
          <w:lang w:val="fr-FR" w:eastAsia="en-US"/>
        </w:rPr>
        <w:t>power of approximately</w:t>
      </w:r>
      <w:r w:rsidRPr="0037604E">
        <w:rPr>
          <w:rFonts w:asciiTheme="majorHAnsi" w:eastAsia="Calibri" w:hAnsiTheme="majorHAnsi" w:cs="Times New Roman"/>
          <w:noProof/>
          <w:sz w:val="24"/>
          <w:szCs w:val="24"/>
          <w:lang w:val="ro-RO" w:eastAsia="en-US"/>
        </w:rPr>
        <w:t xml:space="preserve"> 66- 82,5MW.</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autoSpaceDE w:val="0"/>
        <w:autoSpaceDN w:val="0"/>
        <w:adjustRightInd w:val="0"/>
        <w:spacing w:after="0" w:line="240" w:lineRule="auto"/>
        <w:ind w:firstLine="0"/>
        <w:jc w:val="center"/>
        <w:rPr>
          <w:rFonts w:ascii="Cambria" w:eastAsia="Calibri" w:hAnsi="Cambria" w:cs="Times New Roman"/>
          <w:sz w:val="24"/>
          <w:szCs w:val="24"/>
          <w:lang w:val="en-GB" w:eastAsia="en-US"/>
        </w:rPr>
      </w:pPr>
      <w:r w:rsidRPr="0037604E">
        <w:rPr>
          <w:rFonts w:asciiTheme="majorHAnsi" w:eastAsia="Times New Roman" w:hAnsiTheme="majorHAnsi" w:cs="Times New Roman"/>
          <w:noProof/>
          <w:sz w:val="24"/>
          <w:szCs w:val="16"/>
          <w:lang w:val="ro-RO" w:eastAsia="ro-RO"/>
        </w:rPr>
        <w:drawing>
          <wp:inline distT="0" distB="0" distL="0" distR="0" wp14:anchorId="182392A8" wp14:editId="27BDFDD7">
            <wp:extent cx="3489734" cy="2457450"/>
            <wp:effectExtent l="0" t="0" r="0" b="0"/>
            <wp:docPr id="650" name="Picture 650" descr="BRUA Faz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UA Faza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98908" cy="2463910"/>
                    </a:xfrm>
                    <a:prstGeom prst="rect">
                      <a:avLst/>
                    </a:prstGeom>
                    <a:noFill/>
                    <a:ln>
                      <a:noFill/>
                    </a:ln>
                  </pic:spPr>
                </pic:pic>
              </a:graphicData>
            </a:graphic>
          </wp:inline>
        </w:drawing>
      </w:r>
    </w:p>
    <w:p w:rsidR="0037604E" w:rsidRPr="0037604E" w:rsidRDefault="00F47A26" w:rsidP="0037604E">
      <w:pPr>
        <w:spacing w:after="0" w:line="240" w:lineRule="auto"/>
        <w:ind w:firstLine="0"/>
        <w:jc w:val="center"/>
        <w:rPr>
          <w:rFonts w:asciiTheme="majorHAnsi" w:eastAsia="Calibri" w:hAnsiTheme="majorHAnsi" w:cs="Times New Roman"/>
          <w:b/>
          <w:i/>
          <w:sz w:val="16"/>
          <w:szCs w:val="16"/>
          <w:lang w:val="fr-FR" w:eastAsia="en-US"/>
        </w:rPr>
      </w:pPr>
      <w:r>
        <w:rPr>
          <w:rFonts w:asciiTheme="majorHAnsi" w:eastAsia="Calibri" w:hAnsiTheme="majorHAnsi" w:cs="Times New Roman"/>
          <w:b/>
          <w:i/>
          <w:iCs/>
          <w:noProof/>
          <w:sz w:val="16"/>
          <w:szCs w:val="16"/>
          <w:lang w:eastAsia="en-US"/>
        </w:rPr>
        <w:t xml:space="preserve">Fig. 10 </w:t>
      </w:r>
      <w:r w:rsidR="0037604E" w:rsidRPr="0037604E">
        <w:rPr>
          <w:rFonts w:asciiTheme="majorHAnsi" w:eastAsia="Calibri" w:hAnsiTheme="majorHAnsi" w:cs="Times New Roman"/>
          <w:b/>
          <w:i/>
          <w:iCs/>
          <w:noProof/>
          <w:sz w:val="16"/>
          <w:szCs w:val="16"/>
          <w:lang w:eastAsia="en-US"/>
        </w:rPr>
        <w:t xml:space="preserve">- </w:t>
      </w:r>
      <w:r w:rsidR="0037604E" w:rsidRPr="0037604E">
        <w:rPr>
          <w:rFonts w:asciiTheme="majorHAnsi" w:eastAsia="Calibri" w:hAnsiTheme="majorHAnsi" w:cs="Times New Roman"/>
          <w:b/>
          <w:i/>
          <w:sz w:val="16"/>
          <w:szCs w:val="16"/>
          <w:lang w:val="fr-FR" w:eastAsia="en-US"/>
        </w:rPr>
        <w:t>BRUA development - phase 3 (the Central Corridor)</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Theme="majorHAnsi" w:hAnsiTheme="majorHAnsi" w:cs="Cambria"/>
          <w:b/>
          <w:sz w:val="24"/>
          <w:szCs w:val="24"/>
        </w:rPr>
      </w:pPr>
      <w:r w:rsidRPr="0037604E">
        <w:rPr>
          <w:rFonts w:asciiTheme="majorHAnsi" w:hAnsiTheme="majorHAnsi" w:cs="Cambria"/>
          <w:sz w:val="24"/>
          <w:szCs w:val="24"/>
        </w:rPr>
        <w:t xml:space="preserve">The total value of the investment is of </w:t>
      </w:r>
      <w:r w:rsidRPr="0037604E">
        <w:rPr>
          <w:rFonts w:asciiTheme="majorHAnsi" w:hAnsiTheme="majorHAnsi" w:cs="Cambria"/>
          <w:b/>
          <w:sz w:val="24"/>
          <w:szCs w:val="24"/>
        </w:rPr>
        <w:t>EUR</w:t>
      </w:r>
      <w:r w:rsidRPr="0037604E">
        <w:rPr>
          <w:rFonts w:asciiTheme="majorHAnsi" w:hAnsiTheme="majorHAnsi" w:cs="Cambria"/>
          <w:sz w:val="24"/>
          <w:szCs w:val="24"/>
        </w:rPr>
        <w:t xml:space="preserve"> </w:t>
      </w:r>
      <w:r w:rsidRPr="0037604E">
        <w:rPr>
          <w:rFonts w:asciiTheme="majorHAnsi" w:hAnsiTheme="majorHAnsi" w:cs="Cambria"/>
          <w:b/>
          <w:bCs/>
          <w:sz w:val="24"/>
          <w:szCs w:val="24"/>
        </w:rPr>
        <w:t>530 million</w:t>
      </w:r>
      <w:r w:rsidRPr="0037604E">
        <w:rPr>
          <w:rFonts w:asciiTheme="majorHAnsi" w:hAnsiTheme="majorHAnsi" w:cs="Cambria"/>
          <w:sz w:val="24"/>
          <w:szCs w:val="24"/>
        </w:rPr>
        <w:t>, and the estimated completion deadline is</w:t>
      </w:r>
      <w:r w:rsidRPr="0037604E">
        <w:rPr>
          <w:rFonts w:asciiTheme="majorHAnsi" w:hAnsiTheme="majorHAnsi" w:cs="Cambria"/>
          <w:b/>
          <w:sz w:val="24"/>
          <w:szCs w:val="24"/>
        </w:rPr>
        <w:t xml:space="preserve"> 2023.</w:t>
      </w:r>
    </w:p>
    <w:p w:rsidR="0037604E" w:rsidRPr="0037604E" w:rsidRDefault="0037604E" w:rsidP="0037604E">
      <w:pPr>
        <w:autoSpaceDE w:val="0"/>
        <w:autoSpaceDN w:val="0"/>
        <w:adjustRightInd w:val="0"/>
        <w:spacing w:after="0" w:line="240" w:lineRule="auto"/>
        <w:ind w:firstLine="0"/>
        <w:jc w:val="both"/>
        <w:rPr>
          <w:rFonts w:ascii="Cambria" w:eastAsia="Calibri" w:hAnsi="Cambria" w:cs="Times New Roman"/>
          <w:sz w:val="24"/>
          <w:szCs w:val="24"/>
          <w:lang w:val="en-GB" w:eastAsia="en-US"/>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b/>
          <w:bCs/>
          <w:color w:val="000000"/>
          <w:sz w:val="24"/>
          <w:szCs w:val="24"/>
          <w:lang w:val="en-GB"/>
        </w:rPr>
      </w:pPr>
      <w:r w:rsidRPr="0037604E">
        <w:rPr>
          <w:rFonts w:ascii="Cambria" w:eastAsia="Calibri" w:hAnsi="Cambria" w:cs="Times New Roman"/>
          <w:sz w:val="24"/>
          <w:szCs w:val="24"/>
          <w:lang w:val="en-GB" w:eastAsia="en-US"/>
        </w:rPr>
        <w:t xml:space="preserve">For the period </w:t>
      </w:r>
      <w:r w:rsidRPr="0037604E">
        <w:rPr>
          <w:rFonts w:ascii="Cambria" w:eastAsia="Calibri" w:hAnsi="Cambria" w:cs="Times New Roman"/>
          <w:b/>
          <w:sz w:val="24"/>
          <w:szCs w:val="24"/>
          <w:lang w:val="en-GB" w:eastAsia="en-US"/>
        </w:rPr>
        <w:t>2014 - 2020</w:t>
      </w:r>
      <w:r w:rsidRPr="0037604E">
        <w:rPr>
          <w:rFonts w:ascii="Cambria" w:eastAsia="Calibri" w:hAnsi="Cambria" w:cs="Times New Roman"/>
          <w:sz w:val="24"/>
          <w:szCs w:val="24"/>
          <w:lang w:val="en-GB" w:eastAsia="en-US"/>
        </w:rPr>
        <w:t xml:space="preserve"> the most important European funding programme of energy infrastructure projects is</w:t>
      </w:r>
      <w:r w:rsidRPr="0037604E">
        <w:rPr>
          <w:rFonts w:ascii="Cambria" w:eastAsia="Times New Roman" w:hAnsi="Cambria" w:cs="Cambria"/>
          <w:color w:val="000000"/>
          <w:sz w:val="24"/>
          <w:szCs w:val="24"/>
          <w:lang w:val="en-GB"/>
        </w:rPr>
        <w:t xml:space="preserve"> the </w:t>
      </w:r>
      <w:r w:rsidRPr="0037604E">
        <w:rPr>
          <w:rFonts w:ascii="Cambria" w:eastAsia="Times New Roman" w:hAnsi="Cambria" w:cs="Cambria"/>
          <w:b/>
          <w:bCs/>
          <w:color w:val="000000"/>
          <w:sz w:val="24"/>
          <w:szCs w:val="24"/>
          <w:lang w:val="en-GB"/>
        </w:rPr>
        <w:t xml:space="preserve">`Connecting Europe Facility` (CEF).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bCs/>
          <w:color w:val="000000"/>
          <w:sz w:val="24"/>
          <w:szCs w:val="24"/>
          <w:lang w:val="en-GB"/>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r w:rsidRPr="0037604E">
        <w:rPr>
          <w:rFonts w:ascii="Cambria" w:eastAsia="Calibri" w:hAnsi="Cambria" w:cs="Times New Roman"/>
          <w:sz w:val="24"/>
          <w:szCs w:val="24"/>
          <w:lang w:val="en-GB" w:eastAsia="en-US"/>
        </w:rPr>
        <w:t xml:space="preserve">The programme provides the possibility of co-financing (50% non-refundable) for studies and works only for projects that have the status of </w:t>
      </w:r>
      <w:r w:rsidRPr="0037604E">
        <w:rPr>
          <w:rFonts w:ascii="Cambria" w:eastAsia="Calibri" w:hAnsi="Cambria" w:cs="Times New Roman"/>
          <w:b/>
          <w:sz w:val="24"/>
          <w:szCs w:val="24"/>
          <w:lang w:val="en-GB" w:eastAsia="en-US"/>
        </w:rPr>
        <w:t>PROJECTS OF COMMON INTEREST (PCI),</w:t>
      </w:r>
      <w:r w:rsidRPr="0037604E">
        <w:rPr>
          <w:rFonts w:ascii="Cambria" w:eastAsia="Calibri" w:hAnsi="Cambria" w:cs="Times New Roman"/>
          <w:sz w:val="24"/>
          <w:szCs w:val="24"/>
          <w:lang w:val="en-GB" w:eastAsia="en-US"/>
        </w:rPr>
        <w:t xml:space="preserve"> status conferred by document of delegation of the European Commission. The existence of projects promoted by TRANSGAZ with PCI status does not confer the certainty of the EU co-financing that depends on budget limitations, strict evaluation criteria and geo-strategic considerations</w:t>
      </w:r>
      <w:r w:rsidRPr="0037604E">
        <w:rPr>
          <w:rFonts w:ascii="Cambria" w:eastAsia="Times New Roman" w:hAnsi="Cambria" w:cs="Cambria"/>
          <w:color w:val="000000"/>
          <w:sz w:val="24"/>
          <w:szCs w:val="24"/>
          <w:lang w:val="en-GB"/>
        </w:rPr>
        <w:t xml:space="preserve">. </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r w:rsidRPr="0037604E">
        <w:rPr>
          <w:rFonts w:ascii="Cambria" w:eastAsia="Calibri" w:hAnsi="Cambria" w:cs="Times New Roman"/>
          <w:sz w:val="24"/>
          <w:szCs w:val="24"/>
          <w:lang w:val="en-GB" w:eastAsia="en-US"/>
        </w:rPr>
        <w:t xml:space="preserve">From the projects described above, projects that make up </w:t>
      </w:r>
      <w:r w:rsidRPr="0037604E">
        <w:rPr>
          <w:rFonts w:ascii="Cambria" w:eastAsia="Calibri" w:hAnsi="Cambria" w:cs="Times New Roman"/>
          <w:b/>
          <w:sz w:val="24"/>
          <w:szCs w:val="24"/>
          <w:lang w:val="en-GB" w:eastAsia="en-US"/>
        </w:rPr>
        <w:t>the two corridors on the Romanian territory</w:t>
      </w:r>
      <w:r w:rsidRPr="0037604E">
        <w:rPr>
          <w:rFonts w:ascii="Cambria" w:eastAsia="Calibri" w:hAnsi="Cambria" w:cs="Times New Roman"/>
          <w:sz w:val="24"/>
          <w:szCs w:val="24"/>
          <w:lang w:val="en-GB" w:eastAsia="en-US"/>
        </w:rPr>
        <w:t xml:space="preserve">, on </w:t>
      </w:r>
      <w:r w:rsidRPr="0037604E">
        <w:rPr>
          <w:rFonts w:ascii="Cambria" w:eastAsia="Calibri" w:hAnsi="Cambria" w:cs="Times New Roman"/>
          <w:b/>
          <w:sz w:val="24"/>
          <w:szCs w:val="24"/>
          <w:lang w:val="en-GB" w:eastAsia="en-US"/>
        </w:rPr>
        <w:t xml:space="preserve">the current list </w:t>
      </w:r>
      <w:r w:rsidRPr="0037604E">
        <w:rPr>
          <w:rFonts w:ascii="Cambria" w:eastAsia="Calibri" w:hAnsi="Cambria" w:cs="Times New Roman"/>
          <w:sz w:val="24"/>
          <w:szCs w:val="24"/>
          <w:lang w:val="en-GB" w:eastAsia="en-US"/>
        </w:rPr>
        <w:t xml:space="preserve">of </w:t>
      </w:r>
      <w:r w:rsidRPr="0037604E">
        <w:rPr>
          <w:rFonts w:ascii="Cambria" w:eastAsia="Calibri" w:hAnsi="Cambria" w:cs="Times New Roman"/>
          <w:b/>
          <w:sz w:val="24"/>
          <w:szCs w:val="24"/>
          <w:lang w:val="en-GB" w:eastAsia="en-US"/>
        </w:rPr>
        <w:t>projects of common interest</w:t>
      </w:r>
      <w:r w:rsidRPr="0037604E">
        <w:rPr>
          <w:rFonts w:ascii="Cambria" w:eastAsia="Calibri" w:hAnsi="Cambria" w:cs="Times New Roman"/>
          <w:sz w:val="24"/>
          <w:szCs w:val="24"/>
          <w:lang w:val="en-GB" w:eastAsia="en-US"/>
        </w:rPr>
        <w:t xml:space="preserve"> are the following</w:t>
      </w:r>
      <w:r w:rsidRPr="0037604E">
        <w:rPr>
          <w:rFonts w:ascii="Cambria" w:eastAsia="Times New Roman" w:hAnsi="Cambria" w:cs="Cambria"/>
          <w:color w:val="000000"/>
          <w:sz w:val="24"/>
          <w:szCs w:val="24"/>
          <w:lang w:val="en-GB"/>
        </w:rPr>
        <w:t>:</w:t>
      </w: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autoSpaceDE w:val="0"/>
        <w:autoSpaceDN w:val="0"/>
        <w:adjustRightInd w:val="0"/>
        <w:spacing w:after="0" w:line="240" w:lineRule="auto"/>
        <w:jc w:val="both"/>
        <w:rPr>
          <w:rFonts w:ascii="Cambria" w:eastAsia="Times New Roman" w:hAnsi="Cambria" w:cs="Cambria"/>
          <w:b/>
          <w:i/>
          <w:color w:val="000000"/>
          <w:sz w:val="24"/>
          <w:szCs w:val="24"/>
          <w:lang w:val="en-GB"/>
        </w:rPr>
      </w:pPr>
      <w:r w:rsidRPr="0037604E">
        <w:rPr>
          <w:rFonts w:ascii="Cambria" w:eastAsia="Times New Roman" w:hAnsi="Cambria" w:cs="Cambria"/>
          <w:b/>
          <w:bCs/>
          <w:i/>
          <w:color w:val="000000"/>
          <w:sz w:val="24"/>
          <w:szCs w:val="24"/>
          <w:lang w:val="en-GB"/>
        </w:rPr>
        <w:t xml:space="preserve">1. </w:t>
      </w:r>
      <w:r w:rsidRPr="0037604E">
        <w:rPr>
          <w:rFonts w:ascii="Cambria" w:eastAsia="Calibri" w:hAnsi="Cambria" w:cs="Times New Roman"/>
          <w:b/>
          <w:i/>
          <w:sz w:val="24"/>
          <w:szCs w:val="24"/>
          <w:lang w:val="en-GB" w:eastAsia="en-US"/>
        </w:rPr>
        <w:t>Development on the Romanian territory of the national gas transmission system on the Bulgaria - Romania - Hungary - Austria corridor. (The Southern Danube Corridor</w:t>
      </w:r>
      <w:r w:rsidRPr="0037604E">
        <w:rPr>
          <w:rFonts w:ascii="Cambria" w:eastAsia="Times New Roman" w:hAnsi="Cambria" w:cs="Cambria"/>
          <w:b/>
          <w:bCs/>
          <w:i/>
          <w:color w:val="000000"/>
          <w:sz w:val="24"/>
          <w:szCs w:val="24"/>
          <w:lang w:val="en-GB"/>
        </w:rPr>
        <w:t>) - PCI 6.24.7</w:t>
      </w:r>
    </w:p>
    <w:p w:rsidR="0037604E" w:rsidRPr="0037604E" w:rsidRDefault="0037604E" w:rsidP="0037604E">
      <w:pPr>
        <w:autoSpaceDE w:val="0"/>
        <w:autoSpaceDN w:val="0"/>
        <w:adjustRightInd w:val="0"/>
        <w:spacing w:after="0" w:line="240" w:lineRule="auto"/>
        <w:jc w:val="both"/>
        <w:rPr>
          <w:rFonts w:ascii="Cambria" w:eastAsia="Times New Roman" w:hAnsi="Cambria" w:cs="Cambria"/>
          <w:i/>
          <w:color w:val="000000"/>
          <w:sz w:val="24"/>
          <w:szCs w:val="24"/>
          <w:lang w:val="en-GB"/>
        </w:rPr>
      </w:pPr>
      <w:r w:rsidRPr="0037604E">
        <w:rPr>
          <w:rFonts w:ascii="Cambria" w:eastAsia="Times New Roman" w:hAnsi="Cambria" w:cs="Cambria"/>
          <w:b/>
          <w:bCs/>
          <w:i/>
          <w:color w:val="000000"/>
          <w:sz w:val="24"/>
          <w:szCs w:val="24"/>
          <w:lang w:val="en-GB"/>
        </w:rPr>
        <w:t xml:space="preserve">2. </w:t>
      </w:r>
      <w:r w:rsidRPr="0037604E">
        <w:rPr>
          <w:rFonts w:ascii="Cambria" w:eastAsia="Calibri" w:hAnsi="Cambria" w:cs="Times New Roman"/>
          <w:b/>
          <w:i/>
          <w:sz w:val="24"/>
          <w:szCs w:val="24"/>
          <w:lang w:val="en-GB" w:eastAsia="en-US"/>
        </w:rPr>
        <w:t>Interconnection between the national transmission system with the international transmission system and ensuring the reversible flow at Isaccea - PCI 6.15</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i/>
          <w:sz w:val="24"/>
          <w:szCs w:val="24"/>
          <w:lang w:val="en-GB" w:eastAsia="en-US"/>
        </w:rPr>
        <w:t>part of</w:t>
      </w:r>
      <w:r w:rsidRPr="0037604E">
        <w:rPr>
          <w:rFonts w:ascii="Cambria" w:eastAsia="Calibri" w:hAnsi="Cambria" w:cs="Times New Roman"/>
          <w:b/>
          <w:i/>
          <w:sz w:val="24"/>
          <w:szCs w:val="24"/>
          <w:lang w:val="en-GB" w:eastAsia="en-US"/>
        </w:rPr>
        <w:t xml:space="preserve"> the</w:t>
      </w:r>
      <w:r w:rsidRPr="0037604E">
        <w:rPr>
          <w:rFonts w:ascii="Cambria" w:eastAsia="Calibri" w:hAnsi="Cambria" w:cs="Times New Roman"/>
          <w:sz w:val="24"/>
          <w:szCs w:val="24"/>
          <w:lang w:val="en-GB" w:eastAsia="en-US"/>
        </w:rPr>
        <w:t xml:space="preserve"> </w:t>
      </w:r>
      <w:r w:rsidRPr="0037604E">
        <w:rPr>
          <w:rFonts w:ascii="Cambria" w:eastAsia="Calibri" w:hAnsi="Cambria" w:cs="Times New Roman"/>
          <w:b/>
          <w:i/>
          <w:sz w:val="24"/>
          <w:szCs w:val="24"/>
          <w:lang w:val="en-GB" w:eastAsia="en-US"/>
        </w:rPr>
        <w:t>central corridor</w:t>
      </w:r>
      <w:r w:rsidRPr="0037604E">
        <w:rPr>
          <w:rFonts w:ascii="Cambria" w:eastAsia="Times New Roman" w:hAnsi="Cambria" w:cs="Cambria"/>
          <w:b/>
          <w:bCs/>
          <w:i/>
          <w:color w:val="000000"/>
          <w:sz w:val="24"/>
          <w:szCs w:val="24"/>
          <w:lang w:val="en-GB"/>
        </w:rPr>
        <w:t>)</w:t>
      </w:r>
      <w:r w:rsidRPr="0037604E">
        <w:rPr>
          <w:rFonts w:ascii="Cambria" w:eastAsia="Times New Roman" w:hAnsi="Cambria" w:cs="Cambria"/>
          <w:i/>
          <w:color w:val="000000"/>
          <w:sz w:val="24"/>
          <w:szCs w:val="24"/>
          <w:lang w:val="en-GB"/>
        </w:rPr>
        <w:t xml:space="preserve">. </w:t>
      </w:r>
    </w:p>
    <w:p w:rsidR="0037604E" w:rsidRDefault="0037604E" w:rsidP="00EF6EFE">
      <w:pPr>
        <w:autoSpaceDE w:val="0"/>
        <w:autoSpaceDN w:val="0"/>
        <w:adjustRightInd w:val="0"/>
        <w:spacing w:after="0" w:line="240" w:lineRule="auto"/>
        <w:jc w:val="both"/>
        <w:rPr>
          <w:rFonts w:ascii="Cambria" w:eastAsia="Times New Roman" w:hAnsi="Cambria" w:cs="Cambria"/>
          <w:i/>
          <w:color w:val="000000"/>
          <w:sz w:val="24"/>
          <w:szCs w:val="24"/>
          <w:lang w:val="en-GB"/>
        </w:rPr>
      </w:pPr>
      <w:r w:rsidRPr="0037604E">
        <w:rPr>
          <w:rFonts w:ascii="Cambria" w:eastAsia="Times New Roman" w:hAnsi="Cambria" w:cs="Cambria"/>
          <w:b/>
          <w:bCs/>
          <w:i/>
          <w:color w:val="000000"/>
          <w:sz w:val="24"/>
          <w:szCs w:val="24"/>
          <w:lang w:val="en-GB"/>
        </w:rPr>
        <w:t xml:space="preserve">3. </w:t>
      </w:r>
      <w:r w:rsidRPr="0037604E">
        <w:rPr>
          <w:rFonts w:ascii="Cambria" w:eastAsia="Calibri" w:hAnsi="Cambria" w:cs="Times New Roman"/>
          <w:b/>
          <w:i/>
          <w:sz w:val="24"/>
          <w:szCs w:val="24"/>
          <w:lang w:val="en-GB" w:eastAsia="en-US"/>
        </w:rPr>
        <w:t>Developments needed in the transmission system to ensure reverse flows on the Romania - Hungary interconnection (</w:t>
      </w:r>
      <w:r w:rsidRPr="0037604E">
        <w:rPr>
          <w:rFonts w:ascii="Cambria" w:eastAsia="Calibri" w:hAnsi="Cambria" w:cs="Times New Roman"/>
          <w:i/>
          <w:sz w:val="24"/>
          <w:szCs w:val="24"/>
          <w:lang w:val="en-GB" w:eastAsia="en-US"/>
        </w:rPr>
        <w:t>part of</w:t>
      </w:r>
      <w:r w:rsidRPr="0037604E">
        <w:rPr>
          <w:rFonts w:ascii="Cambria" w:eastAsia="Calibri" w:hAnsi="Cambria" w:cs="Times New Roman"/>
          <w:b/>
          <w:i/>
          <w:sz w:val="24"/>
          <w:szCs w:val="24"/>
          <w:lang w:val="en-GB" w:eastAsia="en-US"/>
        </w:rPr>
        <w:t xml:space="preserve"> the central corridor</w:t>
      </w:r>
      <w:r w:rsidRPr="0037604E">
        <w:rPr>
          <w:rFonts w:ascii="Cambria" w:eastAsia="Times New Roman" w:hAnsi="Cambria" w:cs="Cambria"/>
          <w:b/>
          <w:bCs/>
          <w:i/>
          <w:color w:val="000000"/>
          <w:sz w:val="24"/>
          <w:szCs w:val="24"/>
          <w:lang w:val="en-GB"/>
        </w:rPr>
        <w:t>)</w:t>
      </w:r>
      <w:r w:rsidRPr="0037604E">
        <w:rPr>
          <w:rFonts w:ascii="Cambria" w:eastAsia="Times New Roman" w:hAnsi="Cambria" w:cs="Cambria"/>
          <w:i/>
          <w:color w:val="000000"/>
          <w:sz w:val="24"/>
          <w:szCs w:val="24"/>
          <w:lang w:val="en-GB"/>
        </w:rPr>
        <w:t xml:space="preserve">. </w:t>
      </w:r>
      <w:r w:rsidRPr="0037604E">
        <w:rPr>
          <w:rFonts w:ascii="Cambria" w:eastAsia="Times New Roman" w:hAnsi="Cambria" w:cs="Cambria"/>
          <w:b/>
          <w:i/>
          <w:color w:val="000000"/>
          <w:sz w:val="24"/>
          <w:szCs w:val="24"/>
          <w:lang w:val="en-GB"/>
        </w:rPr>
        <w:t>PCI 6.25.3</w:t>
      </w:r>
    </w:p>
    <w:p w:rsidR="00EF6EFE" w:rsidRPr="00EF6EFE" w:rsidRDefault="00EF6EFE" w:rsidP="00EF6EFE">
      <w:pPr>
        <w:autoSpaceDE w:val="0"/>
        <w:autoSpaceDN w:val="0"/>
        <w:adjustRightInd w:val="0"/>
        <w:spacing w:after="0" w:line="240" w:lineRule="auto"/>
        <w:jc w:val="both"/>
        <w:rPr>
          <w:rFonts w:ascii="Cambria" w:eastAsia="Times New Roman" w:hAnsi="Cambria" w:cs="Cambria"/>
          <w:i/>
          <w:color w:val="000000"/>
          <w:sz w:val="24"/>
          <w:szCs w:val="24"/>
          <w:lang w:val="en-GB"/>
        </w:rPr>
      </w:pPr>
    </w:p>
    <w:p w:rsidR="0037604E" w:rsidRPr="0037604E" w:rsidRDefault="0037604E" w:rsidP="0037604E">
      <w:pPr>
        <w:autoSpaceDE w:val="0"/>
        <w:autoSpaceDN w:val="0"/>
        <w:adjustRightInd w:val="0"/>
        <w:spacing w:after="0" w:line="240" w:lineRule="auto"/>
        <w:ind w:firstLine="0"/>
        <w:jc w:val="both"/>
        <w:rPr>
          <w:rFonts w:asciiTheme="majorHAnsi" w:hAnsiTheme="majorHAnsi"/>
          <w:sz w:val="24"/>
        </w:rPr>
      </w:pPr>
      <w:r w:rsidRPr="0037604E">
        <w:rPr>
          <w:rFonts w:ascii="Cambria" w:eastAsia="Calibri" w:hAnsi="Cambria" w:cs="Times New Roman"/>
          <w:sz w:val="24"/>
          <w:szCs w:val="24"/>
          <w:lang w:val="en-GB" w:eastAsia="en-US"/>
        </w:rPr>
        <w:lastRenderedPageBreak/>
        <w:t xml:space="preserve">Taking advantage of its status as </w:t>
      </w:r>
      <w:r w:rsidRPr="0037604E">
        <w:rPr>
          <w:rFonts w:ascii="Cambria" w:eastAsia="Calibri" w:hAnsi="Cambria" w:cs="Times New Roman"/>
          <w:b/>
          <w:sz w:val="24"/>
          <w:szCs w:val="24"/>
          <w:lang w:val="en-GB" w:eastAsia="en-US"/>
        </w:rPr>
        <w:t>PCI promoter</w:t>
      </w:r>
      <w:r w:rsidRPr="0037604E">
        <w:rPr>
          <w:rFonts w:ascii="Cambria" w:eastAsia="Calibri" w:hAnsi="Cambria" w:cs="Times New Roman"/>
          <w:sz w:val="24"/>
          <w:szCs w:val="24"/>
          <w:lang w:val="en-GB" w:eastAsia="en-US"/>
        </w:rPr>
        <w:t xml:space="preserve">, TRANSGAZ applied and received a grant of 1.5 million euros for designing compression stations on the Southern Corridor and a </w:t>
      </w:r>
      <w:r w:rsidRPr="0037604E">
        <w:rPr>
          <w:rFonts w:asciiTheme="majorHAnsi" w:hAnsiTheme="majorHAnsi" w:cs="Cambria"/>
          <w:sz w:val="24"/>
          <w:szCs w:val="24"/>
        </w:rPr>
        <w:t>Eur 173 million grant for the BRUA Project Phase 1.</w:t>
      </w:r>
    </w:p>
    <w:p w:rsidR="0037604E" w:rsidRPr="00EF6EFE" w:rsidRDefault="0037604E" w:rsidP="00EF6EFE">
      <w:pPr>
        <w:autoSpaceDE w:val="0"/>
        <w:autoSpaceDN w:val="0"/>
        <w:adjustRightInd w:val="0"/>
        <w:spacing w:after="0" w:line="240" w:lineRule="auto"/>
        <w:ind w:firstLine="0"/>
        <w:jc w:val="both"/>
        <w:rPr>
          <w:rFonts w:ascii="Cambria" w:eastAsia="Times New Roman" w:hAnsi="Cambria" w:cs="Cambria"/>
          <w:color w:val="000000"/>
          <w:sz w:val="24"/>
          <w:szCs w:val="24"/>
          <w:lang w:val="en-GB"/>
        </w:rPr>
      </w:pPr>
    </w:p>
    <w:p w:rsidR="0037604E" w:rsidRPr="0037604E" w:rsidRDefault="0037604E" w:rsidP="0037604E">
      <w:pPr>
        <w:spacing w:before="120" w:after="0" w:line="240" w:lineRule="auto"/>
        <w:ind w:firstLine="0"/>
        <w:jc w:val="both"/>
        <w:rPr>
          <w:rFonts w:ascii="Cambria" w:eastAsia="Times New Roman" w:hAnsi="Cambria" w:cs="Arial"/>
          <w:b/>
          <w:i/>
          <w:sz w:val="24"/>
          <w:szCs w:val="24"/>
          <w:lang w:val="en-GB"/>
        </w:rPr>
      </w:pPr>
      <w:r w:rsidRPr="0037604E">
        <w:rPr>
          <w:rFonts w:ascii="Cambria" w:eastAsia="Calibri" w:hAnsi="Cambria" w:cs="Times New Roman"/>
          <w:sz w:val="24"/>
          <w:szCs w:val="24"/>
          <w:lang w:val="en-GB" w:eastAsia="en-US"/>
        </w:rPr>
        <w:t xml:space="preserve">The NTS development plan for the next 10 years is based on two fundamental initiatives undertaken by the </w:t>
      </w:r>
      <w:r w:rsidRPr="0037604E">
        <w:rPr>
          <w:rFonts w:ascii="Cambria" w:eastAsia="Calibri" w:hAnsi="Cambria" w:cs="Times New Roman"/>
          <w:b/>
          <w:i/>
          <w:sz w:val="24"/>
          <w:szCs w:val="24"/>
          <w:lang w:val="en-GB" w:eastAsia="en-US"/>
        </w:rPr>
        <w:t>Romanian Government, respectively the Government Memorandum on the measures required for connecting the future gas production from the Romanian perimeters in the Black Sea to the National Transmission System (NTS) for gas</w:t>
      </w:r>
      <w:r w:rsidRPr="0037604E">
        <w:rPr>
          <w:rFonts w:ascii="Cambria" w:eastAsia="Calibri" w:hAnsi="Cambria" w:cs="Times New Roman"/>
          <w:sz w:val="24"/>
          <w:szCs w:val="24"/>
          <w:lang w:val="en-GB" w:eastAsia="en-US"/>
        </w:rPr>
        <w:t xml:space="preserve">, document under which Transgaz concluded a cooperation agreement with Exxon and OMV Petrom and the </w:t>
      </w:r>
      <w:r w:rsidRPr="0037604E">
        <w:rPr>
          <w:rFonts w:ascii="Cambria" w:eastAsia="Calibri" w:hAnsi="Cambria" w:cs="Times New Roman"/>
          <w:b/>
          <w:i/>
          <w:sz w:val="24"/>
          <w:szCs w:val="24"/>
          <w:lang w:val="en-GB" w:eastAsia="en-US"/>
        </w:rPr>
        <w:t>Memorandum of Understanding between the Ministry of Economy, Trade and Business Environment of Romania and the Ministry of Economy of the Republic of Moldova on the preparation of the conditions for the construction of the Iasi-Ungheni high pressure gas pipeline</w:t>
      </w:r>
      <w:r w:rsidRPr="0037604E">
        <w:rPr>
          <w:rFonts w:ascii="Cambria" w:eastAsia="Times New Roman" w:hAnsi="Cambria" w:cs="Arial"/>
          <w:b/>
          <w:i/>
          <w:sz w:val="24"/>
          <w:szCs w:val="24"/>
          <w:lang w:val="en-GB"/>
        </w:rPr>
        <w:t>.</w:t>
      </w:r>
    </w:p>
    <w:p w:rsidR="0037604E" w:rsidRPr="0037604E" w:rsidRDefault="0037604E" w:rsidP="0037604E">
      <w:pPr>
        <w:spacing w:before="120" w:after="0" w:line="240" w:lineRule="auto"/>
        <w:ind w:firstLine="0"/>
        <w:jc w:val="both"/>
        <w:rPr>
          <w:rFonts w:ascii="Cambria" w:eastAsia="Times New Roman" w:hAnsi="Cambria" w:cs="Arial"/>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These documents create a solid premise for the identification of the future development needs of the Romanian transmission system. In this respect, based on analyses of technical solutions and - for some of the projects - some pre-feasibility studies, Transgaz proposed the major projects listed above. As a result, these projects are in various stages of analysis and studies without final investment decisions. The final investment decision will be taken only when the elements underlying it will be known, namely the capacity committing application and the funding sources</w:t>
      </w:r>
      <w:r w:rsidRPr="0037604E">
        <w:rPr>
          <w:rFonts w:ascii="Cambria" w:eastAsia="Times New Roman" w:hAnsi="Cambria" w:cs="Times New Roman"/>
          <w:sz w:val="24"/>
          <w:szCs w:val="24"/>
          <w:lang w:val="en-GB"/>
        </w:rPr>
        <w:t>.</w:t>
      </w:r>
    </w:p>
    <w:p w:rsidR="0037604E" w:rsidRPr="0037604E" w:rsidRDefault="0037604E" w:rsidP="0037604E">
      <w:pPr>
        <w:spacing w:after="0" w:line="240" w:lineRule="auto"/>
        <w:ind w:firstLine="0"/>
        <w:rPr>
          <w:rFonts w:ascii="Cambria" w:eastAsia="Times New Roman" w:hAnsi="Cambria" w:cs="Times New Roman"/>
          <w:b/>
          <w:i/>
          <w:sz w:val="24"/>
          <w:szCs w:val="24"/>
          <w:lang w:val="en-GB"/>
        </w:rPr>
      </w:pPr>
    </w:p>
    <w:p w:rsidR="0037604E" w:rsidRPr="0037604E" w:rsidRDefault="0037604E" w:rsidP="0037604E">
      <w:pPr>
        <w:autoSpaceDE w:val="0"/>
        <w:autoSpaceDN w:val="0"/>
        <w:adjustRightInd w:val="0"/>
        <w:spacing w:after="0" w:line="240" w:lineRule="auto"/>
        <w:ind w:firstLine="0"/>
        <w:jc w:val="both"/>
        <w:rPr>
          <w:rFonts w:ascii="Cambria" w:eastAsia="Times New Roman" w:hAnsi="Cambria" w:cs="Times New Roman"/>
          <w:sz w:val="24"/>
          <w:szCs w:val="24"/>
          <w:lang w:val="en-GB"/>
        </w:rPr>
      </w:pPr>
      <w:r w:rsidRPr="0037604E">
        <w:rPr>
          <w:rFonts w:ascii="Cambria" w:eastAsia="Calibri" w:hAnsi="Cambria" w:cs="Times New Roman"/>
          <w:sz w:val="24"/>
          <w:szCs w:val="24"/>
          <w:lang w:val="en-GB" w:eastAsia="en-US"/>
        </w:rPr>
        <w:t>The ability of Transgaz to execute this investment programme depends significantly on the lines of action of the long-term national energy strategy and the support of the majority shareholder, the Romanian Government, especially when the programme aims on the one hand, at exploiting the economic resources essential to the Romania’s welfare in the near and distant future and on the other hand at increasing the confidence of foreign investors in Romania's ability to create favourable development conditions and to attract foreign investments</w:t>
      </w:r>
      <w:r w:rsidRPr="0037604E">
        <w:rPr>
          <w:rFonts w:ascii="Cambria" w:eastAsia="Times New Roman" w:hAnsi="Cambria" w:cs="Times New Roman"/>
          <w:sz w:val="24"/>
          <w:szCs w:val="24"/>
          <w:lang w:val="en-GB"/>
        </w:rPr>
        <w:t>.</w:t>
      </w:r>
    </w:p>
    <w:p w:rsidR="0037604E" w:rsidRPr="0037604E" w:rsidRDefault="0037604E" w:rsidP="0037604E">
      <w:pPr>
        <w:autoSpaceDE w:val="0"/>
        <w:autoSpaceDN w:val="0"/>
        <w:adjustRightInd w:val="0"/>
        <w:spacing w:after="0" w:line="240" w:lineRule="auto"/>
        <w:ind w:firstLine="0"/>
        <w:jc w:val="both"/>
        <w:rPr>
          <w:rFonts w:ascii="Cambria" w:hAnsi="Cambria" w:cs="Cambria"/>
          <w:color w:val="000000"/>
          <w:sz w:val="23"/>
          <w:szCs w:val="23"/>
          <w:lang w:val="en-GB"/>
        </w:rPr>
      </w:pPr>
    </w:p>
    <w:p w:rsidR="0037604E" w:rsidRPr="0037604E" w:rsidRDefault="0037604E" w:rsidP="0037604E">
      <w:pPr>
        <w:spacing w:after="0" w:line="240" w:lineRule="auto"/>
        <w:ind w:firstLine="0"/>
        <w:rPr>
          <w:rFonts w:ascii="Cambria" w:hAnsi="Cambria"/>
          <w:b/>
          <w:i/>
          <w:sz w:val="16"/>
          <w:szCs w:val="16"/>
          <w:u w:val="single"/>
          <w:lang w:val="en-GB"/>
        </w:rPr>
      </w:pPr>
    </w:p>
    <w:p w:rsidR="0037604E" w:rsidRPr="0037604E" w:rsidRDefault="0037604E" w:rsidP="0037604E">
      <w:pPr>
        <w:spacing w:before="320" w:after="0" w:line="360" w:lineRule="auto"/>
        <w:ind w:firstLine="0"/>
        <w:outlineLvl w:val="1"/>
        <w:rPr>
          <w:rFonts w:asciiTheme="majorHAnsi" w:eastAsia="Times New Roman" w:hAnsiTheme="majorHAnsi" w:cstheme="majorBidi"/>
          <w:b/>
          <w:bCs/>
          <w:iCs/>
          <w:sz w:val="28"/>
          <w:szCs w:val="28"/>
          <w:lang w:val="en-GB"/>
        </w:rPr>
      </w:pPr>
      <w:bookmarkStart w:id="58" w:name="_Toc446310835"/>
      <w:r w:rsidRPr="0037604E">
        <w:rPr>
          <w:rFonts w:asciiTheme="majorHAnsi" w:eastAsia="Times New Roman" w:hAnsiTheme="majorHAnsi" w:cstheme="majorBidi"/>
          <w:b/>
          <w:bCs/>
          <w:iCs/>
          <w:sz w:val="28"/>
          <w:szCs w:val="28"/>
          <w:lang w:val="en-GB"/>
        </w:rPr>
        <w:t>3.3 Analysis of the corporate activity</w:t>
      </w:r>
      <w:bookmarkEnd w:id="58"/>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59" w:name="_Toc414263639"/>
      <w:bookmarkStart w:id="60" w:name="_Toc446310836"/>
      <w:r w:rsidRPr="0037604E">
        <w:rPr>
          <w:rFonts w:asciiTheme="majorHAnsi" w:eastAsia="Times New Roman" w:hAnsiTheme="majorHAnsi" w:cstheme="majorBidi"/>
          <w:b/>
          <w:bCs/>
          <w:i/>
          <w:iCs/>
          <w:sz w:val="26"/>
          <w:szCs w:val="26"/>
          <w:lang w:val="en-GB" w:eastAsia="ro-RO"/>
        </w:rPr>
        <w:t xml:space="preserve">3.3.1 </w:t>
      </w:r>
      <w:bookmarkEnd w:id="59"/>
      <w:r w:rsidRPr="0037604E">
        <w:rPr>
          <w:rFonts w:asciiTheme="majorHAnsi" w:eastAsia="Times New Roman" w:hAnsiTheme="majorHAnsi" w:cstheme="majorBidi"/>
          <w:b/>
          <w:bCs/>
          <w:i/>
          <w:iCs/>
          <w:sz w:val="26"/>
          <w:szCs w:val="26"/>
          <w:lang w:val="en-GB" w:eastAsia="ro-RO"/>
        </w:rPr>
        <w:t>Activity on the capital market</w:t>
      </w:r>
      <w:bookmarkEnd w:id="60"/>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bookmarkStart w:id="61" w:name="_Toc287958754"/>
      <w:bookmarkStart w:id="62" w:name="_Toc319916362"/>
      <w:bookmarkStart w:id="63" w:name="_Toc319916363"/>
      <w:r w:rsidRPr="0037604E">
        <w:rPr>
          <w:rFonts w:ascii="Cambria" w:eastAsia="Times New Roman" w:hAnsi="Cambria" w:cs="Times New Roman"/>
          <w:b/>
          <w:sz w:val="24"/>
          <w:szCs w:val="24"/>
          <w:lang w:val="en-GB" w:eastAsia="ro-RO"/>
        </w:rPr>
        <w:t xml:space="preserve">SNTGN TRANSGAZ SA Mediaş, </w:t>
      </w:r>
      <w:r w:rsidRPr="0037604E">
        <w:rPr>
          <w:rFonts w:ascii="Cambria" w:eastAsia="Times New Roman" w:hAnsi="Cambria" w:cs="Times New Roman"/>
          <w:sz w:val="24"/>
          <w:szCs w:val="24"/>
          <w:lang w:val="en-GB" w:eastAsia="ro-RO"/>
        </w:rPr>
        <w:t xml:space="preserve">through the efficient use of the management instruments and responsible implementing of the measures employed to shareholders, investors, business environment managed </w:t>
      </w:r>
      <w:r w:rsidRPr="0037604E">
        <w:rPr>
          <w:rFonts w:ascii="Cambria" w:eastAsia="Times New Roman" w:hAnsi="Cambria" w:cs="Times New Roman"/>
          <w:b/>
          <w:sz w:val="24"/>
          <w:szCs w:val="24"/>
          <w:lang w:val="en-GB" w:eastAsia="ro-RO"/>
        </w:rPr>
        <w:t>to occupy at the end of 2016 the 6th position in the Top 15 companies listed</w:t>
      </w:r>
      <w:r w:rsidRPr="0037604E">
        <w:rPr>
          <w:rFonts w:ascii="Cambria" w:eastAsia="Times New Roman" w:hAnsi="Cambria" w:cs="Times New Roman"/>
          <w:sz w:val="24"/>
          <w:szCs w:val="24"/>
          <w:lang w:val="en-GB" w:eastAsia="ro-RO"/>
        </w:rPr>
        <w:t xml:space="preserve">, </w:t>
      </w:r>
      <w:r w:rsidRPr="0037604E">
        <w:rPr>
          <w:rFonts w:ascii="Cambria" w:eastAsia="Times New Roman" w:hAnsi="Cambria" w:cs="Times New Roman"/>
          <w:b/>
          <w:sz w:val="24"/>
          <w:szCs w:val="24"/>
          <w:lang w:val="en-GB" w:eastAsia="ro-RO"/>
        </w:rPr>
        <w:t>according to the amount traded</w:t>
      </w:r>
      <w:r w:rsidRPr="0037604E">
        <w:rPr>
          <w:rFonts w:ascii="Cambria" w:eastAsia="Times New Roman" w:hAnsi="Cambria" w:cs="Times New Roman"/>
          <w:sz w:val="24"/>
          <w:szCs w:val="24"/>
          <w:lang w:val="en-GB" w:eastAsia="ro-RO"/>
        </w:rPr>
        <w:t xml:space="preserve">. Moreover, Transgaz is </w:t>
      </w:r>
      <w:r w:rsidRPr="00EF6EFE">
        <w:rPr>
          <w:rFonts w:ascii="Cambria" w:eastAsia="Times New Roman" w:hAnsi="Cambria" w:cs="Times New Roman"/>
          <w:b/>
          <w:sz w:val="24"/>
          <w:szCs w:val="24"/>
          <w:lang w:val="en-GB" w:eastAsia="ro-RO"/>
        </w:rPr>
        <w:t>ranked 9 by market capitalization in the Top 15 companies listed</w:t>
      </w:r>
      <w:r w:rsidRPr="0037604E">
        <w:rPr>
          <w:rFonts w:ascii="Cambria" w:eastAsia="Times New Roman" w:hAnsi="Cambria" w:cs="Times New Roman"/>
          <w:sz w:val="24"/>
          <w:szCs w:val="24"/>
          <w:lang w:val="en-GB" w:eastAsia="ro-RO"/>
        </w:rPr>
        <w:t>, an increase of RON 200 million in market capitalization compared to the same period of 2015.</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Theme="majorHAnsi" w:hAnsiTheme="majorHAnsi"/>
          <w:sz w:val="24"/>
          <w:lang w:val="ro-RO"/>
        </w:rPr>
      </w:pPr>
      <w:bookmarkStart w:id="64" w:name="_Toc350496235"/>
      <w:bookmarkStart w:id="65" w:name="_Toc381360565"/>
      <w:bookmarkEnd w:id="61"/>
      <w:bookmarkEnd w:id="62"/>
      <w:r w:rsidRPr="0037604E">
        <w:rPr>
          <w:rFonts w:ascii="Cambria" w:eastAsia="Times New Roman" w:hAnsi="Cambria" w:cs="Times New Roman"/>
          <w:b/>
          <w:sz w:val="24"/>
          <w:szCs w:val="24"/>
          <w:lang w:val="en-GB" w:eastAsia="ro-RO"/>
        </w:rPr>
        <w:t>The TGN share</w:t>
      </w:r>
      <w:r w:rsidRPr="0037604E">
        <w:rPr>
          <w:rFonts w:ascii="Cambria" w:eastAsia="Times New Roman" w:hAnsi="Cambria" w:cs="Times New Roman"/>
          <w:sz w:val="24"/>
          <w:szCs w:val="24"/>
          <w:lang w:val="en-GB" w:eastAsia="ro-RO"/>
        </w:rPr>
        <w:t xml:space="preserve"> is a portfolio, attractive share, because of the object of activity of the company, the status of monopoly held by Transgaz in the transmission of natural gas, the position of the company on the national and international energy market, the robust financial profile and the company’s ability to generate performance, stable and predictable income, the attractive dividend policy. </w:t>
      </w:r>
      <w:r w:rsidRPr="0037604E">
        <w:rPr>
          <w:rFonts w:asciiTheme="majorHAnsi" w:hAnsiTheme="majorHAnsi" w:cs="Arial"/>
          <w:sz w:val="24"/>
          <w:szCs w:val="24"/>
          <w:lang w:val="en"/>
        </w:rPr>
        <w:t xml:space="preserve">For 2015 it was approved in the meeting dated 04.29.2016 AGOA a gross dividend per share amounting to RON 27.61, </w:t>
      </w:r>
      <w:r w:rsidRPr="0037604E">
        <w:rPr>
          <w:rFonts w:asciiTheme="majorHAnsi" w:hAnsiTheme="majorHAnsi" w:cs="Arial"/>
          <w:sz w:val="24"/>
          <w:szCs w:val="24"/>
          <w:lang w:val="en"/>
        </w:rPr>
        <w:lastRenderedPageBreak/>
        <w:t>applying the rate of 65.01977% of the accounting profit remaining after the deduction of the income tax, according to GO 64/2001 on profit distribution to national companies, companies owned by the state or state majority companies, and the autonomous regies, as further amended and supplemented, and the proposal of the majority shareholder,the Romanian State represented by the Ministry of Economy, Trade and Relations with the Business Environment.</w:t>
      </w:r>
    </w:p>
    <w:bookmarkEnd w:id="64"/>
    <w:bookmarkEnd w:id="65"/>
    <w:p w:rsidR="0037604E" w:rsidRPr="0037604E" w:rsidRDefault="0037604E" w:rsidP="0037604E">
      <w:pPr>
        <w:spacing w:after="0" w:line="240" w:lineRule="auto"/>
        <w:ind w:firstLine="0"/>
        <w:rPr>
          <w:rFonts w:ascii="Cambria" w:eastAsia="Times New Roman" w:hAnsi="Cambria" w:cs="Times New Roman"/>
          <w:b/>
          <w:sz w:val="24"/>
          <w:szCs w:val="24"/>
          <w:lang w:val="en-GB"/>
        </w:rPr>
      </w:pPr>
    </w:p>
    <w:p w:rsidR="0037604E" w:rsidRPr="0037604E" w:rsidRDefault="0037604E" w:rsidP="0037604E">
      <w:pPr>
        <w:shd w:val="clear" w:color="auto" w:fill="F2F2F2"/>
        <w:spacing w:after="0" w:line="240" w:lineRule="auto"/>
        <w:ind w:firstLine="0"/>
        <w:jc w:val="both"/>
        <w:rPr>
          <w:rFonts w:ascii="Cambria" w:eastAsia="Times New Roman" w:hAnsi="Cambria" w:cs="Times New Roman"/>
          <w:b/>
          <w:sz w:val="24"/>
          <w:szCs w:val="24"/>
          <w:lang w:val="en-GB"/>
        </w:rPr>
      </w:pPr>
      <w:r w:rsidRPr="0037604E">
        <w:rPr>
          <w:rFonts w:ascii="Cambria" w:eastAsia="Times New Roman" w:hAnsi="Cambria" w:cs="Times New Roman"/>
          <w:b/>
          <w:sz w:val="24"/>
          <w:szCs w:val="24"/>
          <w:lang w:val="en-GB"/>
        </w:rPr>
        <w:t>TGN share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rPr>
      </w:pPr>
      <w:r w:rsidRPr="0037604E">
        <w:rPr>
          <w:rFonts w:asciiTheme="majorHAnsi" w:hAnsiTheme="majorHAnsi" w:cs="Arial"/>
          <w:sz w:val="24"/>
          <w:szCs w:val="24"/>
          <w:lang w:val="en"/>
        </w:rPr>
        <w:t>In 2016 TGN share had an upward trend mainly with a slight decrease in the last quarter of the year.</w:t>
      </w:r>
      <w:r w:rsidRPr="0037604E">
        <w:rPr>
          <w:rFonts w:asciiTheme="majorHAnsi" w:eastAsia="Times New Roman" w:hAnsiTheme="majorHAnsi" w:cs="Times New Roman"/>
          <w:sz w:val="24"/>
          <w:szCs w:val="24"/>
          <w:lang w:val="ro-RO"/>
        </w:rPr>
        <w:t xml:space="preserve"> </w:t>
      </w:r>
      <w:r w:rsidRPr="0037604E">
        <w:rPr>
          <w:rFonts w:asciiTheme="majorHAnsi" w:hAnsiTheme="majorHAnsi" w:cs="Arial"/>
          <w:sz w:val="24"/>
          <w:szCs w:val="24"/>
          <w:lang w:val="en"/>
        </w:rPr>
        <w:t xml:space="preserve">Thus, on 18 January 2016 TGN share recorded a year minimum reaching a value of RON 245   share. Since January TGN share followed an upward trend with higher values ​​in April, based on the publication of the MECRMA proposal to increase the value for dividend to the shareholders for financial year 2015. </w:t>
      </w:r>
      <w:r w:rsidRPr="0037604E">
        <w:rPr>
          <w:rFonts w:asciiTheme="majorHAnsi" w:eastAsia="Times New Roman" w:hAnsiTheme="majorHAnsi" w:cs="Times New Roman"/>
          <w:sz w:val="24"/>
          <w:szCs w:val="24"/>
          <w:lang w:val="ro-RO"/>
        </w:rPr>
        <w:t xml:space="preserve">On 21.06.2016, ex dividend date, TGN share recorded the value of RON 267/shar with a decrease of 8.87% as compared to the revious day. UK`s brexit at 24.06.2016 has a negative impact also on the </w:t>
      </w:r>
      <w:r w:rsidRPr="0037604E">
        <w:rPr>
          <w:rFonts w:asciiTheme="majorHAnsi" w:hAnsiTheme="majorHAnsi" w:cs="Arial"/>
          <w:sz w:val="24"/>
          <w:szCs w:val="24"/>
          <w:lang w:val="en"/>
        </w:rPr>
        <w:t>Bucharest Stock Exchange</w:t>
      </w:r>
      <w:r w:rsidRPr="0037604E">
        <w:rPr>
          <w:rFonts w:asciiTheme="majorHAnsi" w:eastAsia="Times New Roman" w:hAnsiTheme="majorHAnsi" w:cs="Times New Roman"/>
          <w:sz w:val="24"/>
          <w:szCs w:val="24"/>
          <w:lang w:val="ro-RO"/>
        </w:rPr>
        <w:t xml:space="preserve">, the TGN share recording o decrease of 2.27% as compared to the previous day, reaching the value of  RON 258/share. After this date TGN share continued to increase, reaching on 08.09.2016 a historical maximum from the listing until the present of RON 310/share. Later until the end of 2016 TGNshare followed a slightly descending trend as compared to the year maximum, recording on 30.12.2016 the value of RON 294 /share.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hAnsiTheme="majorHAnsi" w:cs="Arial"/>
          <w:sz w:val="24"/>
          <w:szCs w:val="24"/>
          <w:lang w:val="en"/>
        </w:rPr>
        <w:t>Compared with 2015, in 2016 Transgaz share recorded in the first part of the year values slightly lower as compared with the same period of the previous year, following that strating with May be constantly appreciating, reaching in September that historical maximum, following that by the end of 2016, it continus to record higher values than in 2015.</w:t>
      </w:r>
    </w:p>
    <w:p w:rsidR="0037604E" w:rsidRPr="0037604E" w:rsidRDefault="0037604E" w:rsidP="0037604E">
      <w:pPr>
        <w:spacing w:after="0" w:line="240" w:lineRule="auto"/>
        <w:jc w:val="both"/>
        <w:rPr>
          <w:rFonts w:ascii="Cambria" w:eastAsia="Times New Roman" w:hAnsi="Cambria" w:cs="Times New Roman"/>
          <w:b/>
          <w:i/>
          <w:sz w:val="16"/>
          <w:szCs w:val="16"/>
          <w:lang w:val="en-GB"/>
        </w:rPr>
      </w:pPr>
    </w:p>
    <w:p w:rsidR="0037604E" w:rsidRPr="0037604E" w:rsidRDefault="0037604E" w:rsidP="0037604E">
      <w:pPr>
        <w:spacing w:after="0" w:line="240" w:lineRule="auto"/>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both"/>
        <w:rPr>
          <w:rFonts w:ascii="Cambria" w:eastAsia="Times New Roman" w:hAnsi="Cambria" w:cs="Times New Roman"/>
          <w:b/>
          <w:i/>
          <w:sz w:val="16"/>
          <w:szCs w:val="16"/>
          <w:lang w:val="en-GB"/>
        </w:rPr>
      </w:pPr>
      <w:r w:rsidRPr="0037604E">
        <w:rPr>
          <w:rFonts w:ascii="Cambria" w:eastAsia="Times New Roman" w:hAnsi="Cambria" w:cs="Times New Roman"/>
          <w:b/>
          <w:i/>
          <w:noProof/>
          <w:sz w:val="16"/>
          <w:szCs w:val="16"/>
          <w:lang w:val="ro-RO" w:eastAsia="ro-RO"/>
        </w:rPr>
        <mc:AlternateContent>
          <mc:Choice Requires="wps">
            <w:drawing>
              <wp:anchor distT="0" distB="0" distL="114300" distR="114300" simplePos="0" relativeHeight="251963392" behindDoc="0" locked="0" layoutInCell="1" allowOverlap="1" wp14:anchorId="3EBFED88" wp14:editId="64085EBC">
                <wp:simplePos x="0" y="0"/>
                <wp:positionH relativeFrom="margin">
                  <wp:align>left</wp:align>
                </wp:positionH>
                <wp:positionV relativeFrom="paragraph">
                  <wp:posOffset>1350694</wp:posOffset>
                </wp:positionV>
                <wp:extent cx="5441950" cy="311150"/>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5441950" cy="311150"/>
                        </a:xfrm>
                        <a:prstGeom prst="rect">
                          <a:avLst/>
                        </a:prstGeom>
                        <a:solidFill>
                          <a:sysClr val="window" lastClr="FFFFFF"/>
                        </a:solidFill>
                        <a:ln w="6350">
                          <a:noFill/>
                        </a:ln>
                        <a:effectLst/>
                      </wps:spPr>
                      <wps:txbx>
                        <w:txbxContent>
                          <w:p w:rsidR="00CE3BCA" w:rsidRPr="00DF3B99" w:rsidRDefault="00CE3BCA" w:rsidP="0037604E">
                            <w:pPr>
                              <w:ind w:firstLine="0"/>
                              <w:rPr>
                                <w:lang w:val="en-GB"/>
                              </w:rPr>
                            </w:pPr>
                            <w:r>
                              <w:rPr>
                                <w:lang w:val="en-GB"/>
                              </w:rPr>
                              <w:t>Jan      Feb      March      April     May      June      July        Aug        Sept       Oct        Nov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BFED88" id="Text Box 3" o:spid="_x0000_s1044" type="#_x0000_t202" style="position:absolute;left:0;text-align:left;margin-left:0;margin-top:106.35pt;width:428.5pt;height:24.5pt;z-index:2519633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" fillcolor="window" stroked="f" strokeweight=".5pt">
                <v:textbox>
                  <w:txbxContent>
                    <w:p w:rsidR="00CE3BCA" w:rsidRPr="00DF3B99" w:rsidRDefault="00CE3BCA" w:rsidP="0037604E">
                      <w:pPr>
                        <w:ind w:firstLine="0"/>
                        <w:rPr>
                          <w:lang w:val="en-GB"/>
                        </w:rPr>
                      </w:pPr>
                      <w:r>
                        <w:rPr>
                          <w:lang w:val="en-GB"/>
                        </w:rPr>
                        <w:t>Jan      Feb      March      April     May      June      July        Aug        Sept       Oct        Nov        Dec</w:t>
                      </w:r>
                    </w:p>
                  </w:txbxContent>
                </v:textbox>
                <w10:wrap anchorx="margin"/>
              </v:shape>
            </w:pict>
          </mc:Fallback>
        </mc:AlternateContent>
      </w:r>
      <w:r w:rsidRPr="0037604E">
        <w:rPr>
          <w:rFonts w:asciiTheme="majorHAnsi" w:eastAsia="Calibri" w:hAnsiTheme="majorHAnsi" w:cs="DokChampa"/>
          <w:noProof/>
          <w:sz w:val="16"/>
          <w:szCs w:val="16"/>
          <w:lang w:val="ro-RO" w:eastAsia="ro-RO"/>
        </w:rPr>
        <w:drawing>
          <wp:inline distT="0" distB="0" distL="0" distR="0" wp14:anchorId="30273474" wp14:editId="6B141E07">
            <wp:extent cx="5732145" cy="2049633"/>
            <wp:effectExtent l="0" t="0" r="1905" b="825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37604E" w:rsidRPr="0037604E" w:rsidRDefault="0037604E" w:rsidP="0037604E">
      <w:pPr>
        <w:spacing w:after="0" w:line="240" w:lineRule="auto"/>
        <w:jc w:val="both"/>
        <w:rPr>
          <w:rFonts w:ascii="Cambria" w:eastAsia="Times New Roman" w:hAnsi="Cambria" w:cs="Times New Roman"/>
          <w:b/>
          <w:i/>
          <w:sz w:val="16"/>
          <w:szCs w:val="16"/>
          <w:lang w:val="en-GB"/>
        </w:rPr>
      </w:pPr>
    </w:p>
    <w:p w:rsidR="0037604E" w:rsidRPr="0037604E" w:rsidRDefault="0037604E" w:rsidP="0037604E">
      <w:pPr>
        <w:spacing w:after="0" w:line="240" w:lineRule="auto"/>
        <w:jc w:val="both"/>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ab/>
      </w:r>
      <w:r w:rsidRPr="0037604E">
        <w:rPr>
          <w:rFonts w:ascii="Cambria" w:eastAsia="Times New Roman" w:hAnsi="Cambria" w:cs="Times New Roman"/>
          <w:b/>
          <w:i/>
          <w:sz w:val="16"/>
          <w:szCs w:val="16"/>
          <w:lang w:val="en-GB"/>
        </w:rPr>
        <w:tab/>
      </w:r>
      <w:r w:rsidRPr="0037604E">
        <w:rPr>
          <w:rFonts w:ascii="Cambria" w:eastAsia="Times New Roman" w:hAnsi="Cambria" w:cs="Times New Roman"/>
          <w:b/>
          <w:i/>
          <w:sz w:val="16"/>
          <w:szCs w:val="16"/>
          <w:lang w:val="en-GB"/>
        </w:rPr>
        <w:tab/>
      </w:r>
      <w:r w:rsidRPr="0037604E">
        <w:rPr>
          <w:rFonts w:ascii="Cambria" w:eastAsia="Times New Roman" w:hAnsi="Cambria" w:cs="Times New Roman"/>
          <w:b/>
          <w:i/>
          <w:sz w:val="16"/>
          <w:szCs w:val="16"/>
          <w:lang w:val="en-GB"/>
        </w:rPr>
        <w:tab/>
      </w:r>
      <w:r w:rsidRPr="0037604E">
        <w:rPr>
          <w:rFonts w:ascii="Cambria" w:eastAsia="Times New Roman" w:hAnsi="Cambria" w:cs="Times New Roman"/>
          <w:b/>
          <w:i/>
          <w:sz w:val="16"/>
          <w:szCs w:val="16"/>
          <w:lang w:val="en-GB"/>
        </w:rPr>
        <w:tab/>
      </w:r>
      <w:r w:rsidRPr="0037604E">
        <w:rPr>
          <w:rFonts w:ascii="Cambria" w:eastAsia="Times New Roman" w:hAnsi="Cambria" w:cs="Times New Roman"/>
          <w:b/>
          <w:i/>
          <w:sz w:val="16"/>
          <w:szCs w:val="16"/>
          <w:lang w:val="en-GB"/>
        </w:rPr>
        <w:tab/>
        <w:t xml:space="preserve"> </w:t>
      </w:r>
    </w:p>
    <w:p w:rsidR="0037604E" w:rsidRPr="0037604E" w:rsidRDefault="0037604E" w:rsidP="0037604E">
      <w:pPr>
        <w:spacing w:after="0" w:line="240" w:lineRule="auto"/>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left="720" w:firstLine="0"/>
        <w:jc w:val="both"/>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 xml:space="preserve">                                Chart 48 – The average closing price of the TGN share in 2016 vs 2015</w:t>
      </w:r>
    </w:p>
    <w:p w:rsidR="0037604E" w:rsidRPr="0037604E" w:rsidRDefault="0037604E" w:rsidP="0037604E">
      <w:pPr>
        <w:spacing w:after="0" w:line="240" w:lineRule="auto"/>
        <w:jc w:val="both"/>
        <w:rPr>
          <w:rFonts w:ascii="Cambria" w:eastAsia="Times New Roman" w:hAnsi="Cambria" w:cs="Times New Roman"/>
          <w:b/>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Theme="majorHAnsi" w:hAnsiTheme="majorHAnsi" w:cs="Arial"/>
          <w:sz w:val="24"/>
          <w:szCs w:val="24"/>
          <w:lang w:val="en"/>
        </w:rPr>
        <w:t xml:space="preserve">Trading volumes and values ​​of transactions recorded in 2016 oscillating values. In the first half of the year both the volume and values traded mainly recorded growths compared to the first semester of 2015, with the exception of March when traded volumes decreased by approximately 19% and transaction values by approximately 21%. Significant increases were due mainly to the publication of the MECRMA proposal to increase gross dividend value for shareholders for financial year 2015 to RON </w:t>
      </w:r>
      <w:r w:rsidRPr="0037604E">
        <w:rPr>
          <w:rFonts w:asciiTheme="majorHAnsi" w:hAnsiTheme="majorHAnsi" w:cs="Arial"/>
          <w:sz w:val="24"/>
          <w:szCs w:val="24"/>
          <w:lang w:val="en"/>
        </w:rPr>
        <w:lastRenderedPageBreak/>
        <w:t>21.24/share to RON 27</w:t>
      </w:r>
      <w:r w:rsidR="00EF6EFE" w:rsidRPr="0037604E">
        <w:rPr>
          <w:rFonts w:asciiTheme="majorHAnsi" w:hAnsiTheme="majorHAnsi" w:cs="Arial"/>
          <w:sz w:val="24"/>
          <w:szCs w:val="24"/>
          <w:lang w:val="en"/>
        </w:rPr>
        <w:t>, 61</w:t>
      </w:r>
      <w:r w:rsidRPr="0037604E">
        <w:rPr>
          <w:rFonts w:asciiTheme="majorHAnsi" w:hAnsiTheme="majorHAnsi" w:cs="Arial"/>
          <w:sz w:val="24"/>
          <w:szCs w:val="24"/>
          <w:lang w:val="en"/>
        </w:rPr>
        <w:t>/share. A</w:t>
      </w:r>
      <w:r w:rsidRPr="0037604E">
        <w:rPr>
          <w:rFonts w:asciiTheme="majorHAnsi" w:eastAsia="Times New Roman" w:hAnsiTheme="majorHAnsi" w:cs="Times New Roman"/>
          <w:noProof/>
          <w:sz w:val="24"/>
          <w:szCs w:val="24"/>
          <w:lang w:val="ro-RO"/>
        </w:rPr>
        <w:t xml:space="preserve">fter 22.06.2016, the dividend payment registration date, the </w:t>
      </w:r>
      <w:r w:rsidRPr="0037604E">
        <w:rPr>
          <w:rFonts w:asciiTheme="majorHAnsi" w:hAnsiTheme="majorHAnsi" w:cs="Arial"/>
          <w:sz w:val="24"/>
          <w:szCs w:val="24"/>
          <w:lang w:val="en"/>
        </w:rPr>
        <w:t xml:space="preserve">volumes and value traded </w:t>
      </w:r>
      <w:r w:rsidRPr="0037604E">
        <w:rPr>
          <w:rFonts w:asciiTheme="majorHAnsi" w:eastAsia="Times New Roman" w:hAnsiTheme="majorHAnsi" w:cs="Times New Roman"/>
          <w:noProof/>
          <w:sz w:val="24"/>
          <w:szCs w:val="24"/>
          <w:lang w:val="ro-RO"/>
        </w:rPr>
        <w:t xml:space="preserve">decreased to a significant degree of approximately 27% . </w:t>
      </w:r>
      <w:r w:rsidRPr="0037604E">
        <w:rPr>
          <w:rFonts w:asciiTheme="majorHAnsi" w:hAnsiTheme="majorHAnsi" w:cs="Arial"/>
          <w:sz w:val="24"/>
          <w:szCs w:val="24"/>
          <w:lang w:val="en"/>
        </w:rPr>
        <w:t>In the second part of 2016, over the entire period, the transaction volume and the value traded recorded lower values, lower than the values ​​recorded in the same period of 2015.</w:t>
      </w:r>
    </w:p>
    <w:p w:rsidR="0037604E" w:rsidRPr="0037604E" w:rsidRDefault="0037604E" w:rsidP="0037604E">
      <w:pPr>
        <w:spacing w:after="0" w:line="240" w:lineRule="auto"/>
        <w:ind w:firstLine="0"/>
        <w:rPr>
          <w:rFonts w:ascii="Calibri" w:eastAsia="Calibri" w:hAnsi="Calibri" w:cs="Times New Roman"/>
          <w:lang w:val="en-GB" w:eastAsia="en-US"/>
        </w:rPr>
      </w:pPr>
    </w:p>
    <w:p w:rsidR="0037604E" w:rsidRPr="0037604E" w:rsidRDefault="0037604E" w:rsidP="0037604E">
      <w:pPr>
        <w:spacing w:after="0" w:line="240" w:lineRule="auto"/>
        <w:ind w:firstLine="0"/>
        <w:rPr>
          <w:rFonts w:ascii="Cambria" w:eastAsia="Times New Roman" w:hAnsi="Cambria" w:cs="Times New Roman"/>
          <w:b/>
          <w:i/>
          <w:sz w:val="16"/>
          <w:szCs w:val="16"/>
          <w:lang w:val="en-GB"/>
        </w:rPr>
      </w:pPr>
      <w:r w:rsidRPr="0037604E">
        <w:rPr>
          <w:rFonts w:ascii="Cambria" w:eastAsia="Times New Roman" w:hAnsi="Cambria" w:cs="Times New Roman"/>
          <w:noProof/>
          <w:sz w:val="24"/>
          <w:szCs w:val="24"/>
          <w:lang w:val="ro-RO" w:eastAsia="ro-RO"/>
        </w:rPr>
        <mc:AlternateContent>
          <mc:Choice Requires="wps">
            <w:drawing>
              <wp:anchor distT="0" distB="0" distL="114300" distR="114300" simplePos="0" relativeHeight="251968512" behindDoc="0" locked="0" layoutInCell="1" allowOverlap="1" wp14:anchorId="7DD0F537" wp14:editId="545C36CA">
                <wp:simplePos x="0" y="0"/>
                <wp:positionH relativeFrom="column">
                  <wp:posOffset>1283676</wp:posOffset>
                </wp:positionH>
                <wp:positionV relativeFrom="paragraph">
                  <wp:posOffset>1292470</wp:posOffset>
                </wp:positionV>
                <wp:extent cx="1590919" cy="268508"/>
                <wp:effectExtent l="0" t="0" r="9525" b="0"/>
                <wp:wrapNone/>
                <wp:docPr id="41" name="Text Box 41"/>
                <wp:cNvGraphicFramePr/>
                <a:graphic xmlns:a="http://schemas.openxmlformats.org/drawingml/2006/main">
                  <a:graphicData uri="http://schemas.microsoft.com/office/word/2010/wordprocessingShape">
                    <wps:wsp>
                      <wps:cNvSpPr txBox="1"/>
                      <wps:spPr>
                        <a:xfrm>
                          <a:off x="0" y="0"/>
                          <a:ext cx="1590919" cy="268508"/>
                        </a:xfrm>
                        <a:prstGeom prst="rect">
                          <a:avLst/>
                        </a:prstGeom>
                        <a:solidFill>
                          <a:sysClr val="window" lastClr="FFFFFF"/>
                        </a:solidFill>
                        <a:ln w="6350">
                          <a:noFill/>
                        </a:ln>
                        <a:effectLst/>
                      </wps:spPr>
                      <wps:txbx>
                        <w:txbxContent>
                          <w:p w:rsidR="00CE3BCA" w:rsidRPr="00FF3451" w:rsidRDefault="00CE3BCA" w:rsidP="0037604E">
                            <w:pPr>
                              <w:ind w:firstLine="0"/>
                              <w:rPr>
                                <w:sz w:val="16"/>
                                <w:szCs w:val="16"/>
                                <w:lang w:val="en-GB"/>
                              </w:rPr>
                            </w:pPr>
                            <w:r>
                              <w:rPr>
                                <w:sz w:val="16"/>
                                <w:szCs w:val="16"/>
                                <w:lang w:val="en-GB"/>
                              </w:rPr>
                              <w:t>TGN 2016 transaction</w:t>
                            </w:r>
                            <w:r w:rsidRPr="00FF3451">
                              <w:rPr>
                                <w:sz w:val="16"/>
                                <w:szCs w:val="16"/>
                                <w:lang w:val="en-GB"/>
                              </w:rPr>
                              <w:t xml:space="preserve"> volume</w:t>
                            </w:r>
                          </w:p>
                          <w:p w:rsidR="00CE3BCA" w:rsidRPr="00FF3451" w:rsidRDefault="00CE3BCA" w:rsidP="0037604E">
                            <w:pPr>
                              <w:ind w:firstLine="0"/>
                              <w:rPr>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0F537" id="Text Box 41" o:spid="_x0000_s1045" type="#_x0000_t202" style="position:absolute;margin-left:101.1pt;margin-top:101.75pt;width:125.25pt;height:21.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" fillcolor="window" stroked="f" strokeweight=".5pt">
                <v:textbox>
                  <w:txbxContent>
                    <w:p w:rsidR="00CE3BCA" w:rsidRPr="00FF3451" w:rsidRDefault="00CE3BCA" w:rsidP="0037604E">
                      <w:pPr>
                        <w:ind w:firstLine="0"/>
                        <w:rPr>
                          <w:sz w:val="16"/>
                          <w:szCs w:val="16"/>
                          <w:lang w:val="en-GB"/>
                        </w:rPr>
                      </w:pPr>
                      <w:r>
                        <w:rPr>
                          <w:sz w:val="16"/>
                          <w:szCs w:val="16"/>
                          <w:lang w:val="en-GB"/>
                        </w:rPr>
                        <w:t>TGN 2016 transaction</w:t>
                      </w:r>
                      <w:r w:rsidRPr="00FF3451">
                        <w:rPr>
                          <w:sz w:val="16"/>
                          <w:szCs w:val="16"/>
                          <w:lang w:val="en-GB"/>
                        </w:rPr>
                        <w:t xml:space="preserve"> volume</w:t>
                      </w:r>
                    </w:p>
                    <w:p w:rsidR="00CE3BCA" w:rsidRPr="00FF3451" w:rsidRDefault="00CE3BCA" w:rsidP="0037604E">
                      <w:pPr>
                        <w:ind w:firstLine="0"/>
                        <w:rPr>
                          <w:sz w:val="16"/>
                          <w:szCs w:val="16"/>
                          <w:lang w:val="en-GB"/>
                        </w:rPr>
                      </w:pPr>
                    </w:p>
                  </w:txbxContent>
                </v:textbox>
              </v:shape>
            </w:pict>
          </mc:Fallback>
        </mc:AlternateContent>
      </w:r>
      <w:r w:rsidRPr="0037604E">
        <w:rPr>
          <w:rFonts w:ascii="Cambria" w:eastAsia="Times New Roman" w:hAnsi="Cambria" w:cs="Times New Roman"/>
          <w:noProof/>
          <w:sz w:val="24"/>
          <w:szCs w:val="24"/>
          <w:lang w:val="ro-RO" w:eastAsia="ro-RO"/>
        </w:rPr>
        <mc:AlternateContent>
          <mc:Choice Requires="wps">
            <w:drawing>
              <wp:anchor distT="0" distB="0" distL="114300" distR="114300" simplePos="0" relativeHeight="251969536" behindDoc="0" locked="0" layoutInCell="1" allowOverlap="1" wp14:anchorId="70AECE4E" wp14:editId="7D2D67E4">
                <wp:simplePos x="0" y="0"/>
                <wp:positionH relativeFrom="column">
                  <wp:posOffset>3284122</wp:posOffset>
                </wp:positionH>
                <wp:positionV relativeFrom="paragraph">
                  <wp:posOffset>1307075</wp:posOffset>
                </wp:positionV>
                <wp:extent cx="1670050" cy="198206"/>
                <wp:effectExtent l="0" t="0" r="6350" b="0"/>
                <wp:wrapNone/>
                <wp:docPr id="42" name="Text Box 42"/>
                <wp:cNvGraphicFramePr/>
                <a:graphic xmlns:a="http://schemas.openxmlformats.org/drawingml/2006/main">
                  <a:graphicData uri="http://schemas.microsoft.com/office/word/2010/wordprocessingShape">
                    <wps:wsp>
                      <wps:cNvSpPr txBox="1"/>
                      <wps:spPr>
                        <a:xfrm>
                          <a:off x="0" y="0"/>
                          <a:ext cx="1670050" cy="198206"/>
                        </a:xfrm>
                        <a:prstGeom prst="rect">
                          <a:avLst/>
                        </a:prstGeom>
                        <a:solidFill>
                          <a:sysClr val="window" lastClr="FFFFFF"/>
                        </a:solidFill>
                        <a:ln w="6350">
                          <a:noFill/>
                        </a:ln>
                        <a:effectLst/>
                      </wps:spPr>
                      <wps:txbx>
                        <w:txbxContent>
                          <w:p w:rsidR="00CE3BCA" w:rsidRPr="00FF3451" w:rsidRDefault="00CE3BCA" w:rsidP="0037604E">
                            <w:pPr>
                              <w:ind w:firstLine="0"/>
                              <w:rPr>
                                <w:sz w:val="16"/>
                                <w:szCs w:val="16"/>
                                <w:lang w:val="en-GB"/>
                              </w:rPr>
                            </w:pPr>
                            <w:r w:rsidRPr="00FF3451">
                              <w:rPr>
                                <w:sz w:val="16"/>
                                <w:szCs w:val="16"/>
                                <w:lang w:val="en-GB"/>
                              </w:rPr>
                              <w:t>TGN 201</w:t>
                            </w:r>
                            <w:r>
                              <w:rPr>
                                <w:sz w:val="16"/>
                                <w:szCs w:val="16"/>
                                <w:lang w:val="en-GB"/>
                              </w:rPr>
                              <w:t>5 transaction</w:t>
                            </w:r>
                            <w:r w:rsidRPr="00FF3451">
                              <w:rPr>
                                <w:sz w:val="16"/>
                                <w:szCs w:val="16"/>
                                <w:lang w:val="en-GB"/>
                              </w:rPr>
                              <w:t xml:space="preserve"> volume</w:t>
                            </w:r>
                          </w:p>
                          <w:p w:rsidR="00CE3BCA" w:rsidRPr="00FF3451" w:rsidRDefault="00CE3BCA" w:rsidP="0037604E">
                            <w:pPr>
                              <w:ind w:firstLine="0"/>
                              <w:rPr>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CE4E" id="Text Box 42" o:spid="_x0000_s1046" type="#_x0000_t202" style="position:absolute;margin-left:258.6pt;margin-top:102.9pt;width:131.5pt;height:15.6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" fillcolor="window" stroked="f" strokeweight=".5pt">
                <v:textbox>
                  <w:txbxContent>
                    <w:p w:rsidR="00CE3BCA" w:rsidRPr="00FF3451" w:rsidRDefault="00CE3BCA" w:rsidP="0037604E">
                      <w:pPr>
                        <w:ind w:firstLine="0"/>
                        <w:rPr>
                          <w:sz w:val="16"/>
                          <w:szCs w:val="16"/>
                          <w:lang w:val="en-GB"/>
                        </w:rPr>
                      </w:pPr>
                      <w:r w:rsidRPr="00FF3451">
                        <w:rPr>
                          <w:sz w:val="16"/>
                          <w:szCs w:val="16"/>
                          <w:lang w:val="en-GB"/>
                        </w:rPr>
                        <w:t>TGN 201</w:t>
                      </w:r>
                      <w:r>
                        <w:rPr>
                          <w:sz w:val="16"/>
                          <w:szCs w:val="16"/>
                          <w:lang w:val="en-GB"/>
                        </w:rPr>
                        <w:t>5 transaction</w:t>
                      </w:r>
                      <w:r w:rsidRPr="00FF3451">
                        <w:rPr>
                          <w:sz w:val="16"/>
                          <w:szCs w:val="16"/>
                          <w:lang w:val="en-GB"/>
                        </w:rPr>
                        <w:t xml:space="preserve"> volume</w:t>
                      </w:r>
                    </w:p>
                    <w:p w:rsidR="00CE3BCA" w:rsidRPr="00FF3451" w:rsidRDefault="00CE3BCA" w:rsidP="0037604E">
                      <w:pPr>
                        <w:ind w:firstLine="0"/>
                        <w:rPr>
                          <w:sz w:val="16"/>
                          <w:szCs w:val="16"/>
                          <w:lang w:val="en-GB"/>
                        </w:rPr>
                      </w:pPr>
                    </w:p>
                  </w:txbxContent>
                </v:textbox>
              </v:shape>
            </w:pict>
          </mc:Fallback>
        </mc:AlternateContent>
      </w:r>
      <w:r w:rsidRPr="0037604E">
        <w:rPr>
          <w:rFonts w:ascii="Cambria" w:eastAsia="Times New Roman" w:hAnsi="Cambria" w:cs="Times New Roman"/>
          <w:b/>
          <w:i/>
          <w:noProof/>
          <w:sz w:val="16"/>
          <w:szCs w:val="16"/>
          <w:lang w:val="ro-RO" w:eastAsia="ro-RO"/>
        </w:rPr>
        <mc:AlternateContent>
          <mc:Choice Requires="wps">
            <w:drawing>
              <wp:anchor distT="0" distB="0" distL="114300" distR="114300" simplePos="0" relativeHeight="251964416" behindDoc="0" locked="0" layoutInCell="1" allowOverlap="1" wp14:anchorId="51F782D9" wp14:editId="1F63A3C3">
                <wp:simplePos x="0" y="0"/>
                <wp:positionH relativeFrom="margin">
                  <wp:align>center</wp:align>
                </wp:positionH>
                <wp:positionV relativeFrom="paragraph">
                  <wp:posOffset>1044624</wp:posOffset>
                </wp:positionV>
                <wp:extent cx="5441950" cy="311150"/>
                <wp:effectExtent l="0" t="0" r="6350" b="0"/>
                <wp:wrapNone/>
                <wp:docPr id="12" name="Text Box 12"/>
                <wp:cNvGraphicFramePr/>
                <a:graphic xmlns:a="http://schemas.openxmlformats.org/drawingml/2006/main">
                  <a:graphicData uri="http://schemas.microsoft.com/office/word/2010/wordprocessingShape">
                    <wps:wsp>
                      <wps:cNvSpPr txBox="1"/>
                      <wps:spPr>
                        <a:xfrm>
                          <a:off x="0" y="0"/>
                          <a:ext cx="5441950" cy="311150"/>
                        </a:xfrm>
                        <a:prstGeom prst="rect">
                          <a:avLst/>
                        </a:prstGeom>
                        <a:solidFill>
                          <a:sysClr val="window" lastClr="FFFFFF"/>
                        </a:solidFill>
                        <a:ln w="6350">
                          <a:noFill/>
                        </a:ln>
                        <a:effectLst/>
                      </wps:spPr>
                      <wps:txbx>
                        <w:txbxContent>
                          <w:p w:rsidR="00CE3BCA" w:rsidRPr="00DF3B99" w:rsidRDefault="00CE3BCA" w:rsidP="0037604E">
                            <w:pPr>
                              <w:ind w:firstLine="0"/>
                              <w:rPr>
                                <w:lang w:val="en-GB"/>
                              </w:rPr>
                            </w:pPr>
                            <w:r>
                              <w:rPr>
                                <w:lang w:val="en-GB"/>
                              </w:rPr>
                              <w:t>Jan      Feb      March      April     May      June      July        Aug        Sept       Oct        Nov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F782D9" id="Text Box 12" o:spid="_x0000_s1047" type="#_x0000_t202" style="position:absolute;margin-left:0;margin-top:82.25pt;width:428.5pt;height:24.5pt;z-index:2519644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" fillcolor="window" stroked="f" strokeweight=".5pt">
                <v:textbox>
                  <w:txbxContent>
                    <w:p w:rsidR="00CE3BCA" w:rsidRPr="00DF3B99" w:rsidRDefault="00CE3BCA" w:rsidP="0037604E">
                      <w:pPr>
                        <w:ind w:firstLine="0"/>
                        <w:rPr>
                          <w:lang w:val="en-GB"/>
                        </w:rPr>
                      </w:pPr>
                      <w:r>
                        <w:rPr>
                          <w:lang w:val="en-GB"/>
                        </w:rPr>
                        <w:t>Jan      Feb      March      April     May      June      July        Aug        Sept       Oct        Nov        Dec</w:t>
                      </w:r>
                    </w:p>
                  </w:txbxContent>
                </v:textbox>
                <w10:wrap anchorx="margin"/>
              </v:shape>
            </w:pict>
          </mc:Fallback>
        </mc:AlternateContent>
      </w:r>
      <w:r w:rsidRPr="0037604E">
        <w:rPr>
          <w:rFonts w:ascii="Calibri" w:eastAsia="Times New Roman" w:hAnsi="Calibri" w:cs="Times New Roman"/>
          <w:lang w:val="en-GB" w:eastAsia="en-US"/>
        </w:rPr>
        <w:t xml:space="preserve"> </w:t>
      </w:r>
      <w:r w:rsidRPr="0037604E">
        <w:rPr>
          <w:rFonts w:ascii="Cambria" w:eastAsia="Times New Roman" w:hAnsi="Cambria" w:cs="Times New Roman"/>
          <w:b/>
          <w:i/>
          <w:sz w:val="16"/>
          <w:szCs w:val="16"/>
          <w:lang w:val="en-GB"/>
        </w:rPr>
        <w:t xml:space="preserve"> </w:t>
      </w:r>
      <w:r w:rsidRPr="0037604E">
        <w:rPr>
          <w:rFonts w:asciiTheme="majorHAnsi" w:eastAsia="Calibri" w:hAnsiTheme="majorHAnsi" w:cs="DokChampa"/>
          <w:noProof/>
          <w:lang w:val="ro-RO" w:eastAsia="ro-RO"/>
        </w:rPr>
        <w:drawing>
          <wp:inline distT="0" distB="0" distL="0" distR="0" wp14:anchorId="4C8E3D04" wp14:editId="07C79FBE">
            <wp:extent cx="5732145" cy="1485437"/>
            <wp:effectExtent l="0" t="0" r="1905" b="63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37604E">
        <w:rPr>
          <w:rFonts w:ascii="Cambria" w:eastAsia="Times New Roman" w:hAnsi="Cambria" w:cs="Times New Roman"/>
          <w:b/>
          <w:i/>
          <w:sz w:val="16"/>
          <w:szCs w:val="16"/>
          <w:lang w:val="en-GB"/>
        </w:rPr>
        <w:t xml:space="preserve">                                     </w:t>
      </w: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 xml:space="preserve">   </w:t>
      </w: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 xml:space="preserve"> Chart 49 – Volume of TGN transactions in 2016 as compared with 2015</w:t>
      </w: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left="1440" w:firstLine="720"/>
        <w:jc w:val="both"/>
        <w:rPr>
          <w:rFonts w:ascii="Cambria" w:eastAsia="Times New Roman" w:hAnsi="Cambria" w:cs="Times New Roman"/>
          <w:b/>
          <w:i/>
          <w:sz w:val="16"/>
          <w:szCs w:val="16"/>
          <w:lang w:val="en-GB"/>
        </w:rPr>
      </w:pPr>
    </w:p>
    <w:p w:rsidR="0037604E" w:rsidRPr="0037604E" w:rsidRDefault="00AC7FB6" w:rsidP="0037604E">
      <w:pPr>
        <w:spacing w:after="0" w:line="240" w:lineRule="auto"/>
        <w:ind w:firstLine="0"/>
        <w:jc w:val="center"/>
        <w:rPr>
          <w:rFonts w:ascii="Cambria" w:eastAsia="Times New Roman" w:hAnsi="Cambria" w:cs="Times New Roman"/>
          <w:sz w:val="24"/>
          <w:szCs w:val="24"/>
          <w:lang w:val="en-GB"/>
        </w:rPr>
      </w:pPr>
      <w:r w:rsidRPr="00945A8E">
        <w:rPr>
          <w:rFonts w:asciiTheme="majorHAnsi" w:eastAsia="Calibri" w:hAnsiTheme="majorHAnsi" w:cs="DokChampa"/>
          <w:noProof/>
          <w:lang w:val="ro-RO" w:eastAsia="ro-RO"/>
        </w:rPr>
        <w:drawing>
          <wp:inline distT="0" distB="0" distL="0" distR="0" wp14:anchorId="2293EF20" wp14:editId="20496489">
            <wp:extent cx="5732145" cy="1557648"/>
            <wp:effectExtent l="0" t="0" r="1905" b="508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37604E" w:rsidRPr="0037604E" w:rsidRDefault="0037604E" w:rsidP="0037604E">
      <w:pPr>
        <w:ind w:left="720" w:firstLine="0"/>
        <w:rPr>
          <w:sz w:val="16"/>
          <w:szCs w:val="16"/>
          <w:lang w:val="en-GB"/>
        </w:rPr>
      </w:pPr>
      <w:r w:rsidRPr="0037604E">
        <w:rPr>
          <w:b/>
          <w:color w:val="365F91" w:themeColor="accent1" w:themeShade="BF"/>
          <w:sz w:val="16"/>
          <w:szCs w:val="16"/>
          <w:lang w:val="en-GB"/>
        </w:rPr>
        <w:t xml:space="preserve">         ----- </w:t>
      </w:r>
      <w:r w:rsidRPr="0037604E">
        <w:rPr>
          <w:sz w:val="18"/>
          <w:szCs w:val="16"/>
          <w:lang w:val="en-GB"/>
        </w:rPr>
        <w:t xml:space="preserve">TGN transaction value 2016 – mil. Ron                 </w:t>
      </w:r>
      <w:r w:rsidRPr="0037604E">
        <w:rPr>
          <w:color w:val="FF0000"/>
          <w:sz w:val="18"/>
          <w:szCs w:val="16"/>
          <w:lang w:val="en-GB"/>
        </w:rPr>
        <w:t>--------</w:t>
      </w:r>
      <w:r w:rsidRPr="0037604E">
        <w:rPr>
          <w:sz w:val="18"/>
          <w:szCs w:val="16"/>
          <w:lang w:val="en-GB"/>
        </w:rPr>
        <w:t xml:space="preserve"> TGN transaction value 2015 - mil</w:t>
      </w:r>
      <w:r w:rsidRPr="0037604E">
        <w:rPr>
          <w:sz w:val="16"/>
          <w:szCs w:val="16"/>
          <w:lang w:val="en-GB"/>
        </w:rPr>
        <w:t>.</w:t>
      </w:r>
      <w:r w:rsidRPr="0037604E">
        <w:rPr>
          <w:sz w:val="18"/>
          <w:szCs w:val="16"/>
          <w:lang w:val="en-GB"/>
        </w:rPr>
        <w:t xml:space="preserve"> Ron</w:t>
      </w:r>
    </w:p>
    <w:p w:rsidR="0037604E" w:rsidRPr="0037604E" w:rsidRDefault="0037604E" w:rsidP="0037604E">
      <w:pPr>
        <w:spacing w:after="0" w:line="240" w:lineRule="auto"/>
        <w:jc w:val="center"/>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Chart 50 – Value of TGN transactions in 2016 vs 2015</w:t>
      </w:r>
    </w:p>
    <w:p w:rsidR="0037604E" w:rsidRPr="0037604E" w:rsidRDefault="0037604E" w:rsidP="0037604E">
      <w:pPr>
        <w:spacing w:after="0" w:line="240" w:lineRule="auto"/>
        <w:ind w:firstLine="0"/>
        <w:rPr>
          <w:rFonts w:ascii="Cambria" w:eastAsia="Times New Roman" w:hAnsi="Cambria" w:cs="Times New Roman"/>
          <w:sz w:val="24"/>
          <w:szCs w:val="24"/>
          <w:lang w:val="en-GB"/>
        </w:rPr>
      </w:pPr>
    </w:p>
    <w:p w:rsidR="0037604E" w:rsidRPr="0037604E" w:rsidRDefault="0037604E" w:rsidP="0037604E">
      <w:pPr>
        <w:spacing w:after="0" w:line="240" w:lineRule="auto"/>
        <w:ind w:firstLine="0"/>
        <w:rPr>
          <w:rFonts w:ascii="Cambria" w:eastAsia="Times New Roman" w:hAnsi="Cambria" w:cs="Times New Roman"/>
          <w:sz w:val="24"/>
          <w:szCs w:val="24"/>
          <w:lang w:val="en-GB"/>
        </w:rPr>
      </w:pPr>
    </w:p>
    <w:p w:rsidR="0037604E" w:rsidRPr="0037604E" w:rsidRDefault="0037604E" w:rsidP="0037604E">
      <w:pPr>
        <w:shd w:val="clear" w:color="auto" w:fill="F2F2F2"/>
        <w:spacing w:after="0" w:line="240" w:lineRule="auto"/>
        <w:ind w:firstLine="0"/>
        <w:rPr>
          <w:rFonts w:ascii="Cambria" w:eastAsia="Times New Roman" w:hAnsi="Cambria" w:cs="Times New Roman"/>
          <w:b/>
          <w:sz w:val="24"/>
          <w:szCs w:val="24"/>
          <w:lang w:val="en-GB"/>
        </w:rPr>
      </w:pPr>
      <w:r w:rsidRPr="0037604E">
        <w:rPr>
          <w:rFonts w:ascii="Cambria" w:eastAsia="Times New Roman" w:hAnsi="Cambria" w:cs="Times New Roman"/>
          <w:b/>
          <w:sz w:val="24"/>
          <w:szCs w:val="24"/>
          <w:lang w:val="en-GB"/>
        </w:rPr>
        <w:t>Stock indicators: P/BV, EPS, PER, DIVY</w:t>
      </w:r>
    </w:p>
    <w:p w:rsidR="0037604E" w:rsidRPr="0037604E" w:rsidRDefault="0037604E" w:rsidP="0037604E">
      <w:pPr>
        <w:spacing w:after="0" w:line="240" w:lineRule="auto"/>
        <w:ind w:left="1080"/>
        <w:rPr>
          <w:rFonts w:ascii="Cambria" w:eastAsia="Times New Roman" w:hAnsi="Cambria" w:cs="Times New Roman"/>
          <w:b/>
          <w:sz w:val="24"/>
          <w:szCs w:val="24"/>
          <w:lang w:val="en-GB"/>
        </w:rPr>
      </w:pPr>
    </w:p>
    <w:tbl>
      <w:tblPr>
        <w:tblW w:w="0" w:type="auto"/>
        <w:tblCellSpacing w:w="20" w:type="dxa"/>
        <w:tblInd w:w="15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097"/>
        <w:gridCol w:w="1556"/>
        <w:gridCol w:w="1601"/>
        <w:gridCol w:w="1611"/>
        <w:gridCol w:w="2003"/>
      </w:tblGrid>
      <w:tr w:rsidR="0037604E" w:rsidRPr="0037604E" w:rsidTr="0037604E">
        <w:trPr>
          <w:tblCellSpacing w:w="20" w:type="dxa"/>
        </w:trPr>
        <w:tc>
          <w:tcPr>
            <w:tcW w:w="2037" w:type="dxa"/>
            <w:shd w:val="clear" w:color="auto" w:fill="B8CCE4"/>
          </w:tcPr>
          <w:p w:rsidR="0037604E" w:rsidRPr="0037604E" w:rsidRDefault="0037604E" w:rsidP="0037604E">
            <w:pPr>
              <w:spacing w:after="0" w:line="240" w:lineRule="auto"/>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YEAR</w:t>
            </w:r>
          </w:p>
        </w:tc>
        <w:tc>
          <w:tcPr>
            <w:tcW w:w="1516" w:type="dxa"/>
            <w:shd w:val="clear" w:color="auto" w:fill="B8CCE4"/>
          </w:tcPr>
          <w:p w:rsidR="0037604E" w:rsidRPr="0037604E" w:rsidRDefault="0037604E" w:rsidP="0037604E">
            <w:pPr>
              <w:spacing w:after="0" w:line="240" w:lineRule="auto"/>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P/BV</w:t>
            </w:r>
          </w:p>
        </w:tc>
        <w:tc>
          <w:tcPr>
            <w:tcW w:w="1561" w:type="dxa"/>
            <w:shd w:val="clear" w:color="auto" w:fill="B8CCE4"/>
          </w:tcPr>
          <w:p w:rsidR="0037604E" w:rsidRPr="0037604E" w:rsidRDefault="0037604E" w:rsidP="0037604E">
            <w:pPr>
              <w:spacing w:after="0" w:line="240" w:lineRule="auto"/>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PER</w:t>
            </w:r>
          </w:p>
        </w:tc>
        <w:tc>
          <w:tcPr>
            <w:tcW w:w="1571" w:type="dxa"/>
            <w:shd w:val="clear" w:color="auto" w:fill="B8CCE4"/>
          </w:tcPr>
          <w:p w:rsidR="0037604E" w:rsidRPr="0037604E" w:rsidRDefault="0037604E" w:rsidP="0037604E">
            <w:pPr>
              <w:spacing w:after="0" w:line="240" w:lineRule="auto"/>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DIVY</w:t>
            </w:r>
          </w:p>
        </w:tc>
        <w:tc>
          <w:tcPr>
            <w:tcW w:w="1943" w:type="dxa"/>
            <w:shd w:val="clear" w:color="auto" w:fill="B8CCE4"/>
          </w:tcPr>
          <w:p w:rsidR="0037604E" w:rsidRPr="0037604E" w:rsidRDefault="0037604E" w:rsidP="0037604E">
            <w:pPr>
              <w:spacing w:after="0" w:line="240" w:lineRule="auto"/>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EPS</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2008</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0,92</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7,36</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7,92</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20,29</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2009</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0,84</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9,82</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6,67</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25,36</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2010</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1,39</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8,38</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4,65</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31,96</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2011</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1,02</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6,99</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12,88</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31,94</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2012</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0,79</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8,26</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13,65</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32,24</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2013</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0,73</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6,62</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11,49</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27,97</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2014</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1,01</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9,25</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6,69</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28,41</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2015</w:t>
            </w:r>
          </w:p>
        </w:tc>
        <w:tc>
          <w:tcPr>
            <w:tcW w:w="1516"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0,98</w:t>
            </w:r>
          </w:p>
        </w:tc>
        <w:tc>
          <w:tcPr>
            <w:tcW w:w="156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6,49</w:t>
            </w:r>
          </w:p>
        </w:tc>
        <w:tc>
          <w:tcPr>
            <w:tcW w:w="1571"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7,87</w:t>
            </w:r>
          </w:p>
        </w:tc>
        <w:tc>
          <w:tcPr>
            <w:tcW w:w="1943" w:type="dxa"/>
            <w:shd w:val="clear" w:color="auto" w:fill="auto"/>
            <w:vAlign w:val="center"/>
          </w:tcPr>
          <w:p w:rsidR="0037604E" w:rsidRPr="0037604E" w:rsidRDefault="0037604E" w:rsidP="0037604E">
            <w:pPr>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42,68</w:t>
            </w:r>
          </w:p>
        </w:tc>
      </w:tr>
      <w:tr w:rsidR="0037604E" w:rsidRPr="0037604E" w:rsidTr="0037604E">
        <w:trPr>
          <w:tblCellSpacing w:w="20" w:type="dxa"/>
        </w:trPr>
        <w:tc>
          <w:tcPr>
            <w:tcW w:w="2037" w:type="dxa"/>
            <w:shd w:val="clear" w:color="auto" w:fill="auto"/>
            <w:vAlign w:val="center"/>
          </w:tcPr>
          <w:p w:rsidR="0037604E" w:rsidRPr="0037604E" w:rsidRDefault="0037604E" w:rsidP="0037604E">
            <w:pPr>
              <w:spacing w:after="0" w:line="240" w:lineRule="auto"/>
              <w:jc w:val="both"/>
              <w:rPr>
                <w:rFonts w:asciiTheme="majorHAnsi" w:eastAsia="Calibri" w:hAnsiTheme="majorHAnsi" w:cs="Times New Roman"/>
                <w:sz w:val="24"/>
                <w:szCs w:val="24"/>
              </w:rPr>
            </w:pPr>
            <w:r w:rsidRPr="0037604E">
              <w:rPr>
                <w:rFonts w:asciiTheme="majorHAnsi" w:eastAsia="Calibri" w:hAnsiTheme="majorHAnsi" w:cs="Times New Roman"/>
                <w:sz w:val="24"/>
                <w:szCs w:val="24"/>
              </w:rPr>
              <w:t>2016</w:t>
            </w:r>
          </w:p>
        </w:tc>
        <w:tc>
          <w:tcPr>
            <w:tcW w:w="1516" w:type="dxa"/>
            <w:shd w:val="clear" w:color="auto" w:fill="auto"/>
            <w:vAlign w:val="center"/>
          </w:tcPr>
          <w:p w:rsidR="0037604E" w:rsidRPr="0037604E" w:rsidRDefault="0037604E" w:rsidP="0037604E">
            <w:pPr>
              <w:spacing w:after="0" w:line="240" w:lineRule="auto"/>
              <w:jc w:val="right"/>
              <w:rPr>
                <w:rFonts w:asciiTheme="majorHAnsi" w:eastAsia="Calibri" w:hAnsiTheme="majorHAnsi" w:cs="Times New Roman"/>
                <w:sz w:val="24"/>
                <w:szCs w:val="24"/>
              </w:rPr>
            </w:pPr>
            <w:r w:rsidRPr="0037604E">
              <w:rPr>
                <w:rFonts w:asciiTheme="majorHAnsi" w:eastAsia="Calibri" w:hAnsiTheme="majorHAnsi" w:cs="Times New Roman"/>
                <w:sz w:val="24"/>
                <w:szCs w:val="24"/>
              </w:rPr>
              <w:t>0,97</w:t>
            </w:r>
          </w:p>
        </w:tc>
        <w:tc>
          <w:tcPr>
            <w:tcW w:w="1561" w:type="dxa"/>
            <w:shd w:val="clear" w:color="auto" w:fill="auto"/>
            <w:vAlign w:val="center"/>
          </w:tcPr>
          <w:p w:rsidR="0037604E" w:rsidRPr="0037604E" w:rsidRDefault="0037604E" w:rsidP="0037604E">
            <w:pPr>
              <w:spacing w:after="0" w:line="240" w:lineRule="auto"/>
              <w:jc w:val="right"/>
              <w:rPr>
                <w:rFonts w:asciiTheme="majorHAnsi" w:eastAsia="Calibri" w:hAnsiTheme="majorHAnsi" w:cs="Times New Roman"/>
                <w:sz w:val="24"/>
                <w:szCs w:val="24"/>
              </w:rPr>
            </w:pPr>
            <w:r w:rsidRPr="0037604E">
              <w:rPr>
                <w:rFonts w:asciiTheme="majorHAnsi" w:eastAsia="Calibri" w:hAnsiTheme="majorHAnsi" w:cs="Times New Roman"/>
                <w:sz w:val="24"/>
                <w:szCs w:val="24"/>
              </w:rPr>
              <w:t>7,08</w:t>
            </w:r>
          </w:p>
        </w:tc>
        <w:tc>
          <w:tcPr>
            <w:tcW w:w="1571" w:type="dxa"/>
            <w:shd w:val="clear" w:color="auto" w:fill="auto"/>
            <w:vAlign w:val="center"/>
          </w:tcPr>
          <w:p w:rsidR="0037604E" w:rsidRPr="0037604E" w:rsidRDefault="0037604E" w:rsidP="0037604E">
            <w:pPr>
              <w:spacing w:after="0" w:line="240" w:lineRule="auto"/>
              <w:jc w:val="right"/>
              <w:rPr>
                <w:rFonts w:asciiTheme="majorHAnsi" w:eastAsia="Calibri" w:hAnsiTheme="majorHAnsi" w:cs="Times New Roman"/>
                <w:sz w:val="24"/>
                <w:szCs w:val="24"/>
              </w:rPr>
            </w:pPr>
            <w:r w:rsidRPr="0037604E">
              <w:rPr>
                <w:rFonts w:asciiTheme="majorHAnsi" w:eastAsia="Calibri" w:hAnsiTheme="majorHAnsi" w:cs="Times New Roman"/>
                <w:sz w:val="24"/>
                <w:szCs w:val="24"/>
              </w:rPr>
              <w:t>9,39</w:t>
            </w:r>
          </w:p>
        </w:tc>
        <w:tc>
          <w:tcPr>
            <w:tcW w:w="1943" w:type="dxa"/>
            <w:shd w:val="clear" w:color="auto" w:fill="auto"/>
            <w:vAlign w:val="center"/>
          </w:tcPr>
          <w:p w:rsidR="0037604E" w:rsidRPr="0037604E" w:rsidRDefault="0037604E" w:rsidP="0037604E">
            <w:pPr>
              <w:spacing w:after="0" w:line="240" w:lineRule="auto"/>
              <w:jc w:val="right"/>
              <w:rPr>
                <w:rFonts w:asciiTheme="majorHAnsi" w:eastAsia="Calibri" w:hAnsiTheme="majorHAnsi" w:cs="Times New Roman"/>
                <w:sz w:val="24"/>
                <w:szCs w:val="24"/>
              </w:rPr>
            </w:pPr>
            <w:r w:rsidRPr="0037604E">
              <w:rPr>
                <w:rFonts w:asciiTheme="majorHAnsi" w:eastAsia="Calibri" w:hAnsiTheme="majorHAnsi" w:cs="Times New Roman"/>
                <w:sz w:val="24"/>
                <w:szCs w:val="24"/>
              </w:rPr>
              <w:t>41,68</w:t>
            </w:r>
          </w:p>
        </w:tc>
      </w:tr>
    </w:tbl>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where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lastRenderedPageBreak/>
        <w:t>P/BV – (Price to book value)</w:t>
      </w:r>
      <w:r w:rsidRPr="0037604E">
        <w:rPr>
          <w:rFonts w:ascii="Cambria" w:eastAsia="Times New Roman" w:hAnsi="Cambria" w:cs="Times New Roman"/>
          <w:sz w:val="24"/>
          <w:szCs w:val="24"/>
          <w:lang w:val="en-GB"/>
        </w:rPr>
        <w:t xml:space="preserve"> - The ratio between the markets price of the shares and their book value - a measure covering the book value of a share taking into account its quotation. (Equity / no. of shares) The </w:t>
      </w:r>
      <w:r w:rsidRPr="0037604E">
        <w:rPr>
          <w:rFonts w:ascii="Cambria" w:eastAsia="Times New Roman" w:hAnsi="Cambria" w:cs="Times New Roman"/>
          <w:b/>
          <w:sz w:val="24"/>
          <w:szCs w:val="24"/>
          <w:lang w:val="en-GB"/>
        </w:rPr>
        <w:t>book value of TGN share on 30.09.2015 – RON 282.57/share and the quotation TGN 09.30.2015 – RON 260.00/share</w:t>
      </w:r>
      <w:r w:rsidRPr="0037604E">
        <w:rPr>
          <w:rFonts w:ascii="Cambria" w:eastAsia="Times New Roman" w:hAnsi="Cambria" w:cs="Times New Roman"/>
          <w:sz w:val="24"/>
          <w:szCs w:val="24"/>
          <w:lang w:val="en-GB"/>
        </w:rPr>
        <w:t xml:space="preserve"> led to a below par value of 0.92 the P/BV, </w:t>
      </w:r>
      <w:r w:rsidRPr="0037604E">
        <w:rPr>
          <w:rFonts w:ascii="Cambria" w:eastAsia="Times New Roman" w:hAnsi="Cambria" w:cs="Times New Roman"/>
          <w:b/>
          <w:sz w:val="24"/>
          <w:szCs w:val="24"/>
          <w:lang w:val="en-GB"/>
        </w:rPr>
        <w:t>improved compared to that of 30.09.2014.</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t>PER – (Price to earnings ratio) P/E –</w:t>
      </w:r>
      <w:r w:rsidRPr="0037604E">
        <w:rPr>
          <w:rFonts w:ascii="Cambria" w:eastAsia="Times New Roman" w:hAnsi="Cambria" w:cs="Times New Roman"/>
          <w:sz w:val="24"/>
          <w:szCs w:val="24"/>
          <w:lang w:val="en-GB"/>
        </w:rPr>
        <w:t>The share price/profit per share –</w:t>
      </w:r>
      <w:r w:rsidRPr="0037604E">
        <w:rPr>
          <w:lang w:val="en-GB"/>
        </w:rPr>
        <w:t xml:space="preserve"> </w:t>
      </w:r>
      <w:r w:rsidRPr="0037604E">
        <w:rPr>
          <w:rFonts w:ascii="Cambria" w:eastAsia="Times New Roman" w:hAnsi="Cambria" w:cs="Times New Roman"/>
          <w:sz w:val="24"/>
          <w:szCs w:val="24"/>
          <w:lang w:val="en-GB"/>
        </w:rPr>
        <w:t>expresses the duration related to the recovery of an investment in a share (price paid per share) from the profits earned by the issuer (EPS). The lower the index is (and the recovery period is lower), the better it is for investors; thus, the lowering of the value of this indicator at 30.09.2015 compared to the same period last year, indicates an increase in the efficiency of the investment in the TGN action.</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t>The dividend yield (DIVY) -</w:t>
      </w:r>
      <w:r w:rsidRPr="0037604E">
        <w:rPr>
          <w:rFonts w:ascii="Cambria" w:eastAsia="Times New Roman" w:hAnsi="Cambria" w:cs="Times New Roman"/>
          <w:sz w:val="24"/>
          <w:szCs w:val="24"/>
          <w:lang w:val="en-GB"/>
        </w:rPr>
        <w:t xml:space="preserve"> The amount of the dividend/share price - has increased due to higher value of the gross dividend for the financial year 2014 of RON 21.80/share, with payment starting date of 15 July 2015, compared to the value of the gross dividend related to the financial year 2013 of RON 17.58/share, distributed starting with 29 July 2014.</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t xml:space="preserve">EPS – Earnings per share – Profit per share </w:t>
      </w:r>
      <w:r w:rsidRPr="0037604E">
        <w:rPr>
          <w:rFonts w:ascii="Cambria" w:eastAsia="Times New Roman" w:hAnsi="Cambria" w:cs="Times New Roman"/>
          <w:sz w:val="24"/>
          <w:szCs w:val="24"/>
          <w:lang w:val="en-GB"/>
        </w:rPr>
        <w:t xml:space="preserve">(net profit/number of shares) – it measures the part of profit which returns for each share, it registered a significant increase due to the increase of the net profit.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hAnsiTheme="majorHAnsi" w:cs="Arial"/>
          <w:sz w:val="24"/>
          <w:szCs w:val="24"/>
          <w:lang w:val="en"/>
        </w:rPr>
      </w:pPr>
      <w:r w:rsidRPr="0037604E">
        <w:rPr>
          <w:rFonts w:asciiTheme="majorHAnsi" w:hAnsiTheme="majorHAnsi" w:cs="Arial"/>
          <w:sz w:val="24"/>
          <w:szCs w:val="24"/>
          <w:lang w:val="en"/>
        </w:rPr>
        <w:t xml:space="preserve">In the period ending 31 December 2016 PER stock indicators (stock price/earnings per share) and dividend yield </w:t>
      </w:r>
      <w:r w:rsidRPr="0037604E">
        <w:rPr>
          <w:rFonts w:asciiTheme="majorHAnsi" w:eastAsia="Times New Roman" w:hAnsiTheme="majorHAnsi" w:cs="Times New Roman"/>
          <w:noProof/>
          <w:sz w:val="24"/>
          <w:szCs w:val="24"/>
          <w:lang w:val="ro-RO"/>
        </w:rPr>
        <w:t xml:space="preserve">(DIVY) </w:t>
      </w:r>
      <w:r w:rsidRPr="0037604E">
        <w:rPr>
          <w:rFonts w:asciiTheme="majorHAnsi" w:hAnsiTheme="majorHAnsi" w:cs="Arial"/>
          <w:sz w:val="24"/>
          <w:szCs w:val="24"/>
          <w:lang w:val="en"/>
        </w:rPr>
        <w:t>recorded increases compared to the same period of 2015</w:t>
      </w:r>
      <w:r w:rsidRPr="0037604E">
        <w:rPr>
          <w:rFonts w:asciiTheme="majorHAnsi" w:eastAsia="Times New Roman" w:hAnsiTheme="majorHAnsi" w:cs="Times New Roman"/>
          <w:noProof/>
          <w:sz w:val="24"/>
          <w:szCs w:val="24"/>
          <w:lang w:val="ro-RO"/>
        </w:rPr>
        <w:t xml:space="preserve">. </w:t>
      </w:r>
      <w:r w:rsidRPr="0037604E">
        <w:rPr>
          <w:rFonts w:asciiTheme="majorHAnsi" w:hAnsiTheme="majorHAnsi" w:cs="Arial"/>
          <w:sz w:val="24"/>
          <w:szCs w:val="24"/>
          <w:lang w:val="en"/>
        </w:rPr>
        <w:t xml:space="preserve">Increased dividend yield </w:t>
      </w:r>
      <w:r w:rsidRPr="0037604E">
        <w:rPr>
          <w:rFonts w:asciiTheme="majorHAnsi" w:eastAsia="Times New Roman" w:hAnsiTheme="majorHAnsi" w:cs="Times New Roman"/>
          <w:noProof/>
          <w:sz w:val="24"/>
          <w:szCs w:val="24"/>
          <w:lang w:val="ro-RO" w:eastAsia="en-US"/>
        </w:rPr>
        <w:t xml:space="preserve">(DIVY) is due to </w:t>
      </w:r>
      <w:r w:rsidRPr="0037604E">
        <w:rPr>
          <w:rFonts w:asciiTheme="majorHAnsi" w:hAnsiTheme="majorHAnsi" w:cs="Arial"/>
          <w:sz w:val="24"/>
          <w:szCs w:val="24"/>
          <w:lang w:val="en"/>
        </w:rPr>
        <w:t xml:space="preserve">increased distribution rate applied </w:t>
      </w:r>
      <w:r w:rsidRPr="0037604E">
        <w:rPr>
          <w:rFonts w:asciiTheme="majorHAnsi" w:eastAsia="Times New Roman" w:hAnsiTheme="majorHAnsi" w:cs="Times New Roman"/>
          <w:noProof/>
          <w:sz w:val="24"/>
          <w:szCs w:val="24"/>
          <w:lang w:val="ro-RO" w:eastAsia="en-US"/>
        </w:rPr>
        <w:t xml:space="preserve">at the breaking down of the company`s profit s dividends, from 50,00156% in 2015 to </w:t>
      </w:r>
      <w:r w:rsidRPr="0037604E">
        <w:rPr>
          <w:rFonts w:asciiTheme="majorHAnsi" w:eastAsia="Times New Roman" w:hAnsiTheme="majorHAnsi" w:cs="Times New Roman"/>
          <w:noProof/>
          <w:sz w:val="24"/>
          <w:szCs w:val="24"/>
          <w:lang w:val="ro-RO" w:eastAsia="ro-RO"/>
        </w:rPr>
        <w:t xml:space="preserve">65,01977% of the </w:t>
      </w:r>
      <w:r w:rsidRPr="0037604E">
        <w:rPr>
          <w:rFonts w:asciiTheme="majorHAnsi" w:hAnsiTheme="majorHAnsi" w:cs="Arial"/>
          <w:sz w:val="24"/>
          <w:szCs w:val="24"/>
          <w:lang w:val="en"/>
        </w:rPr>
        <w:t xml:space="preserve">accounting profit remaining after deduction of income tax in 2016. </w:t>
      </w:r>
    </w:p>
    <w:p w:rsidR="0037604E" w:rsidRPr="0037604E" w:rsidRDefault="0037604E" w:rsidP="0037604E">
      <w:pPr>
        <w:spacing w:after="0" w:line="240" w:lineRule="auto"/>
        <w:ind w:firstLine="0"/>
        <w:jc w:val="both"/>
        <w:rPr>
          <w:rFonts w:asciiTheme="majorHAnsi" w:eastAsia="Times New Roman" w:hAnsiTheme="majorHAnsi" w:cs="Times New Roman"/>
          <w:noProof/>
          <w:sz w:val="24"/>
          <w:szCs w:val="24"/>
          <w:lang w:val="ro-RO"/>
        </w:rPr>
      </w:pPr>
    </w:p>
    <w:p w:rsidR="0037604E" w:rsidRPr="0037604E" w:rsidRDefault="0037604E" w:rsidP="0037604E">
      <w:pPr>
        <w:spacing w:after="0" w:line="240" w:lineRule="auto"/>
        <w:ind w:firstLine="0"/>
        <w:jc w:val="both"/>
        <w:rPr>
          <w:rFonts w:asciiTheme="majorHAnsi" w:eastAsia="Times New Roman" w:hAnsiTheme="majorHAnsi" w:cs="Times New Roman"/>
          <w:noProof/>
          <w:sz w:val="24"/>
          <w:szCs w:val="24"/>
          <w:lang w:val="ro-RO"/>
        </w:rPr>
      </w:pPr>
      <w:r w:rsidRPr="0037604E">
        <w:rPr>
          <w:rFonts w:asciiTheme="majorHAnsi" w:eastAsia="Times New Roman" w:hAnsiTheme="majorHAnsi" w:cs="Times New Roman"/>
          <w:noProof/>
          <w:sz w:val="24"/>
          <w:szCs w:val="24"/>
          <w:lang w:val="ro-RO"/>
        </w:rPr>
        <w:t xml:space="preserve">Also P/BV </w:t>
      </w:r>
      <w:r w:rsidRPr="0037604E">
        <w:rPr>
          <w:rFonts w:asciiTheme="majorHAnsi" w:hAnsiTheme="majorHAnsi" w:cs="Arial"/>
          <w:sz w:val="24"/>
          <w:szCs w:val="24"/>
          <w:lang w:val="en"/>
        </w:rPr>
        <w:t>the ratio price per book value of a share) in 2016 recorded a value close to the same period in 2015, while the indicator EPS (earnings per share TGN) recorded</w:t>
      </w:r>
      <w:r w:rsidRPr="0037604E">
        <w:rPr>
          <w:rFonts w:asciiTheme="majorHAnsi" w:eastAsia="Times New Roman" w:hAnsiTheme="majorHAnsi" w:cs="Times New Roman"/>
          <w:noProof/>
          <w:sz w:val="24"/>
          <w:szCs w:val="24"/>
          <w:lang w:val="ro-RO"/>
        </w:rPr>
        <w:t xml:space="preserve"> a value slightly lower than as compared to the same period of 2015.</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en-GB"/>
        </w:rPr>
      </w:pPr>
    </w:p>
    <w:p w:rsidR="0037604E" w:rsidRPr="0037604E" w:rsidRDefault="0037604E" w:rsidP="0037604E">
      <w:pPr>
        <w:spacing w:after="0" w:line="240" w:lineRule="auto"/>
        <w:ind w:firstLine="0"/>
        <w:jc w:val="both"/>
        <w:rPr>
          <w:rFonts w:asciiTheme="majorHAnsi" w:eastAsia="Times New Roman" w:hAnsiTheme="majorHAnsi" w:cs="Times New Roman"/>
          <w:noProof/>
          <w:sz w:val="24"/>
          <w:szCs w:val="24"/>
          <w:lang w:val="ro-RO"/>
        </w:rPr>
      </w:pPr>
      <w:r w:rsidRPr="0037604E">
        <w:rPr>
          <w:rFonts w:asciiTheme="majorHAnsi" w:hAnsiTheme="majorHAnsi" w:cs="Arial"/>
          <w:sz w:val="24"/>
          <w:szCs w:val="24"/>
          <w:lang w:val="en"/>
        </w:rPr>
        <w:t>Transgaz stock level indicators value compared with those of similar companies in Europe at the ebginning of 2017 is as follows: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tbl>
      <w:tblPr>
        <w:tblW w:w="5000"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600" w:firstRow="0" w:lastRow="0" w:firstColumn="0" w:lastColumn="0" w:noHBand="1" w:noVBand="1"/>
      </w:tblPr>
      <w:tblGrid>
        <w:gridCol w:w="2582"/>
        <w:gridCol w:w="1235"/>
        <w:gridCol w:w="1426"/>
        <w:gridCol w:w="1922"/>
        <w:gridCol w:w="1846"/>
      </w:tblGrid>
      <w:tr w:rsidR="0037604E" w:rsidRPr="0037604E" w:rsidTr="00EF6EFE">
        <w:trPr>
          <w:trHeight w:val="377"/>
          <w:tblCellSpacing w:w="20" w:type="dxa"/>
        </w:trPr>
        <w:tc>
          <w:tcPr>
            <w:tcW w:w="1400" w:type="pct"/>
            <w:shd w:val="clear" w:color="auto" w:fill="DBE5F1"/>
            <w:tcMar>
              <w:top w:w="15" w:type="dxa"/>
              <w:left w:w="15" w:type="dxa"/>
              <w:bottom w:w="0" w:type="dxa"/>
              <w:right w:w="15" w:type="dxa"/>
            </w:tcMar>
            <w:vAlign w:val="bottom"/>
            <w:hideMark/>
          </w:tcPr>
          <w:p w:rsidR="0037604E" w:rsidRPr="0037604E" w:rsidRDefault="0037604E" w:rsidP="0037604E">
            <w:pPr>
              <w:spacing w:after="0" w:line="240" w:lineRule="auto"/>
              <w:ind w:firstLine="0"/>
              <w:jc w:val="center"/>
              <w:textAlignment w:val="bottom"/>
              <w:rPr>
                <w:rFonts w:ascii="Cambria" w:eastAsia="Times New Roman" w:hAnsi="Cambria" w:cs="Arial"/>
                <w:sz w:val="24"/>
                <w:szCs w:val="24"/>
                <w:lang w:val="en-GB" w:eastAsia="en-US"/>
              </w:rPr>
            </w:pPr>
            <w:r w:rsidRPr="0037604E">
              <w:rPr>
                <w:rFonts w:ascii="Cambria" w:eastAsia="Times New Roman" w:hAnsi="Cambria" w:cs="Arial"/>
                <w:b/>
                <w:bCs/>
                <w:color w:val="000000"/>
                <w:kern w:val="24"/>
                <w:sz w:val="24"/>
                <w:szCs w:val="24"/>
                <w:lang w:val="en-GB" w:eastAsia="en-US"/>
              </w:rPr>
              <w:t>Company</w:t>
            </w:r>
          </w:p>
        </w:tc>
        <w:tc>
          <w:tcPr>
            <w:tcW w:w="663" w:type="pct"/>
            <w:shd w:val="clear" w:color="auto" w:fill="DBE5F1"/>
            <w:tcMar>
              <w:top w:w="15" w:type="dxa"/>
              <w:left w:w="15" w:type="dxa"/>
              <w:bottom w:w="0" w:type="dxa"/>
              <w:right w:w="15" w:type="dxa"/>
            </w:tcMar>
            <w:vAlign w:val="bottom"/>
            <w:hideMark/>
          </w:tcPr>
          <w:p w:rsidR="0037604E" w:rsidRPr="0037604E" w:rsidRDefault="0037604E" w:rsidP="0037604E">
            <w:pPr>
              <w:spacing w:after="0" w:line="240" w:lineRule="auto"/>
              <w:ind w:firstLine="0"/>
              <w:jc w:val="center"/>
              <w:textAlignment w:val="bottom"/>
              <w:rPr>
                <w:rFonts w:ascii="Cambria" w:eastAsia="Times New Roman" w:hAnsi="Cambria" w:cs="Arial"/>
                <w:sz w:val="24"/>
                <w:szCs w:val="24"/>
                <w:lang w:val="en-GB" w:eastAsia="en-US"/>
              </w:rPr>
            </w:pPr>
            <w:r w:rsidRPr="0037604E">
              <w:rPr>
                <w:rFonts w:ascii="Cambria" w:eastAsia="Times New Roman" w:hAnsi="Cambria" w:cs="Arial"/>
                <w:b/>
                <w:bCs/>
                <w:color w:val="000000"/>
                <w:kern w:val="24"/>
                <w:sz w:val="24"/>
                <w:szCs w:val="24"/>
                <w:lang w:val="en-GB" w:eastAsia="en-US"/>
              </w:rPr>
              <w:t> </w:t>
            </w:r>
          </w:p>
        </w:tc>
        <w:tc>
          <w:tcPr>
            <w:tcW w:w="769" w:type="pct"/>
            <w:shd w:val="clear" w:color="auto" w:fill="DBE5F1"/>
            <w:tcMar>
              <w:top w:w="15" w:type="dxa"/>
              <w:left w:w="15" w:type="dxa"/>
              <w:bottom w:w="0" w:type="dxa"/>
              <w:right w:w="15" w:type="dxa"/>
            </w:tcMar>
            <w:vAlign w:val="bottom"/>
            <w:hideMark/>
          </w:tcPr>
          <w:p w:rsidR="0037604E" w:rsidRPr="0037604E" w:rsidRDefault="0037604E" w:rsidP="0037604E">
            <w:pPr>
              <w:spacing w:after="0" w:line="240" w:lineRule="auto"/>
              <w:ind w:firstLine="0"/>
              <w:jc w:val="center"/>
              <w:textAlignment w:val="bottom"/>
              <w:rPr>
                <w:rFonts w:ascii="Cambria" w:eastAsia="Times New Roman" w:hAnsi="Cambria" w:cs="Arial"/>
                <w:sz w:val="24"/>
                <w:szCs w:val="24"/>
                <w:lang w:val="en-GB" w:eastAsia="en-US"/>
              </w:rPr>
            </w:pPr>
            <w:r w:rsidRPr="0037604E">
              <w:rPr>
                <w:rFonts w:ascii="Cambria" w:eastAsia="Times New Roman" w:hAnsi="Cambria" w:cs="Arial"/>
                <w:b/>
                <w:bCs/>
                <w:color w:val="000000"/>
                <w:kern w:val="24"/>
                <w:sz w:val="24"/>
                <w:szCs w:val="24"/>
                <w:lang w:val="en-GB" w:eastAsia="en-US"/>
              </w:rPr>
              <w:t>P/E</w:t>
            </w:r>
          </w:p>
        </w:tc>
        <w:tc>
          <w:tcPr>
            <w:tcW w:w="1044" w:type="pct"/>
            <w:shd w:val="clear" w:color="auto" w:fill="DBE5F1"/>
            <w:tcMar>
              <w:top w:w="15" w:type="dxa"/>
              <w:left w:w="15" w:type="dxa"/>
              <w:bottom w:w="0" w:type="dxa"/>
              <w:right w:w="15" w:type="dxa"/>
            </w:tcMar>
            <w:vAlign w:val="bottom"/>
            <w:hideMark/>
          </w:tcPr>
          <w:p w:rsidR="0037604E" w:rsidRPr="0037604E" w:rsidRDefault="0037604E" w:rsidP="0037604E">
            <w:pPr>
              <w:spacing w:after="0" w:line="240" w:lineRule="auto"/>
              <w:ind w:firstLine="0"/>
              <w:jc w:val="center"/>
              <w:textAlignment w:val="bottom"/>
              <w:rPr>
                <w:rFonts w:ascii="Cambria" w:eastAsia="Times New Roman" w:hAnsi="Cambria" w:cs="Arial"/>
                <w:sz w:val="24"/>
                <w:szCs w:val="24"/>
                <w:lang w:val="en-GB" w:eastAsia="en-US"/>
              </w:rPr>
            </w:pPr>
            <w:r w:rsidRPr="0037604E">
              <w:rPr>
                <w:rFonts w:ascii="Cambria" w:eastAsia="Times New Roman" w:hAnsi="Cambria" w:cs="Arial"/>
                <w:b/>
                <w:bCs/>
                <w:color w:val="000000"/>
                <w:kern w:val="24"/>
                <w:sz w:val="24"/>
                <w:szCs w:val="24"/>
                <w:lang w:val="en-GB" w:eastAsia="en-US"/>
              </w:rPr>
              <w:t>P/BV</w:t>
            </w:r>
          </w:p>
        </w:tc>
        <w:tc>
          <w:tcPr>
            <w:tcW w:w="991" w:type="pct"/>
            <w:shd w:val="clear" w:color="auto" w:fill="DBE5F1"/>
            <w:tcMar>
              <w:top w:w="15" w:type="dxa"/>
              <w:left w:w="15" w:type="dxa"/>
              <w:bottom w:w="0" w:type="dxa"/>
              <w:right w:w="15" w:type="dxa"/>
            </w:tcMar>
            <w:vAlign w:val="bottom"/>
            <w:hideMark/>
          </w:tcPr>
          <w:p w:rsidR="0037604E" w:rsidRPr="0037604E" w:rsidRDefault="0037604E" w:rsidP="0037604E">
            <w:pPr>
              <w:spacing w:after="0" w:line="240" w:lineRule="auto"/>
              <w:ind w:firstLine="0"/>
              <w:jc w:val="center"/>
              <w:textAlignment w:val="bottom"/>
              <w:rPr>
                <w:rFonts w:ascii="Cambria" w:eastAsia="Times New Roman" w:hAnsi="Cambria" w:cs="Arial"/>
                <w:sz w:val="24"/>
                <w:szCs w:val="24"/>
                <w:lang w:val="en-GB" w:eastAsia="en-US"/>
              </w:rPr>
            </w:pPr>
            <w:r w:rsidRPr="0037604E">
              <w:rPr>
                <w:rFonts w:ascii="Cambria" w:eastAsia="Times New Roman" w:hAnsi="Cambria" w:cs="Arial"/>
                <w:b/>
                <w:bCs/>
                <w:color w:val="000000"/>
                <w:kern w:val="24"/>
                <w:sz w:val="24"/>
                <w:szCs w:val="24"/>
                <w:lang w:val="en-GB" w:eastAsia="en-US"/>
              </w:rPr>
              <w:t>EV/EBITDA</w:t>
            </w:r>
          </w:p>
        </w:tc>
      </w:tr>
      <w:tr w:rsidR="0037604E" w:rsidRPr="0037604E" w:rsidTr="00EF6EFE">
        <w:trPr>
          <w:trHeight w:val="265"/>
          <w:tblCellSpacing w:w="20" w:type="dxa"/>
        </w:trPr>
        <w:tc>
          <w:tcPr>
            <w:tcW w:w="1400"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Enagas</w:t>
            </w:r>
          </w:p>
        </w:tc>
        <w:tc>
          <w:tcPr>
            <w:tcW w:w="663"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Spain</w:t>
            </w:r>
          </w:p>
        </w:tc>
        <w:tc>
          <w:tcPr>
            <w:tcW w:w="769"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13,2</w:t>
            </w:r>
          </w:p>
        </w:tc>
        <w:tc>
          <w:tcPr>
            <w:tcW w:w="1044"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2,3</w:t>
            </w:r>
          </w:p>
        </w:tc>
        <w:tc>
          <w:tcPr>
            <w:tcW w:w="991"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11,1</w:t>
            </w:r>
          </w:p>
        </w:tc>
      </w:tr>
      <w:tr w:rsidR="0037604E" w:rsidRPr="0037604E" w:rsidTr="00EF6EFE">
        <w:trPr>
          <w:trHeight w:val="247"/>
          <w:tblCellSpacing w:w="20" w:type="dxa"/>
        </w:trPr>
        <w:tc>
          <w:tcPr>
            <w:tcW w:w="1400"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SNAM Rete Gas</w:t>
            </w:r>
          </w:p>
        </w:tc>
        <w:tc>
          <w:tcPr>
            <w:tcW w:w="663"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Italy</w:t>
            </w:r>
          </w:p>
        </w:tc>
        <w:tc>
          <w:tcPr>
            <w:tcW w:w="769"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14,5</w:t>
            </w:r>
          </w:p>
        </w:tc>
        <w:tc>
          <w:tcPr>
            <w:tcW w:w="1044"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1,8</w:t>
            </w:r>
          </w:p>
        </w:tc>
        <w:tc>
          <w:tcPr>
            <w:tcW w:w="991" w:type="pct"/>
            <w:shd w:val="clear" w:color="auto" w:fill="auto"/>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13,8</w:t>
            </w:r>
          </w:p>
        </w:tc>
      </w:tr>
      <w:tr w:rsidR="0037604E" w:rsidRPr="0037604E" w:rsidTr="00EF6EFE">
        <w:trPr>
          <w:trHeight w:val="238"/>
          <w:tblCellSpacing w:w="20" w:type="dxa"/>
        </w:trPr>
        <w:tc>
          <w:tcPr>
            <w:tcW w:w="1400" w:type="pct"/>
            <w:shd w:val="clear" w:color="auto" w:fill="F2F2F2"/>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b/>
                <w:sz w:val="24"/>
                <w:szCs w:val="24"/>
                <w:lang w:val="en-GB" w:eastAsia="en-US"/>
              </w:rPr>
            </w:pPr>
            <w:r w:rsidRPr="0037604E">
              <w:rPr>
                <w:rFonts w:ascii="Cambria" w:eastAsia="Times New Roman" w:hAnsi="Cambria" w:cs="Arial"/>
                <w:b/>
                <w:kern w:val="24"/>
                <w:sz w:val="24"/>
                <w:szCs w:val="24"/>
                <w:lang w:val="en-GB" w:eastAsia="en-US"/>
              </w:rPr>
              <w:t>Media</w:t>
            </w:r>
          </w:p>
        </w:tc>
        <w:tc>
          <w:tcPr>
            <w:tcW w:w="663" w:type="pct"/>
            <w:shd w:val="clear" w:color="auto" w:fill="F2F2F2"/>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 </w:t>
            </w:r>
          </w:p>
        </w:tc>
        <w:tc>
          <w:tcPr>
            <w:tcW w:w="769" w:type="pct"/>
            <w:shd w:val="clear" w:color="auto" w:fill="F2F2F2"/>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b/>
                <w:noProof/>
                <w:sz w:val="24"/>
                <w:szCs w:val="24"/>
                <w:lang w:val="ro-RO" w:eastAsia="en-US"/>
              </w:rPr>
            </w:pPr>
            <w:r>
              <w:rPr>
                <w:rFonts w:asciiTheme="majorHAnsi" w:eastAsia="Times New Roman" w:hAnsiTheme="majorHAnsi" w:cs="Arial"/>
                <w:b/>
                <w:noProof/>
                <w:sz w:val="24"/>
                <w:szCs w:val="24"/>
                <w:lang w:val="ro-RO" w:eastAsia="en-US"/>
              </w:rPr>
              <w:t>13,85</w:t>
            </w:r>
          </w:p>
        </w:tc>
        <w:tc>
          <w:tcPr>
            <w:tcW w:w="1044" w:type="pct"/>
            <w:shd w:val="clear" w:color="auto" w:fill="F2F2F2"/>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b/>
                <w:noProof/>
                <w:sz w:val="24"/>
                <w:szCs w:val="24"/>
                <w:lang w:val="ro-RO" w:eastAsia="en-US"/>
              </w:rPr>
            </w:pPr>
            <w:r>
              <w:rPr>
                <w:rFonts w:asciiTheme="majorHAnsi" w:eastAsia="Times New Roman" w:hAnsiTheme="majorHAnsi" w:cs="Arial"/>
                <w:b/>
                <w:noProof/>
                <w:sz w:val="24"/>
                <w:szCs w:val="24"/>
                <w:lang w:val="ro-RO" w:eastAsia="en-US"/>
              </w:rPr>
              <w:t>2,05</w:t>
            </w:r>
          </w:p>
        </w:tc>
        <w:tc>
          <w:tcPr>
            <w:tcW w:w="991" w:type="pct"/>
            <w:shd w:val="clear" w:color="auto" w:fill="F2F2F2"/>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b/>
                <w:noProof/>
                <w:sz w:val="24"/>
                <w:szCs w:val="24"/>
                <w:lang w:val="ro-RO" w:eastAsia="en-US"/>
              </w:rPr>
            </w:pPr>
            <w:r w:rsidRPr="00E72DDA">
              <w:rPr>
                <w:rFonts w:asciiTheme="majorHAnsi" w:eastAsia="Times New Roman" w:hAnsiTheme="majorHAnsi" w:cs="Arial"/>
                <w:b/>
                <w:noProof/>
                <w:sz w:val="24"/>
                <w:szCs w:val="24"/>
                <w:lang w:val="ro-RO" w:eastAsia="en-US"/>
              </w:rPr>
              <w:t>12,45</w:t>
            </w:r>
          </w:p>
        </w:tc>
      </w:tr>
      <w:tr w:rsidR="0037604E" w:rsidRPr="0037604E" w:rsidTr="00EF6EFE">
        <w:trPr>
          <w:trHeight w:val="247"/>
          <w:tblCellSpacing w:w="20" w:type="dxa"/>
        </w:trPr>
        <w:tc>
          <w:tcPr>
            <w:tcW w:w="1400" w:type="pct"/>
            <w:shd w:val="clear" w:color="auto" w:fill="F2F2F2"/>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b/>
                <w:bCs/>
                <w:kern w:val="24"/>
                <w:sz w:val="24"/>
                <w:szCs w:val="24"/>
                <w:lang w:val="en-GB" w:eastAsia="en-US"/>
              </w:rPr>
              <w:t>Transgaz</w:t>
            </w:r>
          </w:p>
        </w:tc>
        <w:tc>
          <w:tcPr>
            <w:tcW w:w="663" w:type="pct"/>
            <w:shd w:val="clear" w:color="auto" w:fill="F2F2F2"/>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b/>
                <w:bCs/>
                <w:kern w:val="24"/>
                <w:sz w:val="24"/>
                <w:szCs w:val="24"/>
                <w:lang w:val="en-GB" w:eastAsia="en-US"/>
              </w:rPr>
              <w:t>Romania</w:t>
            </w:r>
          </w:p>
        </w:tc>
        <w:tc>
          <w:tcPr>
            <w:tcW w:w="769" w:type="pct"/>
            <w:shd w:val="clear" w:color="auto" w:fill="F2F2F2"/>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8,9</w:t>
            </w:r>
          </w:p>
        </w:tc>
        <w:tc>
          <w:tcPr>
            <w:tcW w:w="1044" w:type="pct"/>
            <w:shd w:val="clear" w:color="auto" w:fill="F2F2F2"/>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1,0</w:t>
            </w:r>
          </w:p>
        </w:tc>
        <w:tc>
          <w:tcPr>
            <w:tcW w:w="991" w:type="pct"/>
            <w:shd w:val="clear" w:color="auto" w:fill="F2F2F2"/>
            <w:tcMar>
              <w:top w:w="15" w:type="dxa"/>
              <w:left w:w="15" w:type="dxa"/>
              <w:bottom w:w="0" w:type="dxa"/>
              <w:right w:w="15" w:type="dxa"/>
            </w:tcMar>
            <w:vAlign w:val="bottom"/>
          </w:tcPr>
          <w:p w:rsidR="0037604E" w:rsidRPr="0037604E" w:rsidRDefault="0037604E"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sidRPr="0037604E">
              <w:rPr>
                <w:rFonts w:asciiTheme="majorHAnsi" w:eastAsia="Times New Roman" w:hAnsiTheme="majorHAnsi" w:cs="Arial"/>
                <w:noProof/>
                <w:sz w:val="24"/>
                <w:szCs w:val="24"/>
                <w:lang w:val="ro-RO" w:eastAsia="en-US"/>
              </w:rPr>
              <w:t>3,9</w:t>
            </w:r>
          </w:p>
        </w:tc>
      </w:tr>
      <w:tr w:rsidR="0037604E" w:rsidRPr="0037604E" w:rsidTr="00EF6EFE">
        <w:trPr>
          <w:trHeight w:val="283"/>
          <w:tblCellSpacing w:w="20" w:type="dxa"/>
        </w:trPr>
        <w:tc>
          <w:tcPr>
            <w:tcW w:w="1400"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Premium /Discount</w:t>
            </w:r>
          </w:p>
        </w:tc>
        <w:tc>
          <w:tcPr>
            <w:tcW w:w="663" w:type="pct"/>
            <w:shd w:val="clear" w:color="auto" w:fill="auto"/>
            <w:tcMar>
              <w:top w:w="15" w:type="dxa"/>
              <w:left w:w="15" w:type="dxa"/>
              <w:bottom w:w="0" w:type="dxa"/>
              <w:right w:w="15" w:type="dxa"/>
            </w:tcMar>
            <w:vAlign w:val="center"/>
            <w:hideMark/>
          </w:tcPr>
          <w:p w:rsidR="0037604E" w:rsidRPr="0037604E" w:rsidRDefault="0037604E" w:rsidP="0037604E">
            <w:pPr>
              <w:spacing w:after="0" w:line="240" w:lineRule="auto"/>
              <w:ind w:firstLine="0"/>
              <w:textAlignment w:val="bottom"/>
              <w:rPr>
                <w:rFonts w:ascii="Cambria" w:eastAsia="Times New Roman" w:hAnsi="Cambria" w:cs="Arial"/>
                <w:sz w:val="24"/>
                <w:szCs w:val="24"/>
                <w:lang w:val="en-GB" w:eastAsia="en-US"/>
              </w:rPr>
            </w:pPr>
            <w:r w:rsidRPr="0037604E">
              <w:rPr>
                <w:rFonts w:ascii="Cambria" w:eastAsia="Times New Roman" w:hAnsi="Cambria" w:cs="Arial"/>
                <w:kern w:val="24"/>
                <w:sz w:val="24"/>
                <w:szCs w:val="24"/>
                <w:lang w:val="en-GB" w:eastAsia="en-US"/>
              </w:rPr>
              <w:t> </w:t>
            </w:r>
          </w:p>
        </w:tc>
        <w:tc>
          <w:tcPr>
            <w:tcW w:w="769" w:type="pct"/>
            <w:shd w:val="clear" w:color="auto" w:fill="auto"/>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Pr>
                <w:rFonts w:asciiTheme="majorHAnsi" w:eastAsia="Times New Roman" w:hAnsiTheme="majorHAnsi" w:cs="Arial"/>
                <w:noProof/>
                <w:sz w:val="24"/>
                <w:szCs w:val="24"/>
                <w:lang w:val="ro-RO" w:eastAsia="en-US"/>
              </w:rPr>
              <w:t>36</w:t>
            </w:r>
            <w:r w:rsidR="0037604E" w:rsidRPr="0037604E">
              <w:rPr>
                <w:rFonts w:asciiTheme="majorHAnsi" w:eastAsia="Times New Roman" w:hAnsiTheme="majorHAnsi" w:cs="Arial"/>
                <w:noProof/>
                <w:sz w:val="24"/>
                <w:szCs w:val="24"/>
                <w:lang w:val="ro-RO" w:eastAsia="en-US"/>
              </w:rPr>
              <w:t>%</w:t>
            </w:r>
          </w:p>
        </w:tc>
        <w:tc>
          <w:tcPr>
            <w:tcW w:w="1044" w:type="pct"/>
            <w:shd w:val="clear" w:color="auto" w:fill="auto"/>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Pr>
                <w:rFonts w:asciiTheme="majorHAnsi" w:eastAsia="Times New Roman" w:hAnsiTheme="majorHAnsi" w:cs="Arial"/>
                <w:noProof/>
                <w:sz w:val="24"/>
                <w:szCs w:val="24"/>
                <w:lang w:val="ro-RO" w:eastAsia="en-US"/>
              </w:rPr>
              <w:t>51</w:t>
            </w:r>
            <w:r w:rsidR="0037604E" w:rsidRPr="0037604E">
              <w:rPr>
                <w:rFonts w:asciiTheme="majorHAnsi" w:eastAsia="Times New Roman" w:hAnsiTheme="majorHAnsi" w:cs="Arial"/>
                <w:noProof/>
                <w:sz w:val="24"/>
                <w:szCs w:val="24"/>
                <w:lang w:val="ro-RO" w:eastAsia="en-US"/>
              </w:rPr>
              <w:t>%</w:t>
            </w:r>
          </w:p>
        </w:tc>
        <w:tc>
          <w:tcPr>
            <w:tcW w:w="991" w:type="pct"/>
            <w:shd w:val="clear" w:color="auto" w:fill="auto"/>
            <w:tcMar>
              <w:top w:w="15" w:type="dxa"/>
              <w:left w:w="15" w:type="dxa"/>
              <w:bottom w:w="0" w:type="dxa"/>
              <w:right w:w="15" w:type="dxa"/>
            </w:tcMar>
            <w:vAlign w:val="bottom"/>
          </w:tcPr>
          <w:p w:rsidR="0037604E" w:rsidRPr="0037604E" w:rsidRDefault="00E72DDA" w:rsidP="0037604E">
            <w:pPr>
              <w:spacing w:after="0" w:line="240" w:lineRule="auto"/>
              <w:ind w:firstLine="0"/>
              <w:jc w:val="right"/>
              <w:textAlignment w:val="bottom"/>
              <w:rPr>
                <w:rFonts w:asciiTheme="majorHAnsi" w:eastAsia="Times New Roman" w:hAnsiTheme="majorHAnsi" w:cs="Arial"/>
                <w:noProof/>
                <w:sz w:val="24"/>
                <w:szCs w:val="24"/>
                <w:lang w:val="ro-RO" w:eastAsia="en-US"/>
              </w:rPr>
            </w:pPr>
            <w:r>
              <w:rPr>
                <w:rFonts w:asciiTheme="majorHAnsi" w:eastAsia="Times New Roman" w:hAnsiTheme="majorHAnsi" w:cs="Arial"/>
                <w:noProof/>
                <w:sz w:val="24"/>
                <w:szCs w:val="24"/>
                <w:lang w:val="ro-RO" w:eastAsia="en-US"/>
              </w:rPr>
              <w:t>69</w:t>
            </w:r>
            <w:r w:rsidR="0037604E" w:rsidRPr="0037604E">
              <w:rPr>
                <w:rFonts w:asciiTheme="majorHAnsi" w:eastAsia="Times New Roman" w:hAnsiTheme="majorHAnsi" w:cs="Arial"/>
                <w:noProof/>
                <w:sz w:val="24"/>
                <w:szCs w:val="24"/>
                <w:lang w:val="ro-RO" w:eastAsia="en-US"/>
              </w:rPr>
              <w:t>%</w:t>
            </w:r>
          </w:p>
        </w:tc>
      </w:tr>
    </w:tbl>
    <w:p w:rsidR="0037604E" w:rsidRPr="0037604E" w:rsidRDefault="0037604E" w:rsidP="0037604E">
      <w:pPr>
        <w:spacing w:after="0" w:line="240" w:lineRule="auto"/>
        <w:ind w:firstLine="0"/>
        <w:jc w:val="both"/>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right"/>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Source: Bloomberg 18.01.2017</w:t>
      </w:r>
    </w:p>
    <w:p w:rsidR="0037604E" w:rsidRPr="0037604E" w:rsidRDefault="00E80C4A" w:rsidP="0037604E">
      <w:pPr>
        <w:spacing w:after="0" w:line="240" w:lineRule="auto"/>
        <w:ind w:firstLine="0"/>
        <w:jc w:val="center"/>
        <w:rPr>
          <w:rFonts w:ascii="Cambria" w:eastAsia="Times New Roman" w:hAnsi="Cambria" w:cs="Times New Roman"/>
          <w:b/>
          <w:i/>
          <w:sz w:val="16"/>
          <w:szCs w:val="16"/>
          <w:lang w:val="en-GB"/>
        </w:rPr>
      </w:pPr>
      <w:r>
        <w:rPr>
          <w:rFonts w:ascii="Cambria" w:eastAsia="Times New Roman" w:hAnsi="Cambria" w:cs="Times New Roman"/>
          <w:b/>
          <w:i/>
          <w:sz w:val="16"/>
          <w:szCs w:val="16"/>
          <w:lang w:val="en-GB"/>
        </w:rPr>
        <w:t xml:space="preserve">Table 36 </w:t>
      </w:r>
      <w:r w:rsidR="0037604E" w:rsidRPr="0037604E">
        <w:rPr>
          <w:rFonts w:ascii="Cambria" w:eastAsia="Times New Roman" w:hAnsi="Cambria" w:cs="Times New Roman"/>
          <w:b/>
          <w:i/>
          <w:sz w:val="16"/>
          <w:szCs w:val="16"/>
          <w:lang w:val="en-GB"/>
        </w:rPr>
        <w:t>- The value of stock indexes within Transgaz, compared to similar companies in Europe</w:t>
      </w:r>
    </w:p>
    <w:p w:rsidR="0037604E" w:rsidRPr="0037604E" w:rsidRDefault="0037604E" w:rsidP="0037604E">
      <w:pPr>
        <w:spacing w:after="0" w:line="240" w:lineRule="auto"/>
        <w:ind w:firstLine="0"/>
        <w:rPr>
          <w:rFonts w:ascii="Cambria" w:eastAsia="Times New Roman" w:hAnsi="Cambria" w:cs="Times New Roman"/>
          <w:b/>
          <w:sz w:val="24"/>
          <w:szCs w:val="24"/>
          <w:lang w:val="en-GB"/>
        </w:rPr>
      </w:pPr>
    </w:p>
    <w:p w:rsidR="0037604E" w:rsidRPr="0037604E" w:rsidRDefault="0037604E" w:rsidP="0037604E">
      <w:pPr>
        <w:spacing w:after="0" w:line="240" w:lineRule="auto"/>
        <w:ind w:left="1080"/>
        <w:rPr>
          <w:rFonts w:ascii="Cambria" w:eastAsia="Times New Roman" w:hAnsi="Cambria" w:cs="Times New Roman"/>
          <w:b/>
          <w:sz w:val="24"/>
          <w:szCs w:val="24"/>
          <w:lang w:val="en-GB"/>
        </w:rPr>
      </w:pPr>
    </w:p>
    <w:p w:rsidR="0037604E" w:rsidRPr="0037604E" w:rsidRDefault="0037604E" w:rsidP="0037604E">
      <w:pPr>
        <w:shd w:val="clear" w:color="auto" w:fill="F2F2F2"/>
        <w:spacing w:after="0" w:line="240" w:lineRule="auto"/>
        <w:ind w:firstLine="0"/>
        <w:rPr>
          <w:rFonts w:ascii="Cambria" w:eastAsia="Times New Roman" w:hAnsi="Cambria" w:cs="Times New Roman"/>
          <w:b/>
          <w:sz w:val="24"/>
          <w:szCs w:val="24"/>
          <w:lang w:val="en-GB"/>
        </w:rPr>
      </w:pPr>
      <w:r w:rsidRPr="0037604E">
        <w:rPr>
          <w:rFonts w:ascii="Cambria" w:eastAsia="Times New Roman" w:hAnsi="Cambria" w:cs="Times New Roman"/>
          <w:b/>
          <w:sz w:val="24"/>
          <w:szCs w:val="24"/>
          <w:lang w:val="en-GB"/>
        </w:rPr>
        <w:t xml:space="preserve">Market capitalization </w:t>
      </w:r>
    </w:p>
    <w:p w:rsidR="0037604E" w:rsidRPr="0037604E" w:rsidRDefault="0037604E" w:rsidP="0037604E">
      <w:pPr>
        <w:spacing w:after="0" w:line="240" w:lineRule="auto"/>
        <w:ind w:firstLine="0"/>
        <w:rPr>
          <w:rFonts w:ascii="Cambria" w:eastAsia="Times New Roman" w:hAnsi="Cambria" w:cs="Times New Roman"/>
          <w:sz w:val="24"/>
          <w:szCs w:val="24"/>
          <w:lang w:val="en-GB"/>
        </w:rPr>
      </w:pPr>
    </w:p>
    <w:p w:rsidR="0037604E" w:rsidRPr="0037604E" w:rsidRDefault="0037604E" w:rsidP="0037604E">
      <w:pPr>
        <w:spacing w:after="0" w:line="240" w:lineRule="auto"/>
        <w:ind w:firstLine="0"/>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lastRenderedPageBreak/>
        <w:t xml:space="preserve">The market capitalization of the company on 31.12.2016 was </w:t>
      </w:r>
      <w:r w:rsidRPr="0037604E">
        <w:rPr>
          <w:rFonts w:ascii="Cambria" w:eastAsia="Times New Roman" w:hAnsi="Cambria" w:cs="Times New Roman"/>
          <w:b/>
          <w:sz w:val="24"/>
          <w:szCs w:val="24"/>
          <w:lang w:val="en-GB"/>
        </w:rPr>
        <w:t>RON</w:t>
      </w:r>
      <w:r w:rsidRPr="0037604E">
        <w:rPr>
          <w:rFonts w:ascii="Cambria" w:eastAsia="Times New Roman" w:hAnsi="Cambria" w:cs="Times New Roman"/>
          <w:sz w:val="24"/>
          <w:szCs w:val="24"/>
          <w:lang w:val="en-GB"/>
        </w:rPr>
        <w:t xml:space="preserve"> </w:t>
      </w:r>
      <w:r w:rsidRPr="0037604E">
        <w:rPr>
          <w:rFonts w:ascii="Cambria" w:eastAsia="Times New Roman" w:hAnsi="Cambria" w:cs="Times New Roman"/>
          <w:b/>
          <w:sz w:val="24"/>
          <w:szCs w:val="24"/>
          <w:lang w:val="en-GB"/>
        </w:rPr>
        <w:t>3.46 billion</w:t>
      </w:r>
      <w:r w:rsidRPr="0037604E">
        <w:rPr>
          <w:rFonts w:ascii="Cambria" w:eastAsia="Times New Roman" w:hAnsi="Cambria" w:cs="Times New Roman"/>
          <w:sz w:val="24"/>
          <w:szCs w:val="24"/>
          <w:lang w:val="en-GB"/>
        </w:rPr>
        <w:t xml:space="preserve"> (760 mln. Euros) or 200 million (~ 42 million euro) more than the level on 31.12.2015.</w:t>
      </w:r>
    </w:p>
    <w:tbl>
      <w:tblPr>
        <w:tblW w:w="4016"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221"/>
        <w:gridCol w:w="1576"/>
        <w:gridCol w:w="1852"/>
        <w:gridCol w:w="1530"/>
        <w:gridCol w:w="65"/>
      </w:tblGrid>
      <w:tr w:rsidR="0037604E" w:rsidRPr="0037604E" w:rsidTr="0037604E">
        <w:trPr>
          <w:trHeight w:val="418"/>
          <w:tblCellSpacing w:w="20" w:type="dxa"/>
          <w:jc w:val="center"/>
        </w:trPr>
        <w:tc>
          <w:tcPr>
            <w:tcW w:w="1670" w:type="pct"/>
            <w:shd w:val="clear" w:color="auto" w:fill="DBE5F1"/>
            <w:vAlign w:val="center"/>
          </w:tcPr>
          <w:p w:rsidR="0037604E" w:rsidRPr="0037604E" w:rsidRDefault="0037604E" w:rsidP="0037604E">
            <w:pPr>
              <w:spacing w:after="0" w:line="240" w:lineRule="auto"/>
              <w:ind w:firstLine="0"/>
              <w:rPr>
                <w:rFonts w:ascii="Cambria" w:eastAsia="Times New Roman" w:hAnsi="Cambria" w:cs="Times New Roman"/>
                <w:b/>
                <w:lang w:val="en-GB"/>
              </w:rPr>
            </w:pPr>
            <w:r w:rsidRPr="0037604E">
              <w:rPr>
                <w:rFonts w:ascii="Cambria" w:eastAsia="Times New Roman" w:hAnsi="Cambria" w:cs="Times New Roman"/>
                <w:b/>
                <w:sz w:val="24"/>
                <w:szCs w:val="24"/>
                <w:lang w:val="en-GB"/>
              </w:rPr>
              <w:t>Market capitalization</w:t>
            </w:r>
            <w:r w:rsidRPr="0037604E">
              <w:rPr>
                <w:rFonts w:ascii="Cambria" w:eastAsia="Times New Roman" w:hAnsi="Cambria" w:cs="Times New Roman"/>
                <w:b/>
                <w:lang w:val="en-GB"/>
              </w:rPr>
              <w:t xml:space="preserve"> </w:t>
            </w:r>
          </w:p>
        </w:tc>
        <w:tc>
          <w:tcPr>
            <w:tcW w:w="1235" w:type="pct"/>
            <w:shd w:val="clear" w:color="auto" w:fill="DBE5F1"/>
            <w:vAlign w:val="center"/>
          </w:tcPr>
          <w:p w:rsidR="0037604E" w:rsidRPr="0037604E" w:rsidRDefault="0037604E" w:rsidP="0037604E">
            <w:pPr>
              <w:spacing w:after="0" w:line="240" w:lineRule="auto"/>
              <w:jc w:val="center"/>
              <w:rPr>
                <w:rFonts w:ascii="Cambria" w:eastAsia="Times New Roman" w:hAnsi="Cambria" w:cs="Arial"/>
                <w:b/>
                <w:bCs/>
                <w:lang w:val="en-GB"/>
              </w:rPr>
            </w:pPr>
            <w:r w:rsidRPr="0037604E">
              <w:rPr>
                <w:rFonts w:ascii="Cambria" w:eastAsia="Times New Roman" w:hAnsi="Cambria" w:cs="Arial"/>
                <w:b/>
                <w:bCs/>
                <w:lang w:val="en-GB"/>
              </w:rPr>
              <w:t>RON</w:t>
            </w:r>
          </w:p>
        </w:tc>
        <w:tc>
          <w:tcPr>
            <w:tcW w:w="1427" w:type="pct"/>
            <w:shd w:val="clear" w:color="auto" w:fill="DBE5F1"/>
            <w:vAlign w:val="center"/>
          </w:tcPr>
          <w:p w:rsidR="0037604E" w:rsidRPr="0037604E" w:rsidRDefault="0037604E" w:rsidP="0037604E">
            <w:pPr>
              <w:spacing w:after="0" w:line="240" w:lineRule="auto"/>
              <w:jc w:val="center"/>
              <w:rPr>
                <w:rFonts w:ascii="Cambria" w:eastAsia="Times New Roman" w:hAnsi="Cambria" w:cs="Arial"/>
                <w:b/>
                <w:bCs/>
                <w:lang w:val="en-GB"/>
              </w:rPr>
            </w:pPr>
            <w:r w:rsidRPr="0037604E">
              <w:rPr>
                <w:rFonts w:ascii="Cambria" w:eastAsia="Times New Roman" w:hAnsi="Cambria" w:cs="Arial"/>
                <w:b/>
                <w:bCs/>
                <w:lang w:val="en-GB"/>
              </w:rPr>
              <w:t>Euro</w:t>
            </w:r>
          </w:p>
        </w:tc>
        <w:tc>
          <w:tcPr>
            <w:tcW w:w="530" w:type="pct"/>
            <w:gridSpan w:val="2"/>
            <w:tcBorders>
              <w:top w:val="single" w:sz="4" w:space="0" w:color="auto"/>
              <w:left w:val="outset" w:sz="2" w:space="0" w:color="A0A0A0"/>
              <w:bottom w:val="single" w:sz="4" w:space="0" w:color="auto"/>
              <w:right w:val="single" w:sz="4" w:space="0" w:color="auto"/>
            </w:tcBorders>
            <w:shd w:val="clear" w:color="auto" w:fill="auto"/>
          </w:tcPr>
          <w:p w:rsidR="0037604E" w:rsidRPr="0037604E" w:rsidRDefault="0037604E" w:rsidP="0037604E">
            <w:pPr>
              <w:spacing w:after="120" w:line="240" w:lineRule="auto"/>
              <w:jc w:val="center"/>
              <w:rPr>
                <w:b/>
                <w:sz w:val="24"/>
                <w:szCs w:val="24"/>
                <w:lang w:val="en-GB"/>
              </w:rPr>
            </w:pPr>
            <w:r w:rsidRPr="0037604E">
              <w:rPr>
                <w:b/>
                <w:sz w:val="24"/>
                <w:szCs w:val="24"/>
                <w:lang w:val="en-GB"/>
              </w:rPr>
              <w:t>Exchange rate</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31.12.2008</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1.436.408.968</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360.435.855</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3,9852</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31.12.2009</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1.848.493.508</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437.182.136</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4,2282</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31.12.2010</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3.296.676.320</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769.388.611</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4,2848</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31.12.2011</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2.629.688.057</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608.766.363</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4,3197</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31.12.2012</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2.638.518.440</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595.777.190</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4,4287</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31.12.2013</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2.181.104.601</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486.343.479</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4,4847</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31.12.2014</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3.095.343.588</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690.400.943</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4,4834</w:t>
            </w:r>
          </w:p>
        </w:tc>
      </w:tr>
      <w:tr w:rsidR="0037604E" w:rsidRPr="0037604E" w:rsidTr="0037604E">
        <w:trPr>
          <w:gridAfter w:val="1"/>
          <w:wAfter w:w="5" w:type="dxa"/>
          <w:tblCellSpacing w:w="20" w:type="dxa"/>
          <w:jc w:val="center"/>
        </w:trPr>
        <w:tc>
          <w:tcPr>
            <w:tcW w:w="1670" w:type="pct"/>
            <w:vAlign w:val="bottom"/>
          </w:tcPr>
          <w:p w:rsidR="0037604E" w:rsidRPr="0037604E" w:rsidRDefault="0037604E" w:rsidP="0037604E">
            <w:pPr>
              <w:spacing w:after="0" w:line="240" w:lineRule="auto"/>
              <w:ind w:firstLine="0"/>
              <w:jc w:val="center"/>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31.12.2015</w:t>
            </w:r>
          </w:p>
        </w:tc>
        <w:tc>
          <w:tcPr>
            <w:tcW w:w="1235"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3.261.354.788</w:t>
            </w:r>
          </w:p>
        </w:tc>
        <w:tc>
          <w:tcPr>
            <w:tcW w:w="1427"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720.184.341</w:t>
            </w:r>
          </w:p>
        </w:tc>
        <w:tc>
          <w:tcPr>
            <w:tcW w:w="540" w:type="pct"/>
            <w:vAlign w:val="bottom"/>
          </w:tcPr>
          <w:p w:rsidR="0037604E" w:rsidRPr="0037604E" w:rsidRDefault="0037604E" w:rsidP="0037604E">
            <w:pPr>
              <w:spacing w:after="0" w:line="240" w:lineRule="auto"/>
              <w:ind w:firstLine="0"/>
              <w:jc w:val="right"/>
              <w:rPr>
                <w:rFonts w:ascii="Cambria" w:eastAsia="Calibri" w:hAnsi="Cambria" w:cs="Times New Roman"/>
                <w:sz w:val="18"/>
                <w:szCs w:val="18"/>
                <w:lang w:val="en-GB" w:eastAsia="en-US"/>
              </w:rPr>
            </w:pPr>
            <w:r w:rsidRPr="0037604E">
              <w:rPr>
                <w:rFonts w:ascii="Cambria" w:eastAsia="Calibri" w:hAnsi="Cambria" w:cs="Times New Roman"/>
                <w:sz w:val="18"/>
                <w:szCs w:val="18"/>
                <w:lang w:val="en-GB" w:eastAsia="en-US"/>
              </w:rPr>
              <w:t>4,5285</w:t>
            </w:r>
          </w:p>
        </w:tc>
      </w:tr>
    </w:tbl>
    <w:p w:rsidR="0037604E" w:rsidRPr="0037604E" w:rsidRDefault="0037604E" w:rsidP="0037604E">
      <w:pPr>
        <w:spacing w:after="0" w:line="240" w:lineRule="auto"/>
        <w:ind w:firstLine="0"/>
        <w:rPr>
          <w:rFonts w:ascii="Cambria" w:eastAsia="Times New Roman" w:hAnsi="Cambria" w:cs="Times New Roman"/>
          <w:sz w:val="24"/>
          <w:szCs w:val="24"/>
          <w:lang w:val="en-GB"/>
        </w:rPr>
      </w:pPr>
    </w:p>
    <w:p w:rsidR="0037604E" w:rsidRPr="0037604E" w:rsidRDefault="0037604E" w:rsidP="0037604E">
      <w:pPr>
        <w:spacing w:after="0" w:line="240" w:lineRule="auto"/>
        <w:jc w:val="center"/>
        <w:rPr>
          <w:rFonts w:ascii="Cambria" w:eastAsia="Times New Roman" w:hAnsi="Cambria" w:cs="Times New Roman"/>
          <w:b/>
          <w:i/>
          <w:sz w:val="16"/>
          <w:szCs w:val="16"/>
          <w:lang w:val="en-GB"/>
        </w:rPr>
      </w:pPr>
    </w:p>
    <w:p w:rsidR="0037604E" w:rsidRPr="0037604E" w:rsidRDefault="0037604E" w:rsidP="0037604E">
      <w:pPr>
        <w:spacing w:after="0" w:line="240" w:lineRule="auto"/>
        <w:jc w:val="center"/>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rPr>
      </w:pPr>
      <w:r w:rsidRPr="0037604E">
        <w:rPr>
          <w:rFonts w:ascii="Cambria" w:eastAsia="Times New Roman" w:hAnsi="Cambria" w:cs="Times New Roman"/>
          <w:b/>
          <w:i/>
          <w:noProof/>
          <w:sz w:val="16"/>
          <w:szCs w:val="16"/>
          <w:lang w:val="ro-RO" w:eastAsia="ro-RO"/>
        </w:rPr>
        <mc:AlternateContent>
          <mc:Choice Requires="wps">
            <w:drawing>
              <wp:anchor distT="0" distB="0" distL="114300" distR="114300" simplePos="0" relativeHeight="251966464" behindDoc="0" locked="0" layoutInCell="1" allowOverlap="1" wp14:anchorId="7048C022" wp14:editId="31FFC2AD">
                <wp:simplePos x="0" y="0"/>
                <wp:positionH relativeFrom="column">
                  <wp:posOffset>2978150</wp:posOffset>
                </wp:positionH>
                <wp:positionV relativeFrom="paragraph">
                  <wp:posOffset>1555115</wp:posOffset>
                </wp:positionV>
                <wp:extent cx="736600" cy="222250"/>
                <wp:effectExtent l="0" t="0" r="25400" b="25400"/>
                <wp:wrapNone/>
                <wp:docPr id="16" name="Text Box 16"/>
                <wp:cNvGraphicFramePr/>
                <a:graphic xmlns:a="http://schemas.openxmlformats.org/drawingml/2006/main">
                  <a:graphicData uri="http://schemas.microsoft.com/office/word/2010/wordprocessingShape">
                    <wps:wsp>
                      <wps:cNvSpPr txBox="1"/>
                      <wps:spPr>
                        <a:xfrm>
                          <a:off x="0" y="0"/>
                          <a:ext cx="736600" cy="222250"/>
                        </a:xfrm>
                        <a:prstGeom prst="rect">
                          <a:avLst/>
                        </a:prstGeom>
                        <a:solidFill>
                          <a:sysClr val="window" lastClr="FFFFFF"/>
                        </a:solidFill>
                        <a:ln w="6350">
                          <a:solidFill>
                            <a:prstClr val="black"/>
                          </a:solidFill>
                        </a:ln>
                        <a:effectLst/>
                      </wps:spPr>
                      <wps:txbx>
                        <w:txbxContent>
                          <w:p w:rsidR="00CE3BCA" w:rsidRPr="00C52B81" w:rsidRDefault="00CE3BCA" w:rsidP="0037604E">
                            <w:pPr>
                              <w:ind w:firstLine="0"/>
                              <w:rPr>
                                <w:lang w:val="en-GB"/>
                              </w:rPr>
                            </w:pPr>
                            <w:r w:rsidRPr="00C52B81">
                              <w:rPr>
                                <w:sz w:val="16"/>
                                <w:szCs w:val="16"/>
                                <w:lang w:val="en-GB"/>
                              </w:rPr>
                              <w:t xml:space="preserve">Million </w:t>
                            </w:r>
                            <w:r>
                              <w:rPr>
                                <w:sz w:val="16"/>
                                <w:szCs w:val="16"/>
                                <w:lang w:val="en-GB"/>
                              </w:rPr>
                              <w:t>EUR</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8C022" id="Text Box 16" o:spid="_x0000_s1048" type="#_x0000_t202" style="position:absolute;left:0;text-align:left;margin-left:234.5pt;margin-top:122.45pt;width:58pt;height:1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" fillcolor="window" strokeweight=".5pt">
                <v:textbox inset="0,,0">
                  <w:txbxContent>
                    <w:p w:rsidR="00CE3BCA" w:rsidRPr="00C52B81" w:rsidRDefault="00CE3BCA" w:rsidP="0037604E">
                      <w:pPr>
                        <w:ind w:firstLine="0"/>
                        <w:rPr>
                          <w:lang w:val="en-GB"/>
                        </w:rPr>
                      </w:pPr>
                      <w:r w:rsidRPr="00C52B81">
                        <w:rPr>
                          <w:sz w:val="16"/>
                          <w:szCs w:val="16"/>
                          <w:lang w:val="en-GB"/>
                        </w:rPr>
                        <w:t xml:space="preserve">Million </w:t>
                      </w:r>
                      <w:r>
                        <w:rPr>
                          <w:sz w:val="16"/>
                          <w:szCs w:val="16"/>
                          <w:lang w:val="en-GB"/>
                        </w:rPr>
                        <w:t>EUR</w:t>
                      </w:r>
                    </w:p>
                  </w:txbxContent>
                </v:textbox>
              </v:shape>
            </w:pict>
          </mc:Fallback>
        </mc:AlternateContent>
      </w:r>
      <w:r w:rsidRPr="0037604E">
        <w:rPr>
          <w:rFonts w:ascii="Cambria" w:eastAsia="Times New Roman" w:hAnsi="Cambria" w:cs="Times New Roman"/>
          <w:b/>
          <w:i/>
          <w:noProof/>
          <w:sz w:val="16"/>
          <w:szCs w:val="16"/>
          <w:lang w:val="ro-RO" w:eastAsia="ro-RO"/>
        </w:rPr>
        <mc:AlternateContent>
          <mc:Choice Requires="wps">
            <w:drawing>
              <wp:anchor distT="0" distB="0" distL="114300" distR="114300" simplePos="0" relativeHeight="251965440" behindDoc="0" locked="0" layoutInCell="1" allowOverlap="1" wp14:anchorId="3BDC3719" wp14:editId="0A3A822B">
                <wp:simplePos x="0" y="0"/>
                <wp:positionH relativeFrom="column">
                  <wp:posOffset>2219960</wp:posOffset>
                </wp:positionH>
                <wp:positionV relativeFrom="paragraph">
                  <wp:posOffset>1562735</wp:posOffset>
                </wp:positionV>
                <wp:extent cx="565150" cy="209550"/>
                <wp:effectExtent l="0" t="0" r="25400" b="19050"/>
                <wp:wrapNone/>
                <wp:docPr id="25" name="Text Box 25"/>
                <wp:cNvGraphicFramePr/>
                <a:graphic xmlns:a="http://schemas.openxmlformats.org/drawingml/2006/main">
                  <a:graphicData uri="http://schemas.microsoft.com/office/word/2010/wordprocessingShape">
                    <wps:wsp>
                      <wps:cNvSpPr txBox="1"/>
                      <wps:spPr>
                        <a:xfrm>
                          <a:off x="0" y="0"/>
                          <a:ext cx="565150" cy="209550"/>
                        </a:xfrm>
                        <a:prstGeom prst="rect">
                          <a:avLst/>
                        </a:prstGeom>
                        <a:solidFill>
                          <a:sysClr val="window" lastClr="FFFFFF"/>
                        </a:solidFill>
                        <a:ln w="6350">
                          <a:solidFill>
                            <a:prstClr val="black"/>
                          </a:solidFill>
                        </a:ln>
                        <a:effectLst/>
                      </wps:spPr>
                      <wps:txbx>
                        <w:txbxContent>
                          <w:p w:rsidR="00CE3BCA" w:rsidRPr="00C52B81" w:rsidRDefault="00CE3BCA" w:rsidP="0037604E">
                            <w:pPr>
                              <w:ind w:firstLine="0"/>
                              <w:rPr>
                                <w:lang w:val="en-GB"/>
                              </w:rPr>
                            </w:pPr>
                            <w:r w:rsidRPr="00C52B81">
                              <w:rPr>
                                <w:sz w:val="16"/>
                                <w:szCs w:val="16"/>
                                <w:lang w:val="en-GB"/>
                              </w:rPr>
                              <w:t xml:space="preserve">Million </w:t>
                            </w:r>
                            <w:r>
                              <w:rPr>
                                <w:sz w:val="16"/>
                                <w:szCs w:val="16"/>
                                <w:lang w:val="en-GB"/>
                              </w:rPr>
                              <w:t>RON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C3719" id="Text Box 25" o:spid="_x0000_s1049" type="#_x0000_t202" style="position:absolute;left:0;text-align:left;margin-left:174.8pt;margin-top:123.05pt;width:44.5pt;height:16.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" fillcolor="window" strokeweight=".5pt">
                <v:textbox inset="0,,0">
                  <w:txbxContent>
                    <w:p w:rsidR="00CE3BCA" w:rsidRPr="00C52B81" w:rsidRDefault="00CE3BCA" w:rsidP="0037604E">
                      <w:pPr>
                        <w:ind w:firstLine="0"/>
                        <w:rPr>
                          <w:lang w:val="en-GB"/>
                        </w:rPr>
                      </w:pPr>
                      <w:r w:rsidRPr="00C52B81">
                        <w:rPr>
                          <w:sz w:val="16"/>
                          <w:szCs w:val="16"/>
                          <w:lang w:val="en-GB"/>
                        </w:rPr>
                        <w:t xml:space="preserve">Million </w:t>
                      </w:r>
                      <w:r>
                        <w:rPr>
                          <w:sz w:val="16"/>
                          <w:szCs w:val="16"/>
                          <w:lang w:val="en-GB"/>
                        </w:rPr>
                        <w:t>RON</w:t>
                      </w:r>
                    </w:p>
                  </w:txbxContent>
                </v:textbox>
              </v:shape>
            </w:pict>
          </mc:Fallback>
        </mc:AlternateContent>
      </w:r>
      <w:r w:rsidRPr="0037604E">
        <w:rPr>
          <w:rFonts w:asciiTheme="majorHAnsi" w:hAnsiTheme="majorHAnsi"/>
          <w:noProof/>
          <w:lang w:val="ro-RO" w:eastAsia="ro-RO"/>
        </w:rPr>
        <w:drawing>
          <wp:inline distT="0" distB="0" distL="0" distR="0" wp14:anchorId="01A05510" wp14:editId="7EEBE514">
            <wp:extent cx="4284324" cy="1777429"/>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center"/>
        <w:rPr>
          <w:rFonts w:ascii="Cambria" w:eastAsia="Times New Roman" w:hAnsi="Cambria" w:cs="Times New Roman"/>
          <w:sz w:val="24"/>
          <w:szCs w:val="24"/>
          <w:lang w:val="en-GB"/>
        </w:rPr>
      </w:pPr>
      <w:r w:rsidRPr="0037604E">
        <w:rPr>
          <w:rFonts w:ascii="Cambria" w:eastAsia="Times New Roman" w:hAnsi="Cambria" w:cs="Times New Roman"/>
          <w:b/>
          <w:i/>
          <w:sz w:val="16"/>
          <w:szCs w:val="16"/>
          <w:lang w:val="en-GB"/>
        </w:rPr>
        <w:t>Chart  51– Evolution of  Transgaz market capitalization in 2016 as compared with 2015</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Following the market capitalization values recorded by the company, BSE ranked </w:t>
      </w:r>
      <w:r w:rsidRPr="0037604E">
        <w:rPr>
          <w:rFonts w:ascii="Cambria" w:eastAsia="Times New Roman" w:hAnsi="Cambria" w:cs="Times New Roman"/>
          <w:b/>
          <w:sz w:val="24"/>
          <w:szCs w:val="24"/>
          <w:lang w:val="en-GB"/>
        </w:rPr>
        <w:t>Transgaz 9th in the Top 15 issuers by market capitalization</w:t>
      </w:r>
      <w:r w:rsidRPr="0037604E">
        <w:rPr>
          <w:rFonts w:ascii="Cambria" w:eastAsia="Times New Roman" w:hAnsi="Cambria" w:cs="Times New Roman"/>
          <w:sz w:val="24"/>
          <w:szCs w:val="24"/>
          <w:lang w:val="en-GB"/>
        </w:rPr>
        <w:t>, ahead of energy companies such as Nuclearelectrica and Transelectrica.</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hd w:val="clear" w:color="auto" w:fill="F2F2F2"/>
        <w:spacing w:after="0" w:line="240" w:lineRule="auto"/>
        <w:ind w:firstLine="0"/>
        <w:rPr>
          <w:rFonts w:ascii="Cambria" w:eastAsia="Times New Roman" w:hAnsi="Cambria" w:cs="Times New Roman"/>
          <w:b/>
          <w:sz w:val="24"/>
          <w:szCs w:val="24"/>
          <w:lang w:val="en-GB"/>
        </w:rPr>
      </w:pPr>
      <w:r w:rsidRPr="0037604E">
        <w:rPr>
          <w:rFonts w:ascii="Cambria" w:eastAsia="Times New Roman" w:hAnsi="Cambria" w:cs="Times New Roman"/>
          <w:b/>
          <w:sz w:val="24"/>
          <w:szCs w:val="24"/>
          <w:lang w:val="en-GB"/>
        </w:rPr>
        <w:t xml:space="preserve">Shareholding structure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Cambria" w:eastAsia="Times New Roman" w:hAnsi="Cambria" w:cs="Times New Roman"/>
          <w:sz w:val="24"/>
          <w:szCs w:val="24"/>
          <w:lang w:val="en-GB"/>
        </w:rPr>
        <w:t xml:space="preserve">According to GEO no. 55/19.11.2015 on measures to reorganize the central public administration, amending and supplementing certain normative acts, </w:t>
      </w:r>
      <w:r w:rsidRPr="0037604E">
        <w:rPr>
          <w:rFonts w:ascii="Cambria" w:eastAsia="Times New Roman" w:hAnsi="Cambria" w:cs="Times New Roman"/>
          <w:b/>
          <w:sz w:val="24"/>
          <w:szCs w:val="24"/>
          <w:lang w:val="en-GB"/>
        </w:rPr>
        <w:t xml:space="preserve">the Ministry of Economy, Trade and Business Environment </w:t>
      </w:r>
      <w:r w:rsidRPr="0037604E">
        <w:rPr>
          <w:rFonts w:ascii="Cambria" w:eastAsia="Times New Roman" w:hAnsi="Cambria" w:cs="Times New Roman"/>
          <w:sz w:val="24"/>
          <w:szCs w:val="24"/>
          <w:lang w:val="en-GB"/>
        </w:rPr>
        <w:t>was</w:t>
      </w:r>
      <w:r w:rsidRPr="0037604E">
        <w:rPr>
          <w:rFonts w:ascii="Cambria" w:eastAsia="Times New Roman" w:hAnsi="Cambria" w:cs="Times New Roman"/>
          <w:b/>
          <w:sz w:val="24"/>
          <w:szCs w:val="24"/>
          <w:lang w:val="en-GB"/>
        </w:rPr>
        <w:t xml:space="preserve"> </w:t>
      </w:r>
      <w:r w:rsidRPr="0037604E">
        <w:rPr>
          <w:rFonts w:ascii="Cambria" w:eastAsia="Times New Roman" w:hAnsi="Cambria" w:cs="Times New Roman"/>
          <w:sz w:val="24"/>
          <w:szCs w:val="24"/>
          <w:lang w:val="en-GB"/>
        </w:rPr>
        <w:t>created by the reorganization and taking over the activities of the Ministry of Economy, Commerce and Tourism</w:t>
      </w:r>
      <w:r w:rsidRPr="0037604E">
        <w:rPr>
          <w:rFonts w:ascii="Cambria" w:eastAsia="Times New Roman" w:hAnsi="Cambria" w:cs="Times New Roman"/>
          <w:b/>
          <w:sz w:val="24"/>
          <w:szCs w:val="24"/>
          <w:lang w:val="en-GB"/>
        </w:rPr>
        <w:t>.</w:t>
      </w:r>
      <w:r w:rsidRPr="0037604E">
        <w:rPr>
          <w:rFonts w:asciiTheme="majorHAnsi" w:eastAsia="Times New Roman" w:hAnsiTheme="majorHAnsi" w:cs="Times New Roman"/>
          <w:sz w:val="24"/>
          <w:szCs w:val="24"/>
          <w:lang w:val="ro-RO"/>
        </w:rPr>
        <w:t xml:space="preserve"> On 29.01.2016 the amending of the identification data of the account holder the Romanian State through the Ministry of Economy, Trade and Touism int the Ministry of Economy, Trade and realtions with the Business Environment was registered at S.C. Depozitarul Central S.A..</w:t>
      </w:r>
      <w:r w:rsidRPr="0037604E">
        <w:rPr>
          <w:rFonts w:asciiTheme="majorHAnsi" w:eastAsia="Times New Roman" w:hAnsiTheme="majorHAnsi" w:cs="Times New Roman"/>
          <w:sz w:val="24"/>
          <w:szCs w:val="24"/>
          <w:lang w:val="ro-RO" w:eastAsia="en-US"/>
        </w:rPr>
        <w:t xml:space="preserve">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en-US"/>
        </w:rPr>
      </w:pPr>
      <w:r w:rsidRPr="0037604E">
        <w:rPr>
          <w:rFonts w:asciiTheme="majorHAnsi" w:eastAsia="Times New Roman" w:hAnsiTheme="majorHAnsi" w:cs="Times New Roman"/>
          <w:sz w:val="24"/>
          <w:szCs w:val="24"/>
          <w:lang w:val="ro-RO" w:eastAsia="en-US"/>
        </w:rPr>
        <w:t>On 31.12.2016 the SNTGN Transgaz SA shareholding is as follows: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tbl>
      <w:tblPr>
        <w:tblpPr w:leftFromText="180" w:rightFromText="180" w:vertAnchor="text" w:horzAnchor="margin" w:tblpY="90"/>
        <w:tblW w:w="4918" w:type="pct"/>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5273"/>
        <w:gridCol w:w="1788"/>
        <w:gridCol w:w="1812"/>
      </w:tblGrid>
      <w:tr w:rsidR="0037604E" w:rsidRPr="0037604E" w:rsidTr="0037604E">
        <w:trPr>
          <w:tblCellSpacing w:w="20" w:type="dxa"/>
        </w:trPr>
        <w:tc>
          <w:tcPr>
            <w:tcW w:w="2992" w:type="pct"/>
            <w:shd w:val="clear" w:color="auto" w:fill="DBE5F1"/>
          </w:tcPr>
          <w:p w:rsidR="0037604E" w:rsidRPr="0037604E" w:rsidRDefault="0037604E" w:rsidP="0037604E">
            <w:pPr>
              <w:tabs>
                <w:tab w:val="left" w:pos="6750"/>
              </w:tabs>
              <w:spacing w:after="0" w:line="240" w:lineRule="auto"/>
              <w:ind w:firstLine="0"/>
              <w:rPr>
                <w:rFonts w:ascii="Cambria" w:eastAsia="Calibri" w:hAnsi="Cambria" w:cs="Times New Roman"/>
                <w:b/>
                <w:sz w:val="24"/>
                <w:szCs w:val="24"/>
                <w:lang w:val="en-GB"/>
              </w:rPr>
            </w:pPr>
            <w:r w:rsidRPr="0037604E">
              <w:rPr>
                <w:rFonts w:ascii="Cambria" w:eastAsia="Calibri" w:hAnsi="Cambria" w:cs="Times New Roman"/>
                <w:b/>
                <w:sz w:val="24"/>
                <w:szCs w:val="24"/>
                <w:lang w:val="en-GB"/>
              </w:rPr>
              <w:t>Shareholder name</w:t>
            </w:r>
          </w:p>
        </w:tc>
        <w:tc>
          <w:tcPr>
            <w:tcW w:w="967" w:type="pct"/>
            <w:shd w:val="clear" w:color="auto" w:fill="DBE5F1"/>
          </w:tcPr>
          <w:p w:rsidR="0037604E" w:rsidRPr="0037604E" w:rsidRDefault="0037604E" w:rsidP="0037604E">
            <w:pPr>
              <w:tabs>
                <w:tab w:val="left" w:pos="6750"/>
              </w:tabs>
              <w:spacing w:after="0" w:line="240" w:lineRule="auto"/>
              <w:ind w:firstLine="0"/>
              <w:rPr>
                <w:rFonts w:ascii="Cambria" w:eastAsia="Calibri" w:hAnsi="Cambria" w:cs="Times New Roman"/>
                <w:b/>
                <w:sz w:val="24"/>
                <w:szCs w:val="24"/>
                <w:lang w:val="en-GB"/>
              </w:rPr>
            </w:pPr>
            <w:r w:rsidRPr="0037604E">
              <w:rPr>
                <w:rFonts w:ascii="Cambria" w:eastAsia="Calibri" w:hAnsi="Cambria" w:cs="Times New Roman"/>
                <w:b/>
                <w:sz w:val="24"/>
                <w:szCs w:val="24"/>
                <w:lang w:val="en-GB"/>
              </w:rPr>
              <w:t>Number of shares</w:t>
            </w:r>
          </w:p>
        </w:tc>
        <w:tc>
          <w:tcPr>
            <w:tcW w:w="954" w:type="pct"/>
            <w:shd w:val="clear" w:color="auto" w:fill="DBE5F1"/>
          </w:tcPr>
          <w:p w:rsidR="0037604E" w:rsidRPr="0037604E" w:rsidRDefault="0037604E" w:rsidP="0037604E">
            <w:pPr>
              <w:tabs>
                <w:tab w:val="left" w:pos="6750"/>
              </w:tabs>
              <w:spacing w:after="0" w:line="240" w:lineRule="auto"/>
              <w:ind w:firstLine="0"/>
              <w:jc w:val="center"/>
              <w:rPr>
                <w:rFonts w:ascii="Cambria" w:eastAsia="Calibri" w:hAnsi="Cambria" w:cs="Times New Roman"/>
                <w:b/>
                <w:sz w:val="24"/>
                <w:szCs w:val="24"/>
                <w:lang w:val="en-GB"/>
              </w:rPr>
            </w:pPr>
            <w:r w:rsidRPr="0037604E">
              <w:rPr>
                <w:rFonts w:ascii="Cambria" w:eastAsia="Calibri" w:hAnsi="Cambria" w:cs="Times New Roman"/>
                <w:b/>
                <w:sz w:val="24"/>
                <w:szCs w:val="24"/>
                <w:lang w:val="en-GB"/>
              </w:rPr>
              <w:t>Percentage %</w:t>
            </w:r>
          </w:p>
        </w:tc>
      </w:tr>
      <w:tr w:rsidR="0037604E" w:rsidRPr="0037604E" w:rsidTr="0037604E">
        <w:trPr>
          <w:tblCellSpacing w:w="20" w:type="dxa"/>
        </w:trPr>
        <w:tc>
          <w:tcPr>
            <w:tcW w:w="2992" w:type="pct"/>
            <w:shd w:val="clear" w:color="auto" w:fill="auto"/>
          </w:tcPr>
          <w:p w:rsidR="0037604E" w:rsidRPr="0037604E" w:rsidRDefault="0037604E" w:rsidP="0037604E">
            <w:pPr>
              <w:spacing w:after="0" w:line="240" w:lineRule="auto"/>
              <w:ind w:firstLine="0"/>
              <w:rPr>
                <w:rFonts w:ascii="Cambria" w:eastAsia="Calibri" w:hAnsi="Cambria" w:cs="Times New Roman"/>
                <w:b/>
                <w:sz w:val="24"/>
                <w:szCs w:val="24"/>
                <w:lang w:val="en-GB"/>
              </w:rPr>
            </w:pPr>
            <w:r w:rsidRPr="0037604E">
              <w:rPr>
                <w:rFonts w:ascii="Cambria" w:eastAsia="Times New Roman" w:hAnsi="Cambria" w:cs="Times New Roman"/>
                <w:sz w:val="24"/>
                <w:szCs w:val="24"/>
                <w:lang w:val="en-GB"/>
              </w:rPr>
              <w:t xml:space="preserve">The Romanian State represented by the Ministry of Economy, Trade and Tourism </w:t>
            </w:r>
          </w:p>
        </w:tc>
        <w:tc>
          <w:tcPr>
            <w:tcW w:w="967" w:type="pct"/>
            <w:shd w:val="clear" w:color="auto" w:fill="auto"/>
            <w:vAlign w:val="bottom"/>
          </w:tcPr>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6,888,840</w:t>
            </w:r>
          </w:p>
        </w:tc>
        <w:tc>
          <w:tcPr>
            <w:tcW w:w="954" w:type="pct"/>
            <w:shd w:val="clear" w:color="auto" w:fill="auto"/>
            <w:vAlign w:val="bottom"/>
          </w:tcPr>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58.5097</w:t>
            </w:r>
          </w:p>
        </w:tc>
      </w:tr>
      <w:tr w:rsidR="0037604E" w:rsidRPr="0037604E" w:rsidTr="0037604E">
        <w:trPr>
          <w:tblCellSpacing w:w="20" w:type="dxa"/>
        </w:trPr>
        <w:tc>
          <w:tcPr>
            <w:tcW w:w="2992" w:type="pct"/>
            <w:shd w:val="clear" w:color="auto" w:fill="auto"/>
          </w:tcPr>
          <w:p w:rsidR="0037604E" w:rsidRPr="0037604E" w:rsidRDefault="0037604E" w:rsidP="0037604E">
            <w:pPr>
              <w:spacing w:after="0" w:line="240" w:lineRule="auto"/>
              <w:ind w:firstLine="0"/>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Free float – Other shareholders  of wich:</w:t>
            </w:r>
          </w:p>
          <w:p w:rsidR="0037604E" w:rsidRPr="0037604E" w:rsidRDefault="0037604E" w:rsidP="0037604E">
            <w:pPr>
              <w:spacing w:after="0" w:line="240" w:lineRule="auto"/>
              <w:ind w:firstLine="0"/>
              <w:jc w:val="right"/>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lastRenderedPageBreak/>
              <w:t xml:space="preserve">natural persons </w:t>
            </w:r>
          </w:p>
          <w:p w:rsidR="0037604E" w:rsidRPr="0037604E" w:rsidRDefault="0037604E" w:rsidP="0037604E">
            <w:pPr>
              <w:spacing w:after="0" w:line="240" w:lineRule="auto"/>
              <w:ind w:firstLine="0"/>
              <w:jc w:val="right"/>
              <w:rPr>
                <w:rFonts w:ascii="Cambria" w:eastAsia="Calibri" w:hAnsi="Cambria" w:cs="Times New Roman"/>
                <w:b/>
                <w:sz w:val="24"/>
                <w:szCs w:val="24"/>
                <w:lang w:val="en-GB"/>
              </w:rPr>
            </w:pPr>
            <w:r w:rsidRPr="0037604E">
              <w:rPr>
                <w:rFonts w:ascii="Cambria" w:eastAsia="Times New Roman" w:hAnsi="Cambria" w:cs="Times New Roman"/>
                <w:sz w:val="24"/>
                <w:szCs w:val="24"/>
                <w:lang w:val="en-GB"/>
              </w:rPr>
              <w:t>legal persons</w:t>
            </w:r>
          </w:p>
        </w:tc>
        <w:tc>
          <w:tcPr>
            <w:tcW w:w="967" w:type="pct"/>
            <w:shd w:val="clear" w:color="auto" w:fill="auto"/>
            <w:vAlign w:val="bottom"/>
          </w:tcPr>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lastRenderedPageBreak/>
              <w:t>4,885,004</w:t>
            </w:r>
          </w:p>
          <w:p w:rsidR="0037604E" w:rsidRPr="0037604E" w:rsidRDefault="0037604E" w:rsidP="0037604E">
            <w:pPr>
              <w:tabs>
                <w:tab w:val="left" w:pos="6750"/>
              </w:tabs>
              <w:spacing w:after="0" w:line="240" w:lineRule="auto"/>
              <w:ind w:firstLine="0"/>
              <w:jc w:val="right"/>
              <w:rPr>
                <w:rFonts w:asciiTheme="majorHAnsi" w:eastAsia="Calibri" w:hAnsiTheme="majorHAnsi" w:cs="Times New Roman"/>
                <w:lang w:val="ro-RO" w:eastAsia="en-US"/>
              </w:rPr>
            </w:pPr>
            <w:r w:rsidRPr="0037604E">
              <w:rPr>
                <w:rFonts w:asciiTheme="majorHAnsi" w:eastAsia="Calibri" w:hAnsiTheme="majorHAnsi" w:cs="Times New Roman"/>
                <w:lang w:val="ro-RO" w:eastAsia="en-US"/>
              </w:rPr>
              <w:lastRenderedPageBreak/>
              <w:t>881.712</w:t>
            </w:r>
          </w:p>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Theme="majorHAnsi" w:eastAsia="Calibri" w:hAnsiTheme="majorHAnsi" w:cs="Times New Roman"/>
                <w:lang w:val="ro-RO" w:eastAsia="en-US"/>
              </w:rPr>
              <w:t>4.003.292</w:t>
            </w:r>
          </w:p>
        </w:tc>
        <w:tc>
          <w:tcPr>
            <w:tcW w:w="954" w:type="pct"/>
            <w:shd w:val="clear" w:color="auto" w:fill="auto"/>
            <w:vAlign w:val="bottom"/>
          </w:tcPr>
          <w:p w:rsidR="0037604E" w:rsidRPr="0037604E" w:rsidRDefault="0037604E" w:rsidP="0037604E">
            <w:pPr>
              <w:tabs>
                <w:tab w:val="left" w:pos="6750"/>
              </w:tabs>
              <w:spacing w:after="0" w:line="240" w:lineRule="auto"/>
              <w:ind w:firstLine="0"/>
              <w:jc w:val="right"/>
              <w:rPr>
                <w:rFonts w:asciiTheme="majorHAnsi" w:eastAsia="Calibri" w:hAnsiTheme="majorHAnsi" w:cs="Times New Roman"/>
                <w:lang w:val="ro-RO" w:eastAsia="en-US"/>
              </w:rPr>
            </w:pPr>
            <w:r w:rsidRPr="0037604E">
              <w:rPr>
                <w:rFonts w:asciiTheme="majorHAnsi" w:hAnsiTheme="majorHAnsi"/>
                <w:lang w:val="ro-RO"/>
              </w:rPr>
              <w:lastRenderedPageBreak/>
              <w:t>41,4903</w:t>
            </w:r>
          </w:p>
          <w:p w:rsidR="0037604E" w:rsidRPr="0037604E" w:rsidRDefault="0037604E" w:rsidP="0037604E">
            <w:pPr>
              <w:tabs>
                <w:tab w:val="left" w:pos="6750"/>
              </w:tabs>
              <w:spacing w:after="0" w:line="240" w:lineRule="auto"/>
              <w:ind w:firstLine="0"/>
              <w:jc w:val="right"/>
              <w:rPr>
                <w:rFonts w:asciiTheme="majorHAnsi" w:eastAsia="Calibri" w:hAnsiTheme="majorHAnsi" w:cs="Times New Roman"/>
                <w:lang w:val="ro-RO" w:eastAsia="en-US"/>
              </w:rPr>
            </w:pPr>
            <w:r w:rsidRPr="0037604E">
              <w:rPr>
                <w:rFonts w:asciiTheme="majorHAnsi" w:eastAsia="Calibri" w:hAnsiTheme="majorHAnsi" w:cs="Times New Roman"/>
                <w:lang w:val="ro-RO" w:eastAsia="en-US"/>
              </w:rPr>
              <w:lastRenderedPageBreak/>
              <w:t>7,4887</w:t>
            </w:r>
          </w:p>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Theme="majorHAnsi" w:eastAsia="Calibri" w:hAnsiTheme="majorHAnsi" w:cs="Times New Roman"/>
                <w:lang w:val="ro-RO" w:eastAsia="en-US"/>
              </w:rPr>
              <w:t>34,0016</w:t>
            </w:r>
          </w:p>
        </w:tc>
      </w:tr>
      <w:tr w:rsidR="0037604E" w:rsidRPr="0037604E" w:rsidTr="0037604E">
        <w:trPr>
          <w:tblCellSpacing w:w="20" w:type="dxa"/>
        </w:trPr>
        <w:tc>
          <w:tcPr>
            <w:tcW w:w="2992" w:type="pct"/>
            <w:shd w:val="clear" w:color="auto" w:fill="auto"/>
          </w:tcPr>
          <w:p w:rsidR="0037604E" w:rsidRPr="0037604E" w:rsidRDefault="0037604E" w:rsidP="0037604E">
            <w:pPr>
              <w:spacing w:after="0" w:line="240" w:lineRule="auto"/>
              <w:ind w:firstLine="0"/>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lastRenderedPageBreak/>
              <w:t>Total</w:t>
            </w:r>
          </w:p>
        </w:tc>
        <w:tc>
          <w:tcPr>
            <w:tcW w:w="967" w:type="pct"/>
            <w:shd w:val="clear" w:color="auto" w:fill="auto"/>
            <w:vAlign w:val="bottom"/>
          </w:tcPr>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11,773,844</w:t>
            </w:r>
          </w:p>
        </w:tc>
        <w:tc>
          <w:tcPr>
            <w:tcW w:w="954" w:type="pct"/>
            <w:shd w:val="clear" w:color="auto" w:fill="auto"/>
            <w:vAlign w:val="bottom"/>
          </w:tcPr>
          <w:p w:rsidR="0037604E" w:rsidRPr="0037604E" w:rsidRDefault="0037604E" w:rsidP="0037604E">
            <w:pPr>
              <w:tabs>
                <w:tab w:val="left" w:pos="6750"/>
              </w:tabs>
              <w:spacing w:after="0" w:line="240" w:lineRule="auto"/>
              <w:jc w:val="right"/>
              <w:rPr>
                <w:rFonts w:ascii="Cambria" w:eastAsia="Calibri" w:hAnsi="Cambria" w:cs="Times New Roman"/>
                <w:sz w:val="24"/>
                <w:szCs w:val="24"/>
                <w:lang w:val="en-GB"/>
              </w:rPr>
            </w:pPr>
            <w:r w:rsidRPr="0037604E">
              <w:rPr>
                <w:rFonts w:ascii="Cambria" w:eastAsia="Calibri" w:hAnsi="Cambria" w:cs="Times New Roman"/>
                <w:sz w:val="24"/>
                <w:szCs w:val="24"/>
                <w:lang w:val="en-GB"/>
              </w:rPr>
              <w:t>100.00</w:t>
            </w:r>
          </w:p>
        </w:tc>
      </w:tr>
    </w:tbl>
    <w:p w:rsidR="0037604E" w:rsidRPr="0037604E" w:rsidRDefault="00E80C4A" w:rsidP="0037604E">
      <w:pPr>
        <w:spacing w:after="0" w:line="240" w:lineRule="auto"/>
        <w:ind w:firstLine="0"/>
        <w:jc w:val="center"/>
        <w:rPr>
          <w:rFonts w:ascii="Cambria" w:eastAsia="Times New Roman" w:hAnsi="Cambria" w:cs="Times New Roman"/>
          <w:b/>
          <w:i/>
          <w:sz w:val="20"/>
          <w:szCs w:val="20"/>
          <w:lang w:val="en-GB"/>
        </w:rPr>
      </w:pPr>
      <w:r>
        <w:rPr>
          <w:rFonts w:ascii="Cambria" w:eastAsia="Times New Roman" w:hAnsi="Cambria" w:cs="Times New Roman"/>
          <w:b/>
          <w:i/>
          <w:sz w:val="20"/>
          <w:szCs w:val="20"/>
          <w:lang w:val="en-GB"/>
        </w:rPr>
        <w:t>Table 37</w:t>
      </w:r>
      <w:r w:rsidR="0037604E" w:rsidRPr="0037604E">
        <w:rPr>
          <w:rFonts w:ascii="Cambria" w:eastAsia="Times New Roman" w:hAnsi="Cambria" w:cs="Times New Roman"/>
          <w:b/>
          <w:i/>
          <w:sz w:val="20"/>
          <w:szCs w:val="20"/>
          <w:lang w:val="en-GB"/>
        </w:rPr>
        <w:t xml:space="preserve"> – Transgaz shareholding on 31.12.2016</w:t>
      </w:r>
    </w:p>
    <w:p w:rsidR="0037604E" w:rsidRPr="0037604E" w:rsidRDefault="0037604E" w:rsidP="0037604E">
      <w:pPr>
        <w:spacing w:after="0" w:line="240" w:lineRule="auto"/>
        <w:ind w:firstLine="0"/>
        <w:jc w:val="both"/>
        <w:rPr>
          <w:rFonts w:ascii="Cambria" w:eastAsia="Calibri" w:hAnsi="Cambria" w:cs="Times New Roman"/>
          <w:sz w:val="24"/>
          <w:szCs w:val="24"/>
          <w:lang w:val="en-GB"/>
        </w:rPr>
      </w:pPr>
    </w:p>
    <w:p w:rsidR="0037604E" w:rsidRPr="0037604E" w:rsidRDefault="0037604E" w:rsidP="0037604E">
      <w:pPr>
        <w:spacing w:after="0" w:line="240" w:lineRule="auto"/>
        <w:ind w:firstLine="0"/>
        <w:jc w:val="both"/>
        <w:rPr>
          <w:rFonts w:ascii="Cambria" w:eastAsia="Calibri" w:hAnsi="Cambria" w:cs="Times New Roman"/>
          <w:b/>
          <w:sz w:val="24"/>
          <w:szCs w:val="24"/>
          <w:lang w:val="en-GB"/>
        </w:rPr>
      </w:pPr>
      <w:r w:rsidRPr="0037604E">
        <w:rPr>
          <w:rFonts w:ascii="Cambria" w:eastAsia="Calibri" w:hAnsi="Cambria" w:cs="Times New Roman"/>
          <w:b/>
          <w:sz w:val="24"/>
          <w:szCs w:val="24"/>
          <w:lang w:val="en-GB"/>
        </w:rPr>
        <w:t xml:space="preserve">Evolution of the number of shareholders: </w:t>
      </w:r>
    </w:p>
    <w:p w:rsidR="0037604E" w:rsidRPr="0037604E" w:rsidRDefault="0037604E" w:rsidP="0037604E">
      <w:pPr>
        <w:spacing w:after="0" w:line="240" w:lineRule="auto"/>
        <w:jc w:val="both"/>
        <w:rPr>
          <w:rFonts w:ascii="Cambria" w:eastAsia="Calibri" w:hAnsi="Cambria" w:cs="Times New Roman"/>
          <w:b/>
          <w:sz w:val="24"/>
          <w:szCs w:val="24"/>
          <w:lang w:val="en-GB"/>
        </w:rPr>
      </w:pPr>
    </w:p>
    <w:p w:rsidR="0037604E" w:rsidRPr="0037604E" w:rsidRDefault="0037604E" w:rsidP="0037604E">
      <w:pPr>
        <w:spacing w:after="0" w:line="240" w:lineRule="auto"/>
        <w:ind w:firstLine="0"/>
        <w:jc w:val="both"/>
        <w:rPr>
          <w:rFonts w:ascii="Cambria" w:eastAsia="Calibri" w:hAnsi="Cambria" w:cs="Times New Roman"/>
          <w:sz w:val="24"/>
          <w:szCs w:val="24"/>
          <w:lang w:val="en-GB"/>
        </w:rPr>
      </w:pPr>
      <w:r w:rsidRPr="0037604E">
        <w:rPr>
          <w:rFonts w:ascii="Cambria" w:eastAsia="Calibri" w:hAnsi="Cambria" w:cs="Times New Roman"/>
          <w:sz w:val="24"/>
          <w:szCs w:val="24"/>
          <w:lang w:val="en-GB"/>
        </w:rPr>
        <w:t xml:space="preserve">As regards the number of shareholders, it oscillated throughout the period from listing until the present, therefore at the date of 31.12.2016, Transgaz had a number of 7,619 shareholders, </w:t>
      </w:r>
      <w:r w:rsidRPr="0037604E">
        <w:rPr>
          <w:rFonts w:asciiTheme="majorHAnsi" w:eastAsia="Calibri" w:hAnsiTheme="majorHAnsi" w:cs="Times New Roman"/>
          <w:sz w:val="24"/>
          <w:szCs w:val="24"/>
          <w:lang w:val="ro-RO"/>
        </w:rPr>
        <w:t>4,33% (345</w:t>
      </w:r>
      <w:r w:rsidRPr="0037604E">
        <w:rPr>
          <w:rFonts w:asciiTheme="majorHAnsi" w:hAnsiTheme="majorHAnsi"/>
          <w:sz w:val="24"/>
          <w:lang w:val="ro-RO"/>
        </w:rPr>
        <w:t xml:space="preserve"> </w:t>
      </w:r>
      <w:r w:rsidRPr="0037604E">
        <w:rPr>
          <w:rFonts w:ascii="Cambria" w:eastAsia="Calibri" w:hAnsi="Cambria" w:cs="Times New Roman"/>
          <w:sz w:val="24"/>
          <w:szCs w:val="24"/>
          <w:lang w:val="en-GB"/>
        </w:rPr>
        <w:t xml:space="preserve">shareholders) less as compared with the end of 2015 when </w:t>
      </w:r>
      <w:r w:rsidRPr="0037604E">
        <w:rPr>
          <w:rFonts w:asciiTheme="majorHAnsi" w:eastAsia="Times New Roman" w:hAnsiTheme="majorHAnsi" w:cs="Times New Roman"/>
          <w:sz w:val="24"/>
          <w:szCs w:val="24"/>
          <w:lang w:val="ro-RO"/>
        </w:rPr>
        <w:t>7.964</w:t>
      </w:r>
      <w:r w:rsidRPr="0037604E">
        <w:rPr>
          <w:rFonts w:asciiTheme="majorHAnsi" w:hAnsiTheme="majorHAnsi"/>
          <w:sz w:val="24"/>
          <w:lang w:val="ro-RO"/>
        </w:rPr>
        <w:t xml:space="preserve"> </w:t>
      </w:r>
      <w:r w:rsidRPr="0037604E">
        <w:rPr>
          <w:rFonts w:ascii="Cambria" w:eastAsia="Calibri" w:hAnsi="Cambria" w:cs="Times New Roman"/>
          <w:sz w:val="24"/>
          <w:szCs w:val="24"/>
          <w:lang w:val="en-GB"/>
        </w:rPr>
        <w:t xml:space="preserve">shareholders were registered. </w:t>
      </w:r>
    </w:p>
    <w:bookmarkEnd w:id="63"/>
    <w:p w:rsidR="0037604E" w:rsidRPr="0037604E" w:rsidRDefault="0037604E" w:rsidP="0037604E">
      <w:pPr>
        <w:spacing w:after="0" w:line="240" w:lineRule="auto"/>
        <w:jc w:val="both"/>
        <w:rPr>
          <w:rFonts w:ascii="Cambria" w:eastAsia="Calibri" w:hAnsi="Cambria" w:cs="Times New Roman"/>
          <w:sz w:val="24"/>
          <w:szCs w:val="24"/>
          <w:lang w:val="en-GB"/>
        </w:rPr>
      </w:pPr>
    </w:p>
    <w:p w:rsidR="0037604E" w:rsidRPr="0037604E" w:rsidRDefault="0037604E" w:rsidP="0037604E">
      <w:pPr>
        <w:spacing w:after="0" w:line="240" w:lineRule="auto"/>
        <w:jc w:val="both"/>
        <w:rPr>
          <w:rFonts w:ascii="Cambria" w:eastAsia="Calibri" w:hAnsi="Cambria" w:cs="Times New Roman"/>
          <w:sz w:val="24"/>
          <w:szCs w:val="24"/>
          <w:lang w:val="en-GB"/>
        </w:rPr>
      </w:pPr>
      <w:r w:rsidRPr="0037604E">
        <w:rPr>
          <w:rFonts w:ascii="Cambria" w:eastAsia="Calibri" w:hAnsi="Cambria" w:cs="Times New Roman"/>
          <w:noProof/>
          <w:sz w:val="24"/>
          <w:szCs w:val="24"/>
          <w:lang w:val="ro-RO" w:eastAsia="ro-RO"/>
        </w:rPr>
        <mc:AlternateContent>
          <mc:Choice Requires="wps">
            <w:drawing>
              <wp:anchor distT="0" distB="0" distL="114300" distR="114300" simplePos="0" relativeHeight="251967488" behindDoc="0" locked="0" layoutInCell="1" allowOverlap="1" wp14:anchorId="3AC03F28" wp14:editId="7C43AF87">
                <wp:simplePos x="0" y="0"/>
                <wp:positionH relativeFrom="column">
                  <wp:posOffset>2813050</wp:posOffset>
                </wp:positionH>
                <wp:positionV relativeFrom="paragraph">
                  <wp:posOffset>1384300</wp:posOffset>
                </wp:positionV>
                <wp:extent cx="1536700" cy="241300"/>
                <wp:effectExtent l="0" t="0" r="6350" b="6350"/>
                <wp:wrapNone/>
                <wp:docPr id="26" name="Text Box 26"/>
                <wp:cNvGraphicFramePr/>
                <a:graphic xmlns:a="http://schemas.openxmlformats.org/drawingml/2006/main">
                  <a:graphicData uri="http://schemas.microsoft.com/office/word/2010/wordprocessingShape">
                    <wps:wsp>
                      <wps:cNvSpPr txBox="1"/>
                      <wps:spPr>
                        <a:xfrm>
                          <a:off x="0" y="0"/>
                          <a:ext cx="1536700" cy="241300"/>
                        </a:xfrm>
                        <a:prstGeom prst="rect">
                          <a:avLst/>
                        </a:prstGeom>
                        <a:solidFill>
                          <a:sysClr val="window" lastClr="FFFFFF"/>
                        </a:solidFill>
                        <a:ln w="6350">
                          <a:noFill/>
                        </a:ln>
                        <a:effectLst/>
                      </wps:spPr>
                      <wps:txbx>
                        <w:txbxContent>
                          <w:p w:rsidR="00CE3BCA" w:rsidRPr="00262175" w:rsidRDefault="00CE3BCA" w:rsidP="0037604E">
                            <w:pPr>
                              <w:ind w:firstLine="0"/>
                              <w:rPr>
                                <w:sz w:val="16"/>
                                <w:szCs w:val="16"/>
                                <w:lang w:val="en-GB"/>
                                <w14:textOutline w14:w="9525" w14:cap="rnd" w14:cmpd="sng" w14:algn="ctr">
                                  <w14:noFill/>
                                  <w14:prstDash w14:val="solid"/>
                                  <w14:bevel/>
                                </w14:textOutline>
                              </w:rPr>
                            </w:pPr>
                            <w:r w:rsidRPr="00262175">
                              <w:rPr>
                                <w:sz w:val="16"/>
                                <w:szCs w:val="16"/>
                                <w:lang w:val="en-GB"/>
                                <w14:textOutline w14:w="9525" w14:cap="rnd" w14:cmpd="sng" w14:algn="ctr">
                                  <w14:noFill/>
                                  <w14:prstDash w14:val="solid"/>
                                  <w14:bevel/>
                                </w14:textOutline>
                              </w:rPr>
                              <w:t>No. of shareholders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C03F28" id="Text Box 26" o:spid="_x0000_s1050" type="#_x0000_t202" style="position:absolute;left:0;text-align:left;margin-left:221.5pt;margin-top:109pt;width:121pt;height:19pt;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" fillcolor="window" stroked="f" strokeweight=".5pt">
                <v:textbox>
                  <w:txbxContent>
                    <w:p w:rsidR="00CE3BCA" w:rsidRPr="00262175" w:rsidRDefault="00CE3BCA" w:rsidP="0037604E">
                      <w:pPr>
                        <w:ind w:firstLine="0"/>
                        <w:rPr>
                          <w:sz w:val="16"/>
                          <w:szCs w:val="16"/>
                          <w:lang w:val="en-GB"/>
                          <w14:textOutline w14:w="9525" w14:cap="rnd" w14:cmpd="sng" w14:algn="ctr">
                            <w14:noFill/>
                            <w14:prstDash w14:val="solid"/>
                            <w14:bevel/>
                          </w14:textOutline>
                        </w:rPr>
                      </w:pPr>
                      <w:r w:rsidRPr="00262175">
                        <w:rPr>
                          <w:sz w:val="16"/>
                          <w:szCs w:val="16"/>
                          <w:lang w:val="en-GB"/>
                          <w14:textOutline w14:w="9525" w14:cap="rnd" w14:cmpd="sng" w14:algn="ctr">
                            <w14:noFill/>
                            <w14:prstDash w14:val="solid"/>
                            <w14:bevel/>
                          </w14:textOutline>
                        </w:rPr>
                        <w:t>No. of shareholders</w:t>
                      </w:r>
                    </w:p>
                  </w:txbxContent>
                </v:textbox>
              </v:shape>
            </w:pict>
          </mc:Fallback>
        </mc:AlternateContent>
      </w:r>
      <w:r w:rsidRPr="0037604E">
        <w:rPr>
          <w:rFonts w:asciiTheme="majorHAnsi" w:hAnsiTheme="majorHAnsi"/>
          <w:noProof/>
          <w:lang w:val="ro-RO" w:eastAsia="ro-RO"/>
        </w:rPr>
        <w:drawing>
          <wp:inline distT="0" distB="0" distL="0" distR="0" wp14:anchorId="4BB1D19E" wp14:editId="7FC372BC">
            <wp:extent cx="5732145" cy="1715135"/>
            <wp:effectExtent l="0" t="0" r="1905" b="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37604E" w:rsidRPr="0037604E" w:rsidRDefault="0037604E" w:rsidP="0037604E">
      <w:pPr>
        <w:spacing w:after="0" w:line="240" w:lineRule="auto"/>
        <w:jc w:val="both"/>
        <w:rPr>
          <w:rFonts w:ascii="Cambria" w:eastAsia="Calibri" w:hAnsi="Cambria" w:cs="Times New Roman"/>
          <w:sz w:val="24"/>
          <w:szCs w:val="24"/>
          <w:lang w:val="en-GB"/>
        </w:rPr>
      </w:pPr>
    </w:p>
    <w:p w:rsidR="0037604E" w:rsidRPr="0037604E" w:rsidRDefault="0037604E" w:rsidP="0037604E">
      <w:pPr>
        <w:spacing w:after="0" w:line="240" w:lineRule="auto"/>
        <w:jc w:val="center"/>
        <w:rPr>
          <w:rFonts w:ascii="Cambria" w:eastAsia="Times New Roman" w:hAnsi="Cambria" w:cs="Times New Roman"/>
          <w:b/>
          <w:i/>
          <w:sz w:val="16"/>
          <w:szCs w:val="16"/>
          <w:lang w:val="en-GB"/>
        </w:rPr>
      </w:pPr>
      <w:r w:rsidRPr="0037604E">
        <w:rPr>
          <w:rFonts w:ascii="Cambria" w:eastAsia="Times New Roman" w:hAnsi="Cambria" w:cs="Times New Roman"/>
          <w:b/>
          <w:i/>
          <w:sz w:val="16"/>
          <w:szCs w:val="16"/>
          <w:lang w:val="en-GB"/>
        </w:rPr>
        <w:t>Chart 52– The evolution of the number of Transgaz shareholders from listing and until 31.12.2016</w:t>
      </w:r>
    </w:p>
    <w:p w:rsidR="0037604E" w:rsidRPr="0037604E" w:rsidRDefault="0037604E" w:rsidP="0037604E">
      <w:pPr>
        <w:spacing w:after="0" w:line="240" w:lineRule="auto"/>
        <w:jc w:val="center"/>
        <w:rPr>
          <w:rFonts w:ascii="Cambria" w:eastAsia="Times New Roman" w:hAnsi="Cambria" w:cs="Times New Roman"/>
          <w:b/>
          <w:i/>
          <w:sz w:val="16"/>
          <w:szCs w:val="16"/>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Stock performance, improved corporate image and strengthening credibility among financial analysts and actual and potential investors are certainly the result of the efforts of all company decision makers to optimize over the long term the activity outcomes and the management act quality in line with the strategic sustainable and competitive development of Transgaz. </w:t>
      </w:r>
    </w:p>
    <w:p w:rsidR="0037604E" w:rsidRPr="0037604E" w:rsidRDefault="0037604E" w:rsidP="0037604E">
      <w:pPr>
        <w:spacing w:after="0" w:line="240" w:lineRule="auto"/>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As a result of these efforts, the number of invitations addressed to Transgaz to participate in national and international events tackling with specific core business themes or topics of general interest or related to capital market increased.</w:t>
      </w:r>
    </w:p>
    <w:p w:rsidR="0037604E" w:rsidRPr="0037604E" w:rsidRDefault="0037604E" w:rsidP="0037604E">
      <w:pPr>
        <w:spacing w:after="0" w:line="240" w:lineRule="auto"/>
        <w:ind w:firstLine="0"/>
        <w:rPr>
          <w:rFonts w:ascii="Cambria" w:eastAsia="Times New Roman" w:hAnsi="Cambria" w:cs="Times New Roman"/>
          <w:b/>
          <w:i/>
          <w:sz w:val="16"/>
          <w:szCs w:val="16"/>
          <w:lang w:val="en-GB"/>
        </w:rPr>
      </w:pPr>
    </w:p>
    <w:p w:rsidR="0037604E" w:rsidRPr="0037604E" w:rsidRDefault="0037604E" w:rsidP="0037604E">
      <w:pPr>
        <w:spacing w:before="280" w:after="0" w:line="360" w:lineRule="auto"/>
        <w:ind w:firstLine="0"/>
        <w:outlineLvl w:val="3"/>
        <w:rPr>
          <w:rFonts w:asciiTheme="majorHAnsi" w:eastAsia="Times New Roman" w:hAnsiTheme="majorHAnsi" w:cstheme="majorBidi"/>
          <w:b/>
          <w:bCs/>
          <w:i/>
          <w:iCs/>
          <w:sz w:val="24"/>
          <w:szCs w:val="24"/>
          <w:lang w:val="en-GB" w:eastAsia="ro-RO"/>
        </w:rPr>
      </w:pPr>
      <w:r w:rsidRPr="0037604E">
        <w:rPr>
          <w:rFonts w:asciiTheme="majorHAnsi" w:eastAsia="Times New Roman" w:hAnsiTheme="majorHAnsi" w:cstheme="majorBidi"/>
          <w:b/>
          <w:bCs/>
          <w:i/>
          <w:iCs/>
          <w:sz w:val="24"/>
          <w:szCs w:val="24"/>
          <w:lang w:val="en-GB" w:eastAsia="ro-RO"/>
        </w:rPr>
        <w:t>Dividend policy</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hAnsiTheme="majorHAnsi"/>
          <w:sz w:val="24"/>
          <w:lang w:val="ro-RO"/>
        </w:rPr>
      </w:pPr>
      <w:r w:rsidRPr="0037604E">
        <w:rPr>
          <w:rFonts w:asciiTheme="majorHAnsi" w:eastAsia="Times New Roman" w:hAnsiTheme="majorHAnsi" w:cs="Times New Roman"/>
          <w:sz w:val="24"/>
          <w:szCs w:val="24"/>
          <w:lang w:val="ro-RO" w:eastAsia="ro-RO"/>
        </w:rPr>
        <w:t xml:space="preserve">The value of the dividends is calculated </w:t>
      </w:r>
      <w:r w:rsidRPr="0037604E">
        <w:rPr>
          <w:rFonts w:ascii="Cambria" w:eastAsia="Times New Roman" w:hAnsi="Cambria" w:cs="Times New Roman"/>
          <w:sz w:val="24"/>
          <w:szCs w:val="24"/>
          <w:lang w:val="en-GB" w:eastAsia="ro-RO"/>
        </w:rPr>
        <w:t xml:space="preserve">based on </w:t>
      </w:r>
      <w:r w:rsidRPr="0037604E">
        <w:rPr>
          <w:rFonts w:ascii="Cambria" w:eastAsia="Times New Roman" w:hAnsi="Cambria" w:cs="Times New Roman"/>
          <w:b/>
          <w:sz w:val="24"/>
          <w:szCs w:val="24"/>
          <w:lang w:val="en-GB" w:eastAsia="ro-RO"/>
        </w:rPr>
        <w:t>Government Ordinance 64</w:t>
      </w:r>
      <w:r w:rsidRPr="0037604E">
        <w:rPr>
          <w:rFonts w:ascii="Cambria" w:eastAsia="Times New Roman" w:hAnsi="Cambria" w:cs="Times New Roman"/>
          <w:sz w:val="24"/>
          <w:szCs w:val="24"/>
          <w:lang w:val="en-GB" w:eastAsia="ro-RO"/>
        </w:rPr>
        <w:t xml:space="preserve"> of 30 August 2001 on the allocation of profits to national corporations, national companies and companies owned or majority state owned, and the RAs approved by Law</w:t>
      </w:r>
      <w:r w:rsidRPr="0037604E">
        <w:rPr>
          <w:rFonts w:asciiTheme="majorHAnsi" w:eastAsia="Times New Roman" w:hAnsiTheme="majorHAnsi" w:cs="Times New Roman"/>
          <w:i/>
          <w:sz w:val="24"/>
          <w:szCs w:val="24"/>
          <w:lang w:val="ro-RO" w:eastAsia="en-US"/>
        </w:rPr>
        <w:t xml:space="preserve"> 769/200,</w:t>
      </w:r>
      <w:r w:rsidRPr="0037604E">
        <w:rPr>
          <w:rFonts w:asciiTheme="majorHAnsi" w:eastAsia="Times New Roman" w:hAnsiTheme="majorHAnsi" w:cs="Times New Roman"/>
          <w:sz w:val="24"/>
          <w:szCs w:val="24"/>
          <w:lang w:val="ro-RO" w:eastAsia="en-US"/>
        </w:rPr>
        <w:t xml:space="preserve"> as further amended and supplemented</w:t>
      </w:r>
      <w:r w:rsidRPr="0037604E">
        <w:rPr>
          <w:rFonts w:asciiTheme="majorHAnsi" w:eastAsia="Times New Roman" w:hAnsiTheme="majorHAnsi" w:cs="Times New Roman"/>
          <w:sz w:val="24"/>
          <w:szCs w:val="24"/>
          <w:lang w:val="ro-RO" w:eastAsia="ro-RO"/>
        </w:rPr>
        <w:t xml:space="preserve">, which, according to Art. </w:t>
      </w:r>
      <w:r w:rsidRPr="0037604E">
        <w:rPr>
          <w:rFonts w:asciiTheme="majorHAnsi" w:eastAsia="Times New Roman" w:hAnsiTheme="majorHAnsi" w:cs="Times New Roman"/>
          <w:sz w:val="24"/>
          <w:szCs w:val="24"/>
          <w:lang w:val="ro-RO" w:eastAsia="en-US"/>
        </w:rPr>
        <w:t xml:space="preserve">1 (1)(f) stipulates that the breaking down from the accounting profit remained after the deduction of the tax on profit </w:t>
      </w:r>
      <w:r w:rsidRPr="0037604E">
        <w:rPr>
          <w:rFonts w:asciiTheme="majorHAnsi" w:eastAsia="Times New Roman" w:hAnsiTheme="majorHAnsi" w:cs="Times New Roman"/>
          <w:sz w:val="24"/>
          <w:szCs w:val="24"/>
          <w:lang w:val="ro-RO" w:eastAsia="ro-RO"/>
        </w:rPr>
        <w:t xml:space="preserve">of `at least 50% dividends in State –owned or State majority national companies`. </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ro-RO"/>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ro-RO" w:eastAsia="ro-RO"/>
        </w:rPr>
      </w:pPr>
      <w:r w:rsidRPr="0037604E">
        <w:rPr>
          <w:rFonts w:asciiTheme="majorHAnsi" w:hAnsiTheme="majorHAnsi" w:cs="Arial"/>
          <w:sz w:val="24"/>
          <w:szCs w:val="24"/>
          <w:lang w:val="en"/>
        </w:rPr>
        <w:t>In 2015 the value approved for the 2014 dividends was determined by applying the rate of 50.00156% of the net profit and the amount of the employees participation in the profit, and in 2016 the value of the 2015 dividends was determined by applying the rate of 65.01977% to thr net profit and the amount of the employees participation in the profit.</w:t>
      </w: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 xml:space="preserve">The company registers and pays dividends awarded from the net profit only subsequent to the approval of the annual financial statements by the General Assembly.  </w:t>
      </w:r>
      <w:r w:rsidRPr="0037604E">
        <w:rPr>
          <w:rFonts w:ascii="Cambria" w:eastAsia="Calibri" w:hAnsi="Cambria" w:cs="Times New Roman"/>
          <w:sz w:val="24"/>
          <w:szCs w:val="24"/>
          <w:lang w:val="en-GB"/>
        </w:rPr>
        <w:t xml:space="preserve">Through Decision no. 2 of the Ordinary General Meeting of Shareholders from 29.04.2016 published in the Official Journal of Romania, part IV, no. </w:t>
      </w:r>
      <w:r w:rsidRPr="0037604E">
        <w:rPr>
          <w:rFonts w:asciiTheme="majorHAnsi" w:eastAsia="Calibri" w:hAnsiTheme="majorHAnsi" w:cs="Times New Roman"/>
          <w:sz w:val="24"/>
          <w:szCs w:val="24"/>
          <w:lang w:val="ro-RO" w:eastAsia="en-US"/>
        </w:rPr>
        <w:t>1973/23</w:t>
      </w:r>
      <w:r w:rsidRPr="0037604E">
        <w:rPr>
          <w:rFonts w:asciiTheme="majorHAnsi" w:hAnsiTheme="majorHAnsi"/>
          <w:sz w:val="24"/>
          <w:lang w:val="ro-RO"/>
        </w:rPr>
        <w:t>.05.201</w:t>
      </w:r>
      <w:r w:rsidRPr="0037604E">
        <w:rPr>
          <w:rFonts w:asciiTheme="majorHAnsi" w:eastAsia="Calibri" w:hAnsiTheme="majorHAnsi" w:cs="Times New Roman"/>
          <w:sz w:val="24"/>
          <w:szCs w:val="24"/>
          <w:lang w:val="ro-RO" w:eastAsia="en-US"/>
        </w:rPr>
        <w:t>6</w:t>
      </w:r>
      <w:r w:rsidRPr="0037604E">
        <w:rPr>
          <w:rFonts w:asciiTheme="majorHAnsi" w:hAnsiTheme="majorHAnsi"/>
          <w:sz w:val="24"/>
          <w:lang w:val="ro-RO"/>
        </w:rPr>
        <w:t xml:space="preserve"> </w:t>
      </w:r>
      <w:r w:rsidRPr="0037604E">
        <w:rPr>
          <w:rFonts w:ascii="Cambria" w:eastAsia="Calibri" w:hAnsi="Cambria" w:cs="Times New Roman"/>
          <w:sz w:val="24"/>
          <w:szCs w:val="24"/>
          <w:lang w:val="en-GB"/>
        </w:rPr>
        <w:t xml:space="preserve">the payment of a </w:t>
      </w:r>
      <w:r w:rsidRPr="0037604E">
        <w:rPr>
          <w:rFonts w:ascii="Cambria" w:eastAsia="Calibri" w:hAnsi="Cambria" w:cs="Times New Roman"/>
          <w:b/>
          <w:sz w:val="24"/>
          <w:szCs w:val="24"/>
          <w:lang w:val="en-GB"/>
        </w:rPr>
        <w:t>gross dividend corresponding to the 2015</w:t>
      </w:r>
      <w:r w:rsidRPr="0037604E">
        <w:rPr>
          <w:rFonts w:ascii="Cambria" w:eastAsia="Calibri" w:hAnsi="Cambria" w:cs="Times New Roman"/>
          <w:sz w:val="24"/>
          <w:szCs w:val="24"/>
          <w:lang w:val="en-GB"/>
        </w:rPr>
        <w:t xml:space="preserve"> </w:t>
      </w:r>
      <w:r w:rsidRPr="0037604E">
        <w:rPr>
          <w:rFonts w:ascii="Cambria" w:eastAsia="Calibri" w:hAnsi="Cambria" w:cs="Times New Roman"/>
          <w:b/>
          <w:sz w:val="24"/>
          <w:szCs w:val="24"/>
          <w:lang w:val="en-GB"/>
        </w:rPr>
        <w:t>fiscal year</w:t>
      </w:r>
      <w:r w:rsidRPr="0037604E">
        <w:rPr>
          <w:rFonts w:ascii="Cambria" w:eastAsia="Calibri" w:hAnsi="Cambria" w:cs="Times New Roman"/>
          <w:sz w:val="24"/>
          <w:szCs w:val="24"/>
          <w:lang w:val="en-GB"/>
        </w:rPr>
        <w:t xml:space="preserve"> was approved, amounting to </w:t>
      </w:r>
      <w:r w:rsidRPr="0037604E">
        <w:rPr>
          <w:rFonts w:asciiTheme="majorHAnsi" w:eastAsia="Calibri" w:hAnsiTheme="majorHAnsi" w:cs="Times New Roman"/>
          <w:b/>
          <w:sz w:val="24"/>
          <w:szCs w:val="24"/>
          <w:lang w:val="ro-RO" w:eastAsia="en-US"/>
        </w:rPr>
        <w:t>27,61</w:t>
      </w:r>
      <w:r w:rsidRPr="0037604E">
        <w:rPr>
          <w:rFonts w:asciiTheme="majorHAnsi" w:hAnsiTheme="majorHAnsi"/>
          <w:b/>
          <w:sz w:val="24"/>
          <w:lang w:val="ro-RO"/>
        </w:rPr>
        <w:t xml:space="preserve"> </w:t>
      </w:r>
      <w:r w:rsidRPr="0037604E">
        <w:rPr>
          <w:rFonts w:ascii="Cambria" w:eastAsia="Calibri" w:hAnsi="Cambria" w:cs="Times New Roman"/>
          <w:sz w:val="24"/>
          <w:szCs w:val="24"/>
          <w:lang w:val="en-GB"/>
        </w:rPr>
        <w:t xml:space="preserve">Ron/share.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Theme="majorHAnsi" w:eastAsia="Calibri" w:hAnsiTheme="majorHAnsi" w:cs="Times New Roman"/>
          <w:sz w:val="24"/>
          <w:szCs w:val="24"/>
          <w:lang w:val="ro-RO" w:eastAsia="en-US"/>
        </w:rPr>
      </w:pPr>
      <w:r w:rsidRPr="0037604E">
        <w:rPr>
          <w:rFonts w:asciiTheme="majorHAnsi" w:eastAsia="Calibri" w:hAnsiTheme="majorHAnsi" w:cs="Times New Roman"/>
          <w:sz w:val="24"/>
          <w:szCs w:val="24"/>
          <w:lang w:val="ro-RO" w:eastAsia="en-US"/>
        </w:rPr>
        <w:t>At the end of 2016 the Company paid 2015 financial year net dividends to the shareholders amounting to RON 318.905.280,31</w:t>
      </w:r>
      <w:r w:rsidRPr="00E72DDA">
        <w:rPr>
          <w:rFonts w:asciiTheme="majorHAnsi" w:eastAsia="Calibri" w:hAnsiTheme="majorHAnsi" w:cs="Times New Roman"/>
          <w:sz w:val="24"/>
          <w:szCs w:val="24"/>
          <w:lang w:val="ro-RO" w:eastAsia="en-US"/>
        </w:rPr>
        <w:t xml:space="preserve"> for </w:t>
      </w:r>
      <w:r w:rsidRPr="0037604E">
        <w:rPr>
          <w:rFonts w:asciiTheme="majorHAnsi" w:eastAsia="Calibri" w:hAnsiTheme="majorHAnsi" w:cs="Times New Roman"/>
          <w:sz w:val="24"/>
          <w:szCs w:val="24"/>
          <w:lang w:val="ro-RO" w:eastAsia="en-US"/>
        </w:rPr>
        <w:t>11.715.227 shares.</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E72DDA" w:rsidRDefault="0037604E" w:rsidP="0037604E">
      <w:pPr>
        <w:spacing w:after="0" w:line="240" w:lineRule="auto"/>
        <w:ind w:firstLine="0"/>
        <w:rPr>
          <w:rFonts w:ascii="Cambria" w:eastAsia="Times New Roman" w:hAnsi="Cambria" w:cs="Times New Roman"/>
          <w:b/>
          <w:sz w:val="24"/>
          <w:szCs w:val="24"/>
          <w:lang w:val="en-GB" w:eastAsia="ro-RO"/>
        </w:rPr>
      </w:pPr>
      <w:r w:rsidRPr="00E72DDA">
        <w:rPr>
          <w:rFonts w:ascii="Cambria" w:eastAsia="Times New Roman" w:hAnsi="Cambria" w:cs="Times New Roman"/>
          <w:b/>
          <w:sz w:val="24"/>
          <w:szCs w:val="24"/>
          <w:lang w:val="en-GB" w:eastAsia="ro-RO"/>
        </w:rPr>
        <w:t xml:space="preserve">Intention of Transgaz to purchase own shares </w:t>
      </w:r>
    </w:p>
    <w:p w:rsidR="0037604E" w:rsidRPr="00E72DDA"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E72DDA" w:rsidRDefault="0037604E" w:rsidP="0037604E">
      <w:pPr>
        <w:spacing w:after="0" w:line="240" w:lineRule="auto"/>
        <w:ind w:firstLine="0"/>
        <w:jc w:val="both"/>
        <w:rPr>
          <w:rFonts w:ascii="Cambria" w:eastAsia="Times New Roman" w:hAnsi="Cambria" w:cs="Times New Roman"/>
          <w:sz w:val="24"/>
          <w:szCs w:val="24"/>
          <w:lang w:val="en-GB" w:eastAsia="ro-RO"/>
        </w:rPr>
      </w:pPr>
      <w:r w:rsidRPr="00E72DDA">
        <w:rPr>
          <w:rFonts w:ascii="Cambria" w:eastAsia="Times New Roman" w:hAnsi="Cambria" w:cs="Times New Roman"/>
          <w:sz w:val="24"/>
          <w:szCs w:val="24"/>
          <w:lang w:val="en-GB" w:eastAsia="ro-RO"/>
        </w:rPr>
        <w:t>Not applicable</w:t>
      </w:r>
    </w:p>
    <w:p w:rsidR="0037604E" w:rsidRPr="00E72DDA"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E72DDA" w:rsidRDefault="0037604E" w:rsidP="0037604E">
      <w:pPr>
        <w:spacing w:after="0" w:line="240" w:lineRule="auto"/>
        <w:ind w:firstLine="0"/>
        <w:jc w:val="both"/>
        <w:rPr>
          <w:rFonts w:ascii="Cambria" w:eastAsia="Times New Roman" w:hAnsi="Cambria" w:cs="Times New Roman"/>
          <w:b/>
          <w:sz w:val="24"/>
          <w:szCs w:val="24"/>
          <w:lang w:val="en-GB"/>
        </w:rPr>
      </w:pPr>
      <w:r w:rsidRPr="00E72DDA">
        <w:rPr>
          <w:rFonts w:ascii="Cambria" w:eastAsia="Times New Roman" w:hAnsi="Cambria" w:cs="Times New Roman"/>
          <w:b/>
          <w:sz w:val="24"/>
          <w:szCs w:val="24"/>
          <w:lang w:val="en-GB"/>
        </w:rPr>
        <w:t>Number and face value of shares issued by the mother company owned by branches</w:t>
      </w:r>
    </w:p>
    <w:p w:rsidR="0037604E" w:rsidRPr="00E72DDA" w:rsidRDefault="0037604E" w:rsidP="0037604E">
      <w:pPr>
        <w:spacing w:after="0" w:line="240" w:lineRule="auto"/>
        <w:ind w:firstLine="0"/>
        <w:jc w:val="both"/>
        <w:rPr>
          <w:rFonts w:ascii="Cambria" w:eastAsia="Times New Roman" w:hAnsi="Cambria" w:cs="Times New Roman"/>
          <w:sz w:val="24"/>
          <w:szCs w:val="24"/>
          <w:lang w:val="en-GB" w:eastAsia="ro-RO"/>
        </w:rPr>
      </w:pPr>
      <w:bookmarkStart w:id="66" w:name="_Toc287958758"/>
      <w:bookmarkStart w:id="67" w:name="_Toc319916366"/>
      <w:bookmarkStart w:id="68" w:name="_Toc350496239"/>
      <w:bookmarkStart w:id="69" w:name="_Toc381360569"/>
    </w:p>
    <w:p w:rsidR="0037604E" w:rsidRPr="00E72DDA" w:rsidRDefault="0037604E" w:rsidP="0037604E">
      <w:pPr>
        <w:spacing w:after="0" w:line="240" w:lineRule="auto"/>
        <w:ind w:firstLine="0"/>
        <w:jc w:val="both"/>
        <w:rPr>
          <w:rFonts w:ascii="Cambria" w:eastAsia="Times New Roman" w:hAnsi="Cambria" w:cs="Times New Roman"/>
          <w:sz w:val="24"/>
          <w:szCs w:val="24"/>
          <w:lang w:val="en-GB" w:eastAsia="ro-RO"/>
        </w:rPr>
      </w:pPr>
      <w:r w:rsidRPr="00E72DDA">
        <w:rPr>
          <w:rFonts w:ascii="Cambria" w:eastAsia="Times New Roman" w:hAnsi="Cambria" w:cs="Times New Roman"/>
          <w:sz w:val="24"/>
          <w:szCs w:val="24"/>
          <w:lang w:val="en-GB" w:eastAsia="ro-RO"/>
        </w:rPr>
        <w:t xml:space="preserve">Not applicable. </w:t>
      </w:r>
    </w:p>
    <w:p w:rsidR="0037604E" w:rsidRPr="00E72DDA" w:rsidRDefault="0037604E" w:rsidP="0037604E">
      <w:pPr>
        <w:spacing w:after="0" w:line="240" w:lineRule="auto"/>
        <w:ind w:firstLine="0"/>
        <w:rPr>
          <w:rFonts w:ascii="Cambria" w:eastAsia="Times New Roman" w:hAnsi="Cambria" w:cs="Times New Roman"/>
          <w:sz w:val="24"/>
          <w:szCs w:val="24"/>
          <w:lang w:val="en-GB"/>
        </w:rPr>
      </w:pPr>
    </w:p>
    <w:bookmarkEnd w:id="66"/>
    <w:bookmarkEnd w:id="67"/>
    <w:bookmarkEnd w:id="68"/>
    <w:bookmarkEnd w:id="69"/>
    <w:p w:rsidR="0037604E" w:rsidRPr="00E72DDA" w:rsidRDefault="0037604E" w:rsidP="0037604E">
      <w:pPr>
        <w:spacing w:after="0" w:line="240" w:lineRule="auto"/>
        <w:ind w:firstLine="0"/>
        <w:rPr>
          <w:rFonts w:ascii="Cambria" w:eastAsia="Times New Roman" w:hAnsi="Cambria" w:cs="Times New Roman"/>
          <w:b/>
          <w:sz w:val="24"/>
          <w:szCs w:val="24"/>
          <w:lang w:val="en-GB"/>
        </w:rPr>
      </w:pPr>
      <w:r w:rsidRPr="00E72DDA">
        <w:rPr>
          <w:rFonts w:ascii="Cambria" w:eastAsia="Times New Roman" w:hAnsi="Cambria" w:cs="Times New Roman"/>
          <w:b/>
          <w:sz w:val="24"/>
          <w:szCs w:val="24"/>
          <w:lang w:val="en-GB"/>
        </w:rPr>
        <w:t>Bonds and/or other debt securities</w:t>
      </w:r>
    </w:p>
    <w:p w:rsidR="0037604E" w:rsidRPr="00E72DDA"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E72DDA" w:rsidRDefault="0037604E" w:rsidP="0037604E">
      <w:pPr>
        <w:spacing w:after="0" w:line="240" w:lineRule="auto"/>
        <w:ind w:firstLine="0"/>
        <w:jc w:val="both"/>
        <w:rPr>
          <w:rFonts w:ascii="Cambria" w:eastAsia="Times New Roman" w:hAnsi="Cambria" w:cs="Times New Roman"/>
          <w:b/>
          <w:sz w:val="24"/>
          <w:szCs w:val="24"/>
          <w:lang w:val="en-GB" w:eastAsia="ro-RO"/>
        </w:rPr>
      </w:pPr>
      <w:r w:rsidRPr="00E72DDA">
        <w:rPr>
          <w:rFonts w:ascii="Cambria" w:eastAsia="Times New Roman" w:hAnsi="Cambria" w:cs="Times New Roman"/>
          <w:sz w:val="24"/>
          <w:szCs w:val="24"/>
          <w:lang w:val="en-GB" w:eastAsia="ro-RO"/>
        </w:rPr>
        <w:t>By Decision No 4 of the Extraordinary General Meeting of Shareholders on June 16, 2015 the commencement of the proceedings on the issue of corporate bonds unsecured, non-convertible into shares was approved, in the amount not exceeding RON 500 million, fixed rate of maximum 4.5 % with maturity of at least five years to fund "The ten year development Plan of the National Gas Transmission System in the period 2014-2023".</w:t>
      </w:r>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70" w:name="_Toc414263640"/>
      <w:bookmarkStart w:id="71" w:name="_Toc446310837"/>
      <w:r w:rsidRPr="0037604E">
        <w:rPr>
          <w:rFonts w:asciiTheme="majorHAnsi" w:eastAsia="Times New Roman" w:hAnsiTheme="majorHAnsi" w:cstheme="majorBidi"/>
          <w:b/>
          <w:bCs/>
          <w:i/>
          <w:iCs/>
          <w:sz w:val="26"/>
          <w:szCs w:val="26"/>
          <w:lang w:val="en-GB" w:eastAsia="ro-RO"/>
        </w:rPr>
        <w:t xml:space="preserve">3.3.2 </w:t>
      </w:r>
      <w:bookmarkEnd w:id="70"/>
      <w:r w:rsidRPr="0037604E">
        <w:rPr>
          <w:rFonts w:asciiTheme="majorHAnsi" w:eastAsia="Times New Roman" w:hAnsiTheme="majorHAnsi" w:cstheme="majorBidi"/>
          <w:b/>
          <w:bCs/>
          <w:i/>
          <w:iCs/>
          <w:sz w:val="26"/>
          <w:szCs w:val="26"/>
          <w:lang w:val="en-GB" w:eastAsia="ro-RO"/>
        </w:rPr>
        <w:t>Significant mergers or reorganizations during the financial year</w:t>
      </w:r>
      <w:bookmarkEnd w:id="71"/>
    </w:p>
    <w:p w:rsidR="0037604E" w:rsidRPr="00E72DDA"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E72DDA" w:rsidRDefault="0037604E" w:rsidP="0037604E">
      <w:pPr>
        <w:spacing w:after="120" w:line="25" w:lineRule="atLeast"/>
        <w:ind w:firstLine="0"/>
        <w:jc w:val="both"/>
        <w:rPr>
          <w:rFonts w:ascii="Calibri" w:eastAsia="Calibri" w:hAnsi="Calibri" w:cs="Times New Roman"/>
          <w:lang w:val="en-GB" w:eastAsia="en-US"/>
        </w:rPr>
      </w:pPr>
      <w:r w:rsidRPr="00E72DDA">
        <w:rPr>
          <w:rFonts w:ascii="Cambria" w:eastAsia="Times New Roman" w:hAnsi="Cambria" w:cs="Times New Roman"/>
          <w:sz w:val="24"/>
          <w:szCs w:val="24"/>
          <w:lang w:val="en-GB" w:eastAsia="ro-RO"/>
        </w:rPr>
        <w:t>In 2016 no mergers or reorganizations took place at the company level.</w:t>
      </w:r>
    </w:p>
    <w:p w:rsidR="0037604E" w:rsidRPr="0037604E" w:rsidRDefault="0037604E" w:rsidP="0037604E">
      <w:pPr>
        <w:spacing w:before="320" w:after="0" w:line="360" w:lineRule="auto"/>
        <w:ind w:firstLine="0"/>
        <w:outlineLvl w:val="2"/>
        <w:rPr>
          <w:rFonts w:asciiTheme="majorHAnsi" w:eastAsia="Times New Roman" w:hAnsiTheme="majorHAnsi" w:cstheme="majorBidi"/>
          <w:b/>
          <w:bCs/>
          <w:i/>
          <w:iCs/>
          <w:sz w:val="26"/>
          <w:szCs w:val="26"/>
          <w:lang w:val="en-GB" w:eastAsia="ro-RO"/>
        </w:rPr>
      </w:pPr>
      <w:bookmarkStart w:id="72" w:name="_Toc414263641"/>
      <w:bookmarkStart w:id="73" w:name="_Toc446310838"/>
      <w:r w:rsidRPr="0037604E">
        <w:rPr>
          <w:rFonts w:asciiTheme="majorHAnsi" w:eastAsia="Times New Roman" w:hAnsiTheme="majorHAnsi" w:cstheme="majorBidi"/>
          <w:b/>
          <w:bCs/>
          <w:i/>
          <w:iCs/>
          <w:sz w:val="26"/>
          <w:szCs w:val="26"/>
          <w:lang w:val="en-GB" w:eastAsia="ro-RO"/>
        </w:rPr>
        <w:t xml:space="preserve">3.3.3 </w:t>
      </w:r>
      <w:bookmarkEnd w:id="72"/>
      <w:r w:rsidRPr="0037604E">
        <w:rPr>
          <w:rFonts w:asciiTheme="majorHAnsi" w:eastAsia="Times New Roman" w:hAnsiTheme="majorHAnsi" w:cstheme="majorBidi"/>
          <w:b/>
          <w:bCs/>
          <w:i/>
          <w:iCs/>
          <w:sz w:val="26"/>
          <w:szCs w:val="26"/>
          <w:lang w:val="en-GB" w:eastAsia="ro-RO"/>
        </w:rPr>
        <w:t>Corporate Governance</w:t>
      </w:r>
      <w:bookmarkEnd w:id="73"/>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Corporate governance is a concept of very wide connotation, which includes elements such as: managers’ responsibility for the accuracy of information contained in the financial statement, the existence of very tight deadlines for financial reporting, communication and full transparency on the financial results, the transparency of the internal audit, of processes and external audit.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In detail, corporate governance refers to how rights and responsibilities are divided between categories of participants to the company activity, such as the Board of Administration, managers, shareholders and other interest groups, while specifying how decisions are made as regards the company activity, how strategic objectives are defined, which are the means of attaining them and how is economic performance monitored.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Practice confirms the need to intensify efforts of accepting corporate governance, as it has been observed that organizations which are dedicated to the implementation of its principles have even managed to maximize performance.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The general and specific objectives of Transgaz activity are established in the context of alignment to the requirements of the new energy policy regarding energy safety and security, sustainable development and competitiveness.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In this context, the implementation and development of corporate governance principles, the development of responsible, transparent business practices becomes more and more a necessity in the substantiation and application of strategies and business policies of companies.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 xml:space="preserve">Adhering to this goal, Transgaz pursues that through the effective application of the provisions of Rules of Corporate Governance it would ensure a rigorous framework of sizing and regulating the principles of corporate governance at the level of the company. </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
          <w:sz w:val="24"/>
          <w:szCs w:val="24"/>
          <w:lang w:val="en-GB"/>
        </w:rPr>
        <w:t>The rules of corporate governance of the company</w:t>
      </w:r>
      <w:r w:rsidRPr="0037604E">
        <w:rPr>
          <w:rFonts w:ascii="Cambria" w:eastAsia="Times New Roman" w:hAnsi="Cambria" w:cs="Times New Roman"/>
          <w:sz w:val="24"/>
          <w:szCs w:val="24"/>
          <w:lang w:val="en-GB"/>
        </w:rPr>
        <w:t xml:space="preserve"> was endorsed by the Board of Administration through Decision n. 3/18.01.2011 and approved by the General Meeting of Shareholder in 2 March 2011, through GMS Decision no. 1/2011 (art. 4).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The document has a structure which complies with requirements in the field and comprises a number of </w:t>
      </w:r>
      <w:r w:rsidRPr="0037604E">
        <w:rPr>
          <w:rFonts w:ascii="Cambria" w:eastAsia="Times New Roman" w:hAnsi="Cambria" w:cs="Times New Roman"/>
          <w:b/>
          <w:sz w:val="24"/>
          <w:szCs w:val="24"/>
          <w:lang w:val="en-GB"/>
        </w:rPr>
        <w:t>9 chapters</w:t>
      </w:r>
      <w:r w:rsidRPr="0037604E">
        <w:rPr>
          <w:rFonts w:ascii="Cambria" w:eastAsia="Times New Roman" w:hAnsi="Cambria" w:cs="Times New Roman"/>
          <w:sz w:val="24"/>
          <w:szCs w:val="24"/>
          <w:lang w:val="en-GB"/>
        </w:rPr>
        <w:t xml:space="preserve">, as follows: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tbl>
      <w:tblPr>
        <w:tblW w:w="0" w:type="auto"/>
        <w:tblCellSpacing w:w="20" w:type="dxa"/>
        <w:tblInd w:w="24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8778"/>
      </w:tblGrid>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ind w:left="357" w:hanging="357"/>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Chapter 1 – </w:t>
            </w:r>
            <w:r w:rsidRPr="0037604E">
              <w:rPr>
                <w:rFonts w:ascii="Cambria" w:eastAsia="Times New Roman" w:hAnsi="Cambria" w:cs="Times New Roman"/>
                <w:b/>
                <w:i/>
                <w:sz w:val="24"/>
                <w:szCs w:val="24"/>
                <w:lang w:val="en-GB"/>
              </w:rPr>
              <w:t>Corporate governance structures</w:t>
            </w:r>
            <w:r w:rsidRPr="0037604E">
              <w:rPr>
                <w:rFonts w:ascii="Cambria" w:eastAsia="Times New Roman" w:hAnsi="Cambria" w:cs="Times New Roman"/>
                <w:sz w:val="24"/>
                <w:szCs w:val="24"/>
                <w:lang w:val="en-GB"/>
              </w:rPr>
              <w:t xml:space="preserve">: the Board of Administration, Advisory Committees, Executive Management. The executive management responsibilities are established through the Rules of Organization and Operation of Transgaz and through the Code of Professional Conduct are regulated the ethical norms of conduct compulsory for all employees and are applied in all organizational and hierarchical structures of the company; </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2 - </w:t>
            </w:r>
            <w:r w:rsidRPr="0037604E">
              <w:rPr>
                <w:rFonts w:ascii="Cambria" w:eastAsia="Times New Roman" w:hAnsi="Cambria" w:cs="Times New Roman"/>
                <w:b/>
                <w:i/>
                <w:sz w:val="24"/>
                <w:szCs w:val="24"/>
                <w:lang w:val="en-GB"/>
              </w:rPr>
              <w:t>The rights of shares owners</w:t>
            </w:r>
            <w:r w:rsidRPr="0037604E">
              <w:rPr>
                <w:rFonts w:ascii="Cambria" w:eastAsia="Times New Roman" w:hAnsi="Cambria" w:cs="Times New Roman"/>
                <w:b/>
                <w:sz w:val="24"/>
                <w:szCs w:val="24"/>
                <w:lang w:val="en-GB"/>
              </w:rPr>
              <w:t>:</w:t>
            </w:r>
            <w:r w:rsidRPr="0037604E">
              <w:rPr>
                <w:rFonts w:ascii="Cambria" w:eastAsia="Times New Roman" w:hAnsi="Cambria" w:cs="Times New Roman"/>
                <w:sz w:val="24"/>
                <w:szCs w:val="24"/>
                <w:lang w:val="en-GB"/>
              </w:rPr>
              <w:t xml:space="preserve"> the rights of the share owners, the treatment of shares owners</w:t>
            </w:r>
            <w:r w:rsidRPr="0037604E">
              <w:rPr>
                <w:rFonts w:ascii="Cambria" w:eastAsia="Times New Roman" w:hAnsi="Cambria" w:cs="Times New Roman"/>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3 - </w:t>
            </w:r>
            <w:r w:rsidRPr="0037604E">
              <w:rPr>
                <w:rFonts w:ascii="Cambria" w:eastAsia="Times New Roman" w:hAnsi="Cambria" w:cs="Times New Roman"/>
                <w:b/>
                <w:i/>
                <w:sz w:val="24"/>
                <w:szCs w:val="24"/>
                <w:lang w:val="en-GB"/>
              </w:rPr>
              <w:t>The Board of Administration</w:t>
            </w:r>
            <w:r w:rsidRPr="0037604E">
              <w:rPr>
                <w:rFonts w:ascii="Cambria" w:eastAsia="Times New Roman" w:hAnsi="Cambria" w:cs="Times New Roman"/>
                <w:i/>
                <w:sz w:val="24"/>
                <w:szCs w:val="24"/>
                <w:lang w:val="en-GB"/>
              </w:rPr>
              <w:t>:</w:t>
            </w:r>
            <w:r w:rsidRPr="0037604E">
              <w:rPr>
                <w:rFonts w:ascii="Cambria" w:eastAsia="Times New Roman" w:hAnsi="Cambria" w:cs="Times New Roman"/>
                <w:sz w:val="24"/>
                <w:szCs w:val="24"/>
                <w:lang w:val="en-GB"/>
              </w:rPr>
              <w:t xml:space="preserve"> the role and obligations of the Board of Administration, the structure of the Board of Administration, the appointment of the members of the Board of Administration and the remuneration of the members of the Board of Administration</w:t>
            </w:r>
            <w:r w:rsidRPr="0037604E">
              <w:rPr>
                <w:rFonts w:ascii="Cambria" w:eastAsia="Times New Roman" w:hAnsi="Cambria" w:cs="Times New Roman"/>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bCs/>
                <w:sz w:val="20"/>
                <w:szCs w:val="20"/>
                <w:lang w:val="en-GB"/>
              </w:rPr>
            </w:pPr>
            <w:r w:rsidRPr="0037604E">
              <w:rPr>
                <w:rFonts w:ascii="Cambria" w:eastAsia="Times New Roman" w:hAnsi="Cambria" w:cs="Times New Roman"/>
                <w:sz w:val="24"/>
                <w:szCs w:val="24"/>
                <w:lang w:val="en-GB"/>
              </w:rPr>
              <w:t>Chapter 4 –</w:t>
            </w:r>
            <w:r w:rsidRPr="0037604E">
              <w:rPr>
                <w:rFonts w:ascii="Cambria" w:eastAsia="Times New Roman" w:hAnsi="Cambria" w:cs="Times New Roman"/>
                <w:b/>
                <w:bCs/>
                <w:i/>
                <w:sz w:val="24"/>
                <w:szCs w:val="24"/>
                <w:lang w:val="en-GB"/>
              </w:rPr>
              <w:t>Transparency, financial reporting, internal control and risk management:</w:t>
            </w:r>
            <w:r w:rsidRPr="0037604E">
              <w:rPr>
                <w:rFonts w:ascii="Cambria" w:eastAsia="Times New Roman" w:hAnsi="Cambria" w:cs="Times New Roman"/>
                <w:b/>
                <w:bCs/>
                <w:sz w:val="24"/>
                <w:szCs w:val="24"/>
                <w:lang w:val="en-GB"/>
              </w:rPr>
              <w:t xml:space="preserve"> </w:t>
            </w:r>
            <w:r w:rsidRPr="0037604E">
              <w:rPr>
                <w:rFonts w:ascii="Cambria" w:eastAsia="Times New Roman" w:hAnsi="Cambria" w:cs="Times New Roman"/>
                <w:bCs/>
                <w:sz w:val="24"/>
                <w:szCs w:val="24"/>
                <w:lang w:val="en-GB"/>
              </w:rPr>
              <w:t>transparency and financial reporting</w:t>
            </w:r>
            <w:r w:rsidRPr="0037604E">
              <w:rPr>
                <w:rFonts w:ascii="Cambria" w:eastAsia="Times New Roman" w:hAnsi="Cambria" w:cs="Times New Roman"/>
                <w:bCs/>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5 - </w:t>
            </w:r>
            <w:r w:rsidRPr="0037604E">
              <w:rPr>
                <w:rFonts w:ascii="Cambria" w:eastAsia="Times New Roman" w:hAnsi="Cambria" w:cs="Times New Roman"/>
                <w:b/>
                <w:i/>
                <w:sz w:val="24"/>
                <w:szCs w:val="24"/>
                <w:lang w:val="en-GB"/>
              </w:rPr>
              <w:t>the conflict of interests and transactions with persons involved</w:t>
            </w:r>
            <w:r w:rsidRPr="0037604E">
              <w:rPr>
                <w:rFonts w:ascii="Cambria" w:eastAsia="Times New Roman" w:hAnsi="Cambria" w:cs="Times New Roman"/>
                <w:sz w:val="24"/>
                <w:szCs w:val="24"/>
                <w:lang w:val="en-GB"/>
              </w:rPr>
              <w:t>: the conflict of interests; transactions with persons involved</w:t>
            </w:r>
            <w:r w:rsidRPr="0037604E">
              <w:rPr>
                <w:rFonts w:ascii="Cambria" w:eastAsia="Times New Roman" w:hAnsi="Cambria" w:cs="Times New Roman"/>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b/>
                <w:sz w:val="20"/>
                <w:szCs w:val="20"/>
                <w:lang w:val="en-GB"/>
              </w:rPr>
            </w:pPr>
            <w:r w:rsidRPr="0037604E">
              <w:rPr>
                <w:rFonts w:ascii="Cambria" w:eastAsia="Times New Roman" w:hAnsi="Cambria" w:cs="Times New Roman"/>
                <w:sz w:val="24"/>
                <w:szCs w:val="24"/>
                <w:lang w:val="en-GB"/>
              </w:rPr>
              <w:t xml:space="preserve">Chapter 6 - </w:t>
            </w:r>
            <w:r w:rsidRPr="0037604E">
              <w:rPr>
                <w:rFonts w:ascii="Cambria" w:eastAsia="Times New Roman" w:hAnsi="Cambria" w:cs="Times New Roman"/>
                <w:b/>
                <w:i/>
                <w:sz w:val="24"/>
                <w:szCs w:val="24"/>
                <w:lang w:val="en-GB"/>
              </w:rPr>
              <w:t>The regime of corporate information</w:t>
            </w:r>
            <w:r w:rsidRPr="0037604E">
              <w:rPr>
                <w:rFonts w:ascii="Cambria" w:eastAsia="Times New Roman" w:hAnsi="Cambria" w:cs="Times New Roman"/>
                <w:b/>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7 - </w:t>
            </w:r>
            <w:r w:rsidRPr="0037604E">
              <w:rPr>
                <w:rFonts w:ascii="Cambria" w:eastAsia="Times New Roman" w:hAnsi="Cambria" w:cs="Times New Roman"/>
                <w:b/>
                <w:i/>
                <w:sz w:val="24"/>
                <w:szCs w:val="24"/>
                <w:lang w:val="en-GB"/>
              </w:rPr>
              <w:t>Social responsibility</w:t>
            </w:r>
            <w:r w:rsidRPr="0037604E">
              <w:rPr>
                <w:rFonts w:ascii="Cambria" w:eastAsia="Times New Roman" w:hAnsi="Cambria" w:cs="Times New Roman"/>
                <w:b/>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8 - </w:t>
            </w:r>
            <w:r w:rsidRPr="0037604E">
              <w:rPr>
                <w:rFonts w:ascii="Cambria" w:eastAsia="Times New Roman" w:hAnsi="Cambria" w:cs="Times New Roman"/>
                <w:b/>
                <w:i/>
                <w:sz w:val="24"/>
                <w:szCs w:val="24"/>
                <w:lang w:val="en-GB"/>
              </w:rPr>
              <w:t>The management system</w:t>
            </w:r>
            <w:r w:rsidRPr="0037604E">
              <w:rPr>
                <w:rFonts w:ascii="Cambria" w:eastAsia="Times New Roman" w:hAnsi="Cambria" w:cs="Times New Roman"/>
                <w:b/>
                <w:sz w:val="20"/>
                <w:szCs w:val="20"/>
                <w:lang w:val="en-GB"/>
              </w:rPr>
              <w:t>;</w:t>
            </w:r>
          </w:p>
        </w:tc>
      </w:tr>
      <w:tr w:rsidR="0037604E" w:rsidRPr="0037604E" w:rsidTr="0037604E">
        <w:trPr>
          <w:tblCellSpacing w:w="20" w:type="dxa"/>
        </w:trPr>
        <w:tc>
          <w:tcPr>
            <w:tcW w:w="8830" w:type="dxa"/>
            <w:shd w:val="clear" w:color="auto" w:fill="auto"/>
          </w:tcPr>
          <w:p w:rsidR="0037604E" w:rsidRPr="0037604E" w:rsidRDefault="0037604E" w:rsidP="00FA6EB9">
            <w:pPr>
              <w:numPr>
                <w:ilvl w:val="0"/>
                <w:numId w:val="58"/>
              </w:numPr>
              <w:spacing w:after="0" w:line="240" w:lineRule="auto"/>
              <w:jc w:val="both"/>
              <w:rPr>
                <w:rFonts w:ascii="Cambria" w:eastAsia="Times New Roman" w:hAnsi="Cambria" w:cs="Times New Roman"/>
                <w:sz w:val="20"/>
                <w:szCs w:val="20"/>
                <w:lang w:val="en-GB"/>
              </w:rPr>
            </w:pPr>
            <w:r w:rsidRPr="0037604E">
              <w:rPr>
                <w:rFonts w:ascii="Cambria" w:eastAsia="Times New Roman" w:hAnsi="Cambria" w:cs="Times New Roman"/>
                <w:sz w:val="24"/>
                <w:szCs w:val="24"/>
                <w:lang w:val="en-GB"/>
              </w:rPr>
              <w:t xml:space="preserve">Chapter 9 – </w:t>
            </w:r>
            <w:r w:rsidRPr="0037604E">
              <w:rPr>
                <w:rFonts w:ascii="Cambria" w:eastAsia="Times New Roman" w:hAnsi="Cambria" w:cs="Times New Roman"/>
                <w:b/>
                <w:i/>
                <w:sz w:val="24"/>
                <w:szCs w:val="24"/>
                <w:lang w:val="en-GB"/>
              </w:rPr>
              <w:t>Final provisions</w:t>
            </w:r>
            <w:r w:rsidRPr="0037604E">
              <w:rPr>
                <w:rFonts w:ascii="Cambria" w:eastAsia="Times New Roman" w:hAnsi="Cambria" w:cs="Times New Roman"/>
                <w:b/>
                <w:sz w:val="20"/>
                <w:szCs w:val="20"/>
                <w:lang w:val="en-GB"/>
              </w:rPr>
              <w:t>.</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 xml:space="preserve">THE CORPORATE GOVERNANCE DECLARATION </w:t>
      </w:r>
    </w:p>
    <w:p w:rsidR="0037604E" w:rsidRPr="0037604E" w:rsidRDefault="0037604E" w:rsidP="00FA6EB9">
      <w:pPr>
        <w:numPr>
          <w:ilvl w:val="0"/>
          <w:numId w:val="73"/>
        </w:numPr>
        <w:spacing w:after="0" w:line="240" w:lineRule="auto"/>
        <w:contextualSpacing/>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THE DECLARATION RELATED TO THE COMPLIANCE WITH THE CODE</w:t>
      </w:r>
    </w:p>
    <w:p w:rsidR="0037604E" w:rsidRPr="0037604E" w:rsidRDefault="0037604E" w:rsidP="00FA6EB9">
      <w:pPr>
        <w:numPr>
          <w:ilvl w:val="0"/>
          <w:numId w:val="73"/>
        </w:numPr>
        <w:spacing w:after="0" w:line="240" w:lineRule="auto"/>
        <w:contextualSpacing/>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ELEMENTS OF THE CORPORATE GOVERNANCE DECLARATION</w:t>
      </w:r>
    </w:p>
    <w:p w:rsidR="0037604E" w:rsidRPr="0037604E" w:rsidRDefault="0037604E" w:rsidP="00FA6EB9">
      <w:pPr>
        <w:numPr>
          <w:ilvl w:val="0"/>
          <w:numId w:val="74"/>
        </w:numPr>
        <w:spacing w:after="0" w:line="240" w:lineRule="auto"/>
        <w:contextualSpacing/>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Section A – Information related to the componence, responsibilities and activities of the board and of the committees</w:t>
      </w:r>
    </w:p>
    <w:p w:rsidR="0037604E" w:rsidRPr="0037604E" w:rsidRDefault="0037604E" w:rsidP="00FA6EB9">
      <w:pPr>
        <w:numPr>
          <w:ilvl w:val="0"/>
          <w:numId w:val="74"/>
        </w:numPr>
        <w:spacing w:after="0" w:line="240" w:lineRule="auto"/>
        <w:contextualSpacing/>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Section B – Information on the risks and internal control</w:t>
      </w:r>
    </w:p>
    <w:p w:rsidR="0037604E" w:rsidRPr="0037604E" w:rsidRDefault="0037604E" w:rsidP="00FA6EB9">
      <w:pPr>
        <w:numPr>
          <w:ilvl w:val="0"/>
          <w:numId w:val="74"/>
        </w:numPr>
        <w:spacing w:after="0" w:line="240" w:lineRule="auto"/>
        <w:contextualSpacing/>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Section C – Information on the remuneration</w:t>
      </w:r>
    </w:p>
    <w:p w:rsidR="0037604E" w:rsidRPr="0037604E" w:rsidRDefault="0037604E" w:rsidP="00FA6EB9">
      <w:pPr>
        <w:numPr>
          <w:ilvl w:val="0"/>
          <w:numId w:val="74"/>
        </w:numPr>
        <w:spacing w:after="0" w:line="240" w:lineRule="auto"/>
        <w:contextualSpacing/>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Section D – Information on shareholders</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p>
    <w:p w:rsidR="0037604E" w:rsidRPr="0037604E" w:rsidRDefault="0037604E" w:rsidP="00FA6EB9">
      <w:pPr>
        <w:numPr>
          <w:ilvl w:val="0"/>
          <w:numId w:val="75"/>
        </w:numPr>
        <w:spacing w:after="0" w:line="240" w:lineRule="auto"/>
        <w:contextualSpacing/>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THE DECLARATION RELATED TO THE COMPLIANCE WITH THE CODE</w:t>
      </w:r>
    </w:p>
    <w:p w:rsidR="0037604E" w:rsidRPr="0037604E" w:rsidRDefault="0037604E" w:rsidP="0037604E">
      <w:pPr>
        <w:spacing w:after="0" w:line="240" w:lineRule="auto"/>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bCs/>
          <w:i/>
          <w:sz w:val="24"/>
          <w:szCs w:val="24"/>
          <w:lang w:val="en-GB"/>
        </w:rPr>
      </w:pPr>
      <w:r w:rsidRPr="0037604E">
        <w:rPr>
          <w:rFonts w:ascii="Cambria" w:eastAsia="Times New Roman" w:hAnsi="Cambria" w:cs="Times New Roman"/>
          <w:bCs/>
          <w:sz w:val="24"/>
          <w:szCs w:val="24"/>
          <w:lang w:val="en-GB"/>
        </w:rPr>
        <w:t xml:space="preserve">SNTGN Transgaz SA as company listed on the Bucharest Stock Exchange in the Premium category, has voluntarily adopted the provisions of the CGC of the BSE and reports starting with 2010 the total or partial compliance by </w:t>
      </w:r>
      <w:r w:rsidRPr="0037604E">
        <w:rPr>
          <w:rFonts w:ascii="Cambria" w:eastAsia="Times New Roman" w:hAnsi="Cambria" w:cs="Times New Roman"/>
          <w:b/>
          <w:bCs/>
          <w:i/>
          <w:sz w:val="24"/>
          <w:szCs w:val="24"/>
          <w:lang w:val="en-GB"/>
        </w:rPr>
        <w:t xml:space="preserve">The declaration related to the compliance or non-compliance with the provisions of the Corporate Governance Code (the Declaration “apply or explain”) </w:t>
      </w:r>
      <w:r w:rsidRPr="0037604E">
        <w:rPr>
          <w:rFonts w:ascii="Cambria" w:eastAsia="Times New Roman" w:hAnsi="Cambria" w:cs="Times New Roman"/>
          <w:bCs/>
          <w:i/>
          <w:sz w:val="24"/>
          <w:szCs w:val="24"/>
          <w:lang w:val="en-GB"/>
        </w:rPr>
        <w:t>included in the Report of the Administrators.</w:t>
      </w:r>
      <w:r w:rsidRPr="0037604E">
        <w:rPr>
          <w:rFonts w:ascii="Cambria" w:eastAsia="Times New Roman" w:hAnsi="Cambria" w:cs="Times New Roman"/>
          <w:b/>
          <w:bCs/>
          <w:i/>
          <w:sz w:val="24"/>
          <w:szCs w:val="24"/>
          <w:lang w:val="en-GB"/>
        </w:rPr>
        <w:t xml:space="preserve">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Cs/>
          <w:sz w:val="24"/>
          <w:szCs w:val="24"/>
          <w:lang w:val="en-GB"/>
        </w:rPr>
        <w:t xml:space="preserve">In September 2015, a new </w:t>
      </w:r>
      <w:r w:rsidRPr="0037604E">
        <w:rPr>
          <w:rFonts w:ascii="Cambria" w:eastAsia="Times New Roman" w:hAnsi="Cambria" w:cs="Times New Roman"/>
          <w:b/>
          <w:bCs/>
          <w:sz w:val="24"/>
          <w:szCs w:val="24"/>
          <w:lang w:val="en-GB"/>
        </w:rPr>
        <w:t xml:space="preserve">Corporate Governance Code of the BSE </w:t>
      </w:r>
      <w:r w:rsidRPr="0037604E">
        <w:rPr>
          <w:rFonts w:ascii="Cambria" w:eastAsia="Times New Roman" w:hAnsi="Cambria" w:cs="Times New Roman"/>
          <w:bCs/>
          <w:sz w:val="24"/>
          <w:szCs w:val="24"/>
          <w:lang w:val="en-GB"/>
        </w:rPr>
        <w:t xml:space="preserve">was issued which applies to companies listed on the main market, applicable as of 4 January 2016. The new Code was conceived by BSE as part of a new corporate governance framework and has the purpose to promote some higher standards of governance and transparency of the companies listed.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The implementation of the new rules is based on the principle “apply or explain” which offers the market clear, concrete updated information on the way the listed companies should comply with the corporate governance rules.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i/>
          <w:sz w:val="24"/>
          <w:szCs w:val="24"/>
          <w:lang w:val="en-GB"/>
        </w:rPr>
      </w:pPr>
      <w:r w:rsidRPr="0037604E">
        <w:rPr>
          <w:rFonts w:ascii="Cambria" w:eastAsia="Times New Roman" w:hAnsi="Cambria" w:cs="Times New Roman"/>
          <w:bCs/>
          <w:sz w:val="24"/>
          <w:szCs w:val="24"/>
          <w:lang w:val="en-GB"/>
        </w:rPr>
        <w:t xml:space="preserve">Transgaz fully complies with most of the provisions of the new Code, and the provisions the company does not comply with yet were explicitly presented in a current report sent to the BSE in January 2016 which was published on the site of the company in the section: </w:t>
      </w:r>
      <w:r w:rsidRPr="0037604E">
        <w:rPr>
          <w:rFonts w:ascii="Cambria" w:eastAsia="Times New Roman" w:hAnsi="Cambria" w:cs="Times New Roman"/>
          <w:bCs/>
          <w:i/>
          <w:sz w:val="24"/>
          <w:szCs w:val="24"/>
          <w:lang w:val="en-GB"/>
        </w:rPr>
        <w:t xml:space="preserve">Information on investors/Current reports/2016. </w:t>
      </w:r>
    </w:p>
    <w:p w:rsidR="0037604E" w:rsidRPr="0037604E" w:rsidRDefault="0037604E" w:rsidP="0037604E">
      <w:pPr>
        <w:spacing w:after="0" w:line="240" w:lineRule="auto"/>
        <w:ind w:firstLine="0"/>
        <w:jc w:val="both"/>
        <w:rPr>
          <w:rFonts w:asciiTheme="majorHAnsi" w:eastAsia="Calibri" w:hAnsiTheme="majorHAnsi" w:cs="DokChampa"/>
          <w:noProof/>
          <w:sz w:val="24"/>
          <w:szCs w:val="24"/>
          <w:lang w:val="ro-RO" w:eastAsia="en-US"/>
        </w:rPr>
      </w:pPr>
    </w:p>
    <w:p w:rsidR="0037604E" w:rsidRPr="0037604E" w:rsidRDefault="0037604E" w:rsidP="0037604E">
      <w:pPr>
        <w:spacing w:after="0" w:line="240" w:lineRule="auto"/>
        <w:ind w:firstLine="0"/>
        <w:jc w:val="both"/>
        <w:rPr>
          <w:rFonts w:asciiTheme="majorHAnsi" w:eastAsia="Calibri" w:hAnsiTheme="majorHAnsi" w:cs="DokChampa"/>
          <w:bCs/>
          <w:noProof/>
          <w:sz w:val="24"/>
          <w:szCs w:val="24"/>
          <w:lang w:val="ro-RO" w:eastAsia="en-US"/>
        </w:rPr>
      </w:pPr>
      <w:r w:rsidRPr="0037604E">
        <w:rPr>
          <w:rFonts w:asciiTheme="majorHAnsi" w:eastAsia="Calibri" w:hAnsiTheme="majorHAnsi" w:cs="DokChampa"/>
          <w:noProof/>
          <w:sz w:val="24"/>
          <w:szCs w:val="24"/>
          <w:lang w:val="ro-RO" w:eastAsia="en-US"/>
        </w:rPr>
        <w:t>On 12 October 2016</w:t>
      </w:r>
      <w:r w:rsidRPr="0037604E">
        <w:rPr>
          <w:rFonts w:asciiTheme="majorHAnsi" w:eastAsia="Calibri" w:hAnsiTheme="majorHAnsi" w:cs="DokChampa"/>
          <w:b/>
          <w:noProof/>
          <w:sz w:val="24"/>
          <w:szCs w:val="24"/>
          <w:lang w:val="ro-RO" w:eastAsia="en-US"/>
        </w:rPr>
        <w:t xml:space="preserve"> </w:t>
      </w:r>
      <w:r w:rsidRPr="0037604E">
        <w:rPr>
          <w:rFonts w:asciiTheme="majorHAnsi" w:eastAsia="Calibri" w:hAnsiTheme="majorHAnsi" w:cs="DokChampa"/>
          <w:noProof/>
          <w:sz w:val="24"/>
          <w:szCs w:val="24"/>
          <w:lang w:val="ro-RO" w:eastAsia="en-US"/>
        </w:rPr>
        <w:t>by a</w:t>
      </w:r>
      <w:r w:rsidRPr="0037604E">
        <w:rPr>
          <w:rFonts w:asciiTheme="majorHAnsi" w:eastAsia="Calibri" w:hAnsiTheme="majorHAnsi" w:cs="DokChampa"/>
          <w:b/>
          <w:noProof/>
          <w:sz w:val="24"/>
          <w:szCs w:val="24"/>
          <w:lang w:val="ro-RO" w:eastAsia="en-US"/>
        </w:rPr>
        <w:t xml:space="preserve"> </w:t>
      </w:r>
      <w:r w:rsidRPr="0037604E">
        <w:rPr>
          <w:rFonts w:asciiTheme="majorHAnsi" w:eastAsia="Calibri" w:hAnsiTheme="majorHAnsi" w:cs="DokChampa"/>
          <w:noProof/>
          <w:sz w:val="24"/>
          <w:szCs w:val="24"/>
          <w:lang w:val="ro-RO" w:eastAsia="en-US"/>
        </w:rPr>
        <w:t>Current Report sent to the Bucharest Stock Exchange, SNTGN TRANSGAZ SA</w:t>
      </w:r>
      <w:r w:rsidRPr="0037604E">
        <w:rPr>
          <w:rFonts w:asciiTheme="majorHAnsi" w:eastAsia="Calibri" w:hAnsiTheme="majorHAnsi" w:cs="DokChampa"/>
          <w:bCs/>
          <w:noProof/>
          <w:sz w:val="24"/>
          <w:szCs w:val="24"/>
          <w:lang w:val="ro-RO" w:eastAsia="en-US"/>
        </w:rPr>
        <w:t xml:space="preserve"> informed all those concerned on the new BSE Corporate Governance Code as follows:</w:t>
      </w:r>
    </w:p>
    <w:p w:rsidR="0037604E" w:rsidRPr="0037604E" w:rsidRDefault="0037604E" w:rsidP="0037604E">
      <w:pPr>
        <w:spacing w:after="0" w:line="240" w:lineRule="auto"/>
        <w:ind w:firstLine="0"/>
        <w:jc w:val="both"/>
        <w:rPr>
          <w:rFonts w:ascii="Cambria" w:eastAsia="Times New Roman" w:hAnsi="Cambria" w:cs="Times New Roman"/>
          <w:bCs/>
          <w:i/>
          <w:sz w:val="24"/>
          <w:szCs w:val="24"/>
          <w:lang w:val="en-GB"/>
        </w:rPr>
      </w:pPr>
    </w:p>
    <w:p w:rsidR="0037604E" w:rsidRPr="0037604E" w:rsidRDefault="0037604E" w:rsidP="0037604E">
      <w:pPr>
        <w:spacing w:after="0" w:line="240" w:lineRule="auto"/>
        <w:ind w:firstLine="0"/>
        <w:rPr>
          <w:rFonts w:asciiTheme="majorHAnsi" w:eastAsia="Calibri" w:hAnsiTheme="majorHAnsi" w:cs="DokChampa"/>
          <w:b/>
          <w:noProof/>
          <w:lang w:val="ro-RO" w:eastAsia="en-US"/>
        </w:rPr>
      </w:pPr>
    </w:p>
    <w:tbl>
      <w:tblPr>
        <w:tblW w:w="949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54"/>
        <w:gridCol w:w="6032"/>
        <w:gridCol w:w="2307"/>
      </w:tblGrid>
      <w:tr w:rsidR="0037604E" w:rsidRPr="0037604E" w:rsidTr="0037604E">
        <w:trPr>
          <w:trHeight w:val="490"/>
          <w:tblHeader/>
          <w:tblCellSpacing w:w="20" w:type="dxa"/>
        </w:trPr>
        <w:tc>
          <w:tcPr>
            <w:tcW w:w="1095" w:type="dxa"/>
            <w:shd w:val="clear" w:color="auto" w:fill="DEEAF6"/>
            <w:vAlign w:val="center"/>
          </w:tcPr>
          <w:p w:rsidR="0037604E" w:rsidRPr="0037604E" w:rsidRDefault="0037604E" w:rsidP="0037604E">
            <w:pPr>
              <w:spacing w:after="0" w:line="240" w:lineRule="auto"/>
              <w:ind w:firstLine="0"/>
              <w:rPr>
                <w:rFonts w:asciiTheme="majorHAnsi" w:eastAsia="Calibri" w:hAnsiTheme="majorHAnsi" w:cs="DokChampa"/>
                <w:b/>
                <w:noProof/>
                <w:sz w:val="24"/>
                <w:szCs w:val="24"/>
                <w:lang w:val="ro-RO" w:eastAsia="en-US"/>
              </w:rPr>
            </w:pPr>
            <w:r w:rsidRPr="0037604E">
              <w:rPr>
                <w:rFonts w:asciiTheme="majorHAnsi" w:eastAsia="Calibri" w:hAnsiTheme="majorHAnsi" w:cs="DokChampa"/>
                <w:b/>
                <w:noProof/>
                <w:sz w:val="24"/>
                <w:szCs w:val="24"/>
                <w:lang w:val="ro-RO" w:eastAsia="en-US"/>
              </w:rPr>
              <w:t>Section</w:t>
            </w:r>
          </w:p>
        </w:tc>
        <w:tc>
          <w:tcPr>
            <w:tcW w:w="6130" w:type="dxa"/>
            <w:shd w:val="clear" w:color="auto" w:fill="DEEAF6"/>
            <w:vAlign w:val="center"/>
          </w:tcPr>
          <w:p w:rsidR="0037604E" w:rsidRPr="0037604E" w:rsidRDefault="0037604E" w:rsidP="0037604E">
            <w:pPr>
              <w:spacing w:after="0" w:line="240" w:lineRule="auto"/>
              <w:ind w:firstLine="0"/>
              <w:jc w:val="center"/>
              <w:rPr>
                <w:rFonts w:asciiTheme="majorHAnsi" w:eastAsia="Calibri" w:hAnsiTheme="majorHAnsi" w:cs="DokChampa"/>
                <w:b/>
                <w:noProof/>
                <w:sz w:val="24"/>
                <w:szCs w:val="24"/>
                <w:lang w:val="ro-RO" w:eastAsia="en-US"/>
              </w:rPr>
            </w:pPr>
            <w:r w:rsidRPr="0037604E">
              <w:rPr>
                <w:rFonts w:asciiTheme="majorHAnsi" w:eastAsia="Calibri" w:hAnsiTheme="majorHAnsi" w:cs="DokChampa"/>
                <w:b/>
                <w:noProof/>
                <w:sz w:val="24"/>
                <w:szCs w:val="24"/>
                <w:lang w:val="ro-RO" w:eastAsia="en-US"/>
              </w:rPr>
              <w:t>CGC provision</w:t>
            </w:r>
          </w:p>
        </w:tc>
        <w:tc>
          <w:tcPr>
            <w:tcW w:w="2268" w:type="dxa"/>
            <w:shd w:val="clear" w:color="auto" w:fill="DEEAF6"/>
            <w:vAlign w:val="center"/>
          </w:tcPr>
          <w:p w:rsidR="0037604E" w:rsidRPr="0037604E" w:rsidRDefault="0037604E" w:rsidP="0037604E">
            <w:pPr>
              <w:spacing w:after="0" w:line="240" w:lineRule="auto"/>
              <w:ind w:firstLine="0"/>
              <w:jc w:val="center"/>
              <w:rPr>
                <w:rFonts w:asciiTheme="majorHAnsi" w:eastAsia="Calibri" w:hAnsiTheme="majorHAnsi" w:cs="DokChampa"/>
                <w:b/>
                <w:noProof/>
                <w:sz w:val="20"/>
                <w:szCs w:val="20"/>
                <w:lang w:val="ro-RO" w:eastAsia="en-US"/>
              </w:rPr>
            </w:pPr>
            <w:r w:rsidRPr="0037604E">
              <w:rPr>
                <w:rFonts w:asciiTheme="majorHAnsi" w:eastAsia="Calibri" w:hAnsiTheme="majorHAnsi" w:cs="DokChampa"/>
                <w:b/>
                <w:noProof/>
                <w:sz w:val="20"/>
                <w:szCs w:val="20"/>
                <w:lang w:val="ro-RO" w:eastAsia="en-US"/>
              </w:rPr>
              <w:t>Clarifications regarding compliance</w:t>
            </w:r>
          </w:p>
        </w:tc>
      </w:tr>
      <w:tr w:rsidR="0037604E" w:rsidRPr="0037604E" w:rsidTr="0037604E">
        <w:trPr>
          <w:trHeight w:val="305"/>
          <w:tblCellSpacing w:w="20" w:type="dxa"/>
        </w:trPr>
        <w:tc>
          <w:tcPr>
            <w:tcW w:w="1095" w:type="dxa"/>
            <w:shd w:val="clear" w:color="auto" w:fill="auto"/>
            <w:vAlign w:val="center"/>
          </w:tcPr>
          <w:p w:rsidR="0037604E" w:rsidRPr="0037604E" w:rsidRDefault="0037604E" w:rsidP="0037604E">
            <w:pPr>
              <w:spacing w:after="0" w:line="240" w:lineRule="auto"/>
              <w:ind w:firstLine="0"/>
              <w:jc w:val="center"/>
              <w:rPr>
                <w:rFonts w:asciiTheme="majorHAnsi" w:eastAsia="Calibri" w:hAnsiTheme="majorHAnsi" w:cs="DokChampa"/>
                <w:noProof/>
                <w:sz w:val="24"/>
                <w:szCs w:val="24"/>
                <w:lang w:val="ro-RO" w:eastAsia="en-US"/>
              </w:rPr>
            </w:pPr>
            <w:r w:rsidRPr="0037604E">
              <w:rPr>
                <w:rFonts w:asciiTheme="majorHAnsi" w:eastAsia="Calibri" w:hAnsiTheme="majorHAnsi" w:cs="DokChampa"/>
                <w:b/>
                <w:noProof/>
                <w:sz w:val="24"/>
                <w:szCs w:val="24"/>
                <w:lang w:val="ro-RO" w:eastAsia="en-US"/>
              </w:rPr>
              <w:t>A.2.</w:t>
            </w:r>
          </w:p>
        </w:tc>
        <w:tc>
          <w:tcPr>
            <w:tcW w:w="6130" w:type="dxa"/>
            <w:shd w:val="clear" w:color="auto" w:fill="auto"/>
          </w:tcPr>
          <w:p w:rsidR="0037604E" w:rsidRPr="0037604E" w:rsidRDefault="0037604E" w:rsidP="0037604E">
            <w:pPr>
              <w:spacing w:after="0" w:line="240" w:lineRule="auto"/>
              <w:ind w:firstLine="0"/>
              <w:jc w:val="both"/>
              <w:rPr>
                <w:rFonts w:asciiTheme="majorHAnsi" w:eastAsia="Calibri" w:hAnsiTheme="majorHAnsi" w:cs="DokChampa"/>
                <w:noProof/>
                <w:sz w:val="20"/>
                <w:szCs w:val="20"/>
                <w:lang w:val="ro-RO" w:eastAsia="en-US"/>
              </w:rPr>
            </w:pPr>
            <w:r w:rsidRPr="0037604E">
              <w:rPr>
                <w:rFonts w:asciiTheme="majorHAnsi" w:hAnsiTheme="majorHAnsi" w:cs="Knockout-HTF31-JuniorMiddlewt"/>
                <w:sz w:val="20"/>
                <w:szCs w:val="20"/>
              </w:rPr>
              <w:t>Provisions for the management of conflict of interest should be included in Board regulation. In any event, members of the Board should notify the Board of any conflicts of interest which have arisen or may arise, and should refrain from taking part in the discussion (including by not being present where this does not render the meeting non-quorate) and from voting on the adoption of a resolution on the issue which gives rise to such conflict of interest.</w:t>
            </w:r>
          </w:p>
        </w:tc>
        <w:tc>
          <w:tcPr>
            <w:tcW w:w="2268" w:type="dxa"/>
            <w:shd w:val="clear" w:color="auto" w:fill="auto"/>
          </w:tcPr>
          <w:p w:rsidR="0037604E" w:rsidRPr="0037604E" w:rsidRDefault="0037604E" w:rsidP="0037604E">
            <w:pPr>
              <w:spacing w:after="0" w:line="240" w:lineRule="auto"/>
              <w:ind w:firstLine="0"/>
              <w:rPr>
                <w:rFonts w:asciiTheme="majorHAnsi" w:eastAsia="Calibri" w:hAnsiTheme="majorHAnsi" w:cs="DokChampa"/>
                <w:noProof/>
                <w:sz w:val="20"/>
                <w:szCs w:val="20"/>
                <w:lang w:val="ro-RO" w:eastAsia="en-US"/>
              </w:rPr>
            </w:pPr>
            <w:r w:rsidRPr="0037604E">
              <w:rPr>
                <w:rFonts w:asciiTheme="majorHAnsi" w:hAnsiTheme="majorHAnsi" w:cs="Calibri"/>
                <w:sz w:val="20"/>
                <w:szCs w:val="20"/>
              </w:rPr>
              <w:t>Provision included in the Rules of procedure of the Board of Administration in</w:t>
            </w:r>
            <w:r w:rsidRPr="0037604E">
              <w:rPr>
                <w:rFonts w:asciiTheme="majorHAnsi" w:hAnsiTheme="majorHAnsi"/>
                <w:noProof/>
                <w:sz w:val="20"/>
                <w:szCs w:val="20"/>
              </w:rPr>
              <w:t xml:space="preserve"> Art. 17, approved by Art. 1 of the OGMS Decision no. 4 dated 23.06.2016.</w:t>
            </w:r>
          </w:p>
        </w:tc>
      </w:tr>
    </w:tbl>
    <w:p w:rsidR="0037604E" w:rsidRPr="0037604E" w:rsidRDefault="0037604E" w:rsidP="0037604E">
      <w:pPr>
        <w:spacing w:after="0" w:line="240" w:lineRule="auto"/>
        <w:ind w:firstLine="0"/>
        <w:jc w:val="both"/>
        <w:rPr>
          <w:rFonts w:ascii="Cambria" w:eastAsia="Times New Roman" w:hAnsi="Cambria" w:cs="Times New Roman"/>
          <w:bCs/>
          <w:i/>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Any subsequent compliance the company achieves in this respect will be reported to the capital market.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 xml:space="preserve">Table on the compliance or non-compliance with the provisions of the new Code </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p>
    <w:tbl>
      <w:tblPr>
        <w:tblW w:w="9562"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821"/>
        <w:gridCol w:w="3763"/>
        <w:gridCol w:w="1318"/>
        <w:gridCol w:w="1559"/>
        <w:gridCol w:w="2101"/>
      </w:tblGrid>
      <w:tr w:rsidR="0037604E" w:rsidRPr="0037604E" w:rsidTr="0037604E">
        <w:trPr>
          <w:tblHeader/>
          <w:tblCellSpacing w:w="20" w:type="dxa"/>
        </w:trPr>
        <w:tc>
          <w:tcPr>
            <w:tcW w:w="4524" w:type="dxa"/>
            <w:gridSpan w:val="2"/>
            <w:shd w:val="clear" w:color="auto" w:fill="DBE5F1" w:themeFill="accent1" w:themeFillTint="33"/>
            <w:vAlign w:val="center"/>
          </w:tcPr>
          <w:p w:rsidR="0037604E" w:rsidRPr="00E72DDA" w:rsidRDefault="0037604E" w:rsidP="0037604E">
            <w:pPr>
              <w:spacing w:after="0" w:line="240" w:lineRule="auto"/>
              <w:ind w:firstLine="0"/>
              <w:jc w:val="both"/>
              <w:rPr>
                <w:rFonts w:ascii="Cambria" w:eastAsia="Times New Roman" w:hAnsi="Cambria" w:cs="Times New Roman"/>
                <w:b/>
                <w:bCs/>
                <w:lang w:val="en-GB"/>
              </w:rPr>
            </w:pPr>
            <w:r w:rsidRPr="00E72DDA">
              <w:rPr>
                <w:rFonts w:ascii="Cambria" w:eastAsia="Times New Roman" w:hAnsi="Cambria" w:cs="Times New Roman"/>
                <w:b/>
                <w:bCs/>
                <w:lang w:val="en-GB"/>
              </w:rPr>
              <w:t>The provisions of the new code</w:t>
            </w:r>
          </w:p>
        </w:tc>
        <w:tc>
          <w:tcPr>
            <w:tcW w:w="1278" w:type="dxa"/>
            <w:shd w:val="clear" w:color="auto" w:fill="DBE5F1" w:themeFill="accent1" w:themeFillTint="33"/>
            <w:vAlign w:val="center"/>
          </w:tcPr>
          <w:p w:rsidR="0037604E" w:rsidRPr="00E72DDA" w:rsidRDefault="0037604E" w:rsidP="0037604E">
            <w:pPr>
              <w:spacing w:after="0" w:line="240" w:lineRule="auto"/>
              <w:ind w:firstLine="0"/>
              <w:jc w:val="both"/>
              <w:rPr>
                <w:rFonts w:ascii="Cambria" w:eastAsia="Times New Roman" w:hAnsi="Cambria" w:cs="Times New Roman"/>
                <w:b/>
                <w:bCs/>
                <w:lang w:val="en-GB"/>
              </w:rPr>
            </w:pPr>
            <w:r w:rsidRPr="00E72DDA">
              <w:rPr>
                <w:rFonts w:ascii="Cambria" w:eastAsia="Times New Roman" w:hAnsi="Cambria" w:cs="Times New Roman"/>
                <w:b/>
                <w:bCs/>
                <w:lang w:val="en-GB"/>
              </w:rPr>
              <w:t>Complies</w:t>
            </w:r>
          </w:p>
        </w:tc>
        <w:tc>
          <w:tcPr>
            <w:tcW w:w="1519" w:type="dxa"/>
            <w:shd w:val="clear" w:color="auto" w:fill="DBE5F1" w:themeFill="accent1" w:themeFillTint="33"/>
            <w:vAlign w:val="center"/>
          </w:tcPr>
          <w:p w:rsidR="0037604E" w:rsidRPr="00E72DDA" w:rsidRDefault="0037604E" w:rsidP="0037604E">
            <w:pPr>
              <w:spacing w:after="0" w:line="240" w:lineRule="auto"/>
              <w:ind w:firstLine="0"/>
              <w:jc w:val="both"/>
              <w:rPr>
                <w:rFonts w:ascii="Cambria" w:eastAsia="Times New Roman" w:hAnsi="Cambria" w:cs="Times New Roman"/>
                <w:b/>
                <w:bCs/>
                <w:lang w:val="en-GB"/>
              </w:rPr>
            </w:pPr>
            <w:r w:rsidRPr="00E72DDA">
              <w:rPr>
                <w:rFonts w:ascii="Cambria" w:eastAsia="Times New Roman" w:hAnsi="Cambria" w:cs="Times New Roman"/>
                <w:b/>
                <w:bCs/>
                <w:lang w:val="en-GB"/>
              </w:rPr>
              <w:t xml:space="preserve">Does not comply or complies partially </w:t>
            </w:r>
          </w:p>
        </w:tc>
        <w:tc>
          <w:tcPr>
            <w:tcW w:w="2041" w:type="dxa"/>
            <w:shd w:val="clear" w:color="auto" w:fill="DBE5F1" w:themeFill="accent1" w:themeFillTint="33"/>
            <w:vAlign w:val="center"/>
          </w:tcPr>
          <w:p w:rsidR="0037604E" w:rsidRPr="00E72DDA" w:rsidRDefault="0037604E" w:rsidP="0037604E">
            <w:pPr>
              <w:spacing w:after="0" w:line="240" w:lineRule="auto"/>
              <w:ind w:firstLine="0"/>
              <w:jc w:val="both"/>
              <w:rPr>
                <w:rFonts w:ascii="Cambria" w:eastAsia="Times New Roman" w:hAnsi="Cambria" w:cs="Times New Roman"/>
                <w:b/>
                <w:bCs/>
                <w:lang w:val="en-GB"/>
              </w:rPr>
            </w:pPr>
            <w:r w:rsidRPr="00E72DDA">
              <w:rPr>
                <w:rFonts w:ascii="Cambria" w:eastAsia="Times New Roman" w:hAnsi="Cambria" w:cs="Times New Roman"/>
                <w:b/>
                <w:bCs/>
                <w:lang w:val="en-GB"/>
              </w:rPr>
              <w:t>The reason for the non-compliance</w:t>
            </w:r>
          </w:p>
        </w:tc>
      </w:tr>
      <w:tr w:rsidR="0037604E" w:rsidRPr="0037604E" w:rsidTr="0037604E">
        <w:trPr>
          <w:tblCellSpacing w:w="20" w:type="dxa"/>
        </w:trPr>
        <w:tc>
          <w:tcPr>
            <w:tcW w:w="9482" w:type="dxa"/>
            <w:gridSpan w:val="5"/>
            <w:shd w:val="clear" w:color="auto" w:fill="DBE5F1" w:themeFill="accent1" w:themeFillTint="33"/>
          </w:tcPr>
          <w:p w:rsidR="0037604E" w:rsidRPr="00E72DDA" w:rsidRDefault="0037604E" w:rsidP="0037604E">
            <w:pPr>
              <w:spacing w:after="0" w:line="240" w:lineRule="auto"/>
              <w:ind w:firstLine="0"/>
              <w:jc w:val="both"/>
              <w:rPr>
                <w:rFonts w:ascii="Cambria" w:eastAsia="Times New Roman" w:hAnsi="Cambria" w:cs="Times New Roman"/>
                <w:bCs/>
                <w:lang w:val="en-GB"/>
              </w:rPr>
            </w:pPr>
            <w:r w:rsidRPr="00E72DDA">
              <w:rPr>
                <w:rFonts w:ascii="Cambria" w:eastAsia="Times New Roman" w:hAnsi="Cambria" w:cs="Times New Roman"/>
                <w:b/>
                <w:bCs/>
                <w:lang w:val="en-GB"/>
              </w:rPr>
              <w:t xml:space="preserve">Section A </w:t>
            </w:r>
            <w:r w:rsidR="00E72DDA">
              <w:rPr>
                <w:rFonts w:ascii="Cambria" w:eastAsia="Times New Roman" w:hAnsi="Cambria" w:cs="Times New Roman"/>
                <w:b/>
                <w:bCs/>
                <w:lang w:val="en-GB"/>
              </w:rPr>
              <w:t>–</w:t>
            </w:r>
            <w:r w:rsidRPr="00E72DDA">
              <w:rPr>
                <w:rFonts w:ascii="Cambria" w:eastAsia="Times New Roman" w:hAnsi="Cambria" w:cs="Times New Roman"/>
                <w:b/>
                <w:bCs/>
                <w:lang w:val="en-GB"/>
              </w:rPr>
              <w:t xml:space="preserve"> Responsibilities</w:t>
            </w:r>
            <w:r w:rsidR="00E72DDA">
              <w:rPr>
                <w:rFonts w:ascii="Cambria" w:eastAsia="Times New Roman" w:hAnsi="Cambria" w:cs="Times New Roman"/>
                <w:b/>
                <w:bCs/>
                <w:lang w:val="en-GB"/>
              </w:rPr>
              <w:t xml:space="preserve">  </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lastRenderedPageBreak/>
              <w:t>A.1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All companies should have internal regulation of the Board which includes terms of reference/responsibilities for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Board and key management functions of the company, applying, among others, the General Principles of Section A.</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rHeight w:val="1974"/>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A.2</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Provisions for the management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of conflict of interest should be included in Board regulation. In any event, members of the Board should notify the Board of any conflicts of interest which have arisen or may arise, and should refrain from taking part in the discussion (including by not being</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present where this does not render the meeting non-quorate) and from voting on the adoption of a resolution on the issue which gives rise to such conflict of interest.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rHeight w:val="427"/>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A.3</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Board of Directors or the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Supervisory Board should have at least five members.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majority of the members of the Board of Directors should be non-executive. At least one member of the Board of Directors or Supervisory Board should be independent, in the case of Standard Tier companies. Not less than two non-executive members of the Board of Directors or Supervisory Board should be independent, in the case of Premium Tier Companies. Each member of the Board of Directors or Supervisory Board, as the case may be, should submit a declaration that he/she is independent at the moment of his/her nomination for election or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re-election as well as when any change in his/her status arises, by </w:t>
            </w:r>
            <w:r w:rsidRPr="0037604E">
              <w:rPr>
                <w:rFonts w:ascii="Cambria" w:eastAsia="Times New Roman" w:hAnsi="Cambria" w:cs="Times New Roman"/>
                <w:bCs/>
                <w:sz w:val="24"/>
                <w:szCs w:val="24"/>
                <w:lang w:val="en-GB"/>
              </w:rPr>
              <w:lastRenderedPageBreak/>
              <w:t>demonstrating the ground on which he/she is considered independent in character and judgement in practice and according to the following criteria:</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A.4.1.</w:t>
            </w:r>
            <w:r w:rsidRPr="0037604E">
              <w:rPr>
                <w:rFonts w:ascii="Cambria" w:eastAsia="Times New Roman" w:hAnsi="Cambria" w:cs="Times New Roman"/>
                <w:bCs/>
                <w:sz w:val="24"/>
                <w:szCs w:val="24"/>
                <w:lang w:val="en-GB"/>
              </w:rPr>
              <w:t xml:space="preserve">  Not to be the CEO/executive officer of the company or of a company controlled by it and not have been in such position for the previous five years;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A.4.2.</w:t>
            </w:r>
            <w:r w:rsidRPr="0037604E">
              <w:rPr>
                <w:rFonts w:ascii="Cambria" w:eastAsia="Times New Roman" w:hAnsi="Cambria" w:cs="Times New Roman"/>
                <w:bCs/>
                <w:sz w:val="24"/>
                <w:szCs w:val="24"/>
                <w:lang w:val="en-GB"/>
              </w:rPr>
              <w:t xml:space="preserve"> Not to be an employee of the company or of a company controlled by it and not have been in such position for the previous five (5) years;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A.4.3.</w:t>
            </w:r>
            <w:r w:rsidRPr="0037604E">
              <w:rPr>
                <w:rFonts w:ascii="Cambria" w:eastAsia="Times New Roman" w:hAnsi="Cambria" w:cs="Times New Roman"/>
                <w:bCs/>
                <w:sz w:val="24"/>
                <w:szCs w:val="24"/>
                <w:lang w:val="en-GB"/>
              </w:rPr>
              <w:t xml:space="preserve"> Not to receive and not have received additional remuneration or other advantages from the company or from a company controlled by it, apart from those corresponding to the quality of non-executive director;</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A.4.4.</w:t>
            </w:r>
            <w:r w:rsidRPr="0037604E">
              <w:rPr>
                <w:rFonts w:ascii="Cambria" w:eastAsia="Times New Roman" w:hAnsi="Cambria" w:cs="Times New Roman"/>
                <w:bCs/>
                <w:sz w:val="24"/>
                <w:szCs w:val="24"/>
                <w:lang w:val="en-GB"/>
              </w:rPr>
              <w:t xml:space="preserve"> Is not or has not been an employee of, or has not or had not any contractual relationship, during the previous year, with a significant shareholder of the company, controlling more than 10% of voting rights or with a company controlled by it;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A.4.5.</w:t>
            </w:r>
            <w:r w:rsidRPr="0037604E">
              <w:rPr>
                <w:rFonts w:ascii="Cambria" w:eastAsia="Times New Roman" w:hAnsi="Cambria" w:cs="Times New Roman"/>
                <w:bCs/>
                <w:sz w:val="24"/>
                <w:szCs w:val="24"/>
                <w:lang w:val="en-GB"/>
              </w:rPr>
              <w:t xml:space="preserve"> Not to have and not have had during the previous year a business or professional relationship with the company or with a company controlled by it, either directly or as a customer, partner, shareholder, member of the Board/ Director, CEO/executive officer or employee of a company having such a relationship if, by its substantial character, this relationship could affect his/her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objectivity;</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A.4.6.</w:t>
            </w:r>
            <w:r w:rsidRPr="0037604E">
              <w:rPr>
                <w:rFonts w:ascii="Cambria" w:eastAsia="Times New Roman" w:hAnsi="Cambria" w:cs="Times New Roman"/>
                <w:bCs/>
                <w:sz w:val="24"/>
                <w:szCs w:val="24"/>
                <w:lang w:val="en-GB"/>
              </w:rPr>
              <w:t xml:space="preserve"> Not to be and not have been</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in the last three years the external</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or internal auditor or a partner or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salaried associate of the current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external financial or internal auditor of the company or a company controlled by it;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A.4.7.</w:t>
            </w:r>
            <w:r w:rsidRPr="0037604E">
              <w:rPr>
                <w:rFonts w:ascii="Cambria" w:eastAsia="Times New Roman" w:hAnsi="Cambria" w:cs="Times New Roman"/>
                <w:bCs/>
                <w:sz w:val="24"/>
                <w:szCs w:val="24"/>
                <w:lang w:val="en-GB"/>
              </w:rPr>
              <w:t xml:space="preserve"> Not to be a CEO/executive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officer in another company where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another CEO/executive officer of</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 is a non-executive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director;</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A.4.8.</w:t>
            </w:r>
            <w:r w:rsidRPr="0037604E">
              <w:rPr>
                <w:rFonts w:ascii="Cambria" w:eastAsia="Times New Roman" w:hAnsi="Cambria" w:cs="Times New Roman"/>
                <w:bCs/>
                <w:sz w:val="24"/>
                <w:szCs w:val="24"/>
                <w:lang w:val="en-GB"/>
              </w:rPr>
              <w:t xml:space="preserve"> Not to have been a non-executive director of the company</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for more than twelve years;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A.4.9.</w:t>
            </w:r>
            <w:r w:rsidRPr="0037604E">
              <w:rPr>
                <w:rFonts w:ascii="Cambria" w:eastAsia="Times New Roman" w:hAnsi="Cambria" w:cs="Times New Roman"/>
                <w:bCs/>
                <w:sz w:val="24"/>
                <w:szCs w:val="24"/>
                <w:lang w:val="en-GB"/>
              </w:rPr>
              <w:t xml:space="preserve"> Not to have family ties with</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 person in the situations referred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to at points A.4.1 and A.4.4.</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A.5</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 Board member’s other relatively permanent professional commitments and engagements, including executive and non-executive Board positions in companies and not-for-profit institutions, should be disclosed to shareholders and to potential investors before appointment and during his/her mandate.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A.6</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Any member of the Board should submit to the Board, information on any relationship with a shareholder who holds directly or indirectly, shares representing more than 5% of all voting rights. This obligation concerns any kind of relationship which may affect the position of the member on issues decided by the Board.</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information will be requested to the members of the BA.</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Transgaz will send to the BSE a current report when complied with.</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A.7</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 should appoint a Board secretary responsible for supporting the work of the Board.</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A.8</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The corporate governance statement should inform on </w:t>
            </w:r>
            <w:r w:rsidRPr="0037604E">
              <w:rPr>
                <w:rFonts w:ascii="Cambria" w:eastAsia="Times New Roman" w:hAnsi="Cambria" w:cs="Times New Roman"/>
                <w:bCs/>
                <w:sz w:val="24"/>
                <w:szCs w:val="24"/>
                <w:lang w:val="en-GB"/>
              </w:rPr>
              <w:lastRenderedPageBreak/>
              <w:t>whether an evaluation of the Board has taken place under the leadership of the chairman or the nomination committee and, if it has, summarize key action points and changes resulting from it. The company should have a policy/guidance regarding the evaluation of the Board containing the purpose, criteria and frequency of the evaluation process.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BA activity is evaluated based </w:t>
            </w:r>
            <w:r w:rsidRPr="0037604E">
              <w:rPr>
                <w:rFonts w:ascii="Cambria" w:eastAsia="Times New Roman" w:hAnsi="Cambria" w:cs="Times New Roman"/>
                <w:bCs/>
                <w:sz w:val="24"/>
                <w:szCs w:val="24"/>
                <w:lang w:val="en-GB"/>
              </w:rPr>
              <w:lastRenderedPageBreak/>
              <w:t>on performance criteria included in the management plan and the mandate contracts, the degree of their achievement is contained in the annual report of the BA.</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 has no policy / guidelines for evaluating the activity of the BA, evaluation is made based on the aforementioned criteria. TGN will report current compliance when developing this policy.</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lastRenderedPageBreak/>
              <w:t>A.9</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corporate governance statement should contain information on the number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of meetings of the Board and the committees during the past year, attendance by directors (in person and in absentia) and a report of the Board and committees on their activities.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A.10</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corporate governance statement should contain information on the precise number of the independent members of the Board of Directors or of the Supervisory Board.</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A.11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The Board of Premium Tier companies should set up a nomination committee formed of non-executives, which will lead </w:t>
            </w:r>
            <w:r w:rsidRPr="0037604E">
              <w:rPr>
                <w:rFonts w:ascii="Cambria" w:eastAsia="Times New Roman" w:hAnsi="Cambria" w:cs="Times New Roman"/>
                <w:bCs/>
                <w:sz w:val="24"/>
                <w:szCs w:val="24"/>
                <w:lang w:val="en-GB"/>
              </w:rPr>
              <w:lastRenderedPageBreak/>
              <w:t>the process for Board appointments and make recommendations to the Board. The majority of the members of the nomination committee should be independent.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9482" w:type="dxa"/>
            <w:gridSpan w:val="5"/>
            <w:shd w:val="clear" w:color="auto" w:fill="DBE5F1" w:themeFill="accent1" w:themeFillTint="33"/>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Section B – RISK MANAGEMENT AND INTERNAL CONTROL SYSTEM</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B.1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Board should set up an audit committee, and at least one member should be an independent non-executive.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majority of members, including the chairman, should have proven an adequate qualification relevant to the functions and responsibilities of the committee. At least one member of the audit committee should have proven and adequate auditing or internal control system and the corporate governance practices. The Board of Directors or Supervisory Board, as the case may be, should set up an independent audit committee capable of ensuring the integrity of financial reporting and of the internal control system, including the internal and external audit processes.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The company will ensure that all related party transactions are considered on their merits in a manner that ensures independence and the protection of the interests of the company, compliant with the restrictions set out in related legislation and fairly disclosed to shareholders and potential investors. The definition of related parties follows that of International Accounting Standard 24 accounting experience. In the case of Premium Tier companies, the audit committee should be </w:t>
            </w:r>
            <w:r w:rsidRPr="0037604E">
              <w:rPr>
                <w:rFonts w:ascii="Cambria" w:eastAsia="Times New Roman" w:hAnsi="Cambria" w:cs="Times New Roman"/>
                <w:bCs/>
                <w:sz w:val="24"/>
                <w:szCs w:val="24"/>
                <w:lang w:val="en-GB"/>
              </w:rPr>
              <w:lastRenderedPageBreak/>
              <w:t>composed of at least three members and the majority of the audit committee should be independent.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B.2</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audit committee should be chaired by an independent non-executive member.</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B.3</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Among its responsibilities, the audit committee should undertake an annual assessment of the system of internal control.</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B.4</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assessment should consider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effectiveness and scope of the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internal audit function, the adequacy of risk management and internal control reports to the audit committee of the Board, management’s responsiveness and effectiveness in dealing with identified internal control failings or weaknesses and their submission of relevant reports to the Board.</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B.5</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audit committee should review conflicts of interests in transactions of the company and its subsidiaries with related parties.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B.6</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audit committee should evaluate the efficiency of the internal control system and risk management system.</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B.7</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audit committee should monitor the application of statutory and generally accepted standards of internal auditing. The audit committee should receive and evaluate the reports of the internal audit team.</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B.8</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Whenever the Code mentions reviews or analysis to be exercised by the Audit Committee, these should be followed by cyclical (at least annual), or ad-</w:t>
            </w:r>
            <w:r w:rsidRPr="0037604E">
              <w:rPr>
                <w:rFonts w:ascii="Cambria" w:eastAsia="Times New Roman" w:hAnsi="Cambria" w:cs="Times New Roman"/>
                <w:bCs/>
                <w:iCs/>
                <w:sz w:val="24"/>
                <w:szCs w:val="24"/>
                <w:lang w:val="en-GB"/>
              </w:rPr>
              <w:lastRenderedPageBreak/>
              <w:t>hoc reports to be submitted to the Board afterwards.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B.9</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No shareholder may be given undue preference over other shareholders with regard to transactions and agreements made by the company with shareholders and their related parties.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B.10</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Board should adopt a policy ensuring that any transaction of the company with any of the companies with which it has close relations, that is equal to or more than 5% of the net assets of the company (as stated in the latest financial report), should be approved by the Board following an obligatory opinion of the Board’s audit committee, and fairly disclosed to the shareholders and potential investors, to the extent that such transactions fall under the category of events subject to disclosure requirements.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This policy will be elaborated and approved according to the Rules of procedure and organization of the BA and to the Articles of Incorporation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B.11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The internal audits should be carried out by a separate structural division</w:t>
            </w:r>
          </w:p>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(internal audit department) within the company or by retaining an independent third-party entity.</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B.12</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 xml:space="preserve"> To ensure the fulfillment of the core functions of the internal audit department, it should report functionally to the Board via the audit committee.</w:t>
            </w:r>
          </w:p>
          <w:p w:rsidR="0037604E" w:rsidRPr="0037604E" w:rsidRDefault="0037604E" w:rsidP="0037604E">
            <w:pPr>
              <w:spacing w:after="0" w:line="240" w:lineRule="auto"/>
              <w:ind w:firstLine="0"/>
              <w:jc w:val="both"/>
              <w:rPr>
                <w:rFonts w:ascii="Cambria" w:eastAsia="Times New Roman" w:hAnsi="Cambria" w:cs="Times New Roman"/>
                <w:bCs/>
                <w:iCs/>
                <w:sz w:val="24"/>
                <w:szCs w:val="24"/>
                <w:lang w:val="en-GB"/>
              </w:rPr>
            </w:pPr>
            <w:r w:rsidRPr="0037604E">
              <w:rPr>
                <w:rFonts w:ascii="Cambria" w:eastAsia="Times New Roman" w:hAnsi="Cambria" w:cs="Times New Roman"/>
                <w:bCs/>
                <w:iCs/>
                <w:sz w:val="24"/>
                <w:szCs w:val="24"/>
                <w:lang w:val="en-GB"/>
              </w:rPr>
              <w:t>For administrative purposes and in the scope related to the obligations of the management to monitor and mitigate risks, it should report directly to the chief executive officer.</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9482" w:type="dxa"/>
            <w:gridSpan w:val="5"/>
            <w:shd w:val="clear" w:color="auto" w:fill="DBE5F1" w:themeFill="accent1" w:themeFillTint="33"/>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lastRenderedPageBreak/>
              <w:t>Section C – FAIR REWARDS AND MOTIVATION</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C.1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 should publish a remuneration policy on its website and include in its annual report a remuneration statement on the implementation of this policy during the annual period under review.</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remuneration policy should be formulated in such a way that allows stakeholders to understand the principles and rationale behind the remuneration of the members of the Board and the CEO, as well as of the members of the Management Board in two-tier board systems. It should describe the remuneration governance and decision-making process, detail the components of executive remuneration (i.e. salaries, annual bonus, long term stock-linked incentives, benefits in kind, pensions, and others) and describe each component’s purpose, principles and assumptions (including the general performance criteria related to any form of variable remuneration).</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In addition, the remuneration policy should disclose the duration of the executive’s contract and their notice period and eventual compensation for revocation without cause.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remuneration report should present the implementation of the remuneration policy vis-à-vis the persons identified in the remuneration policy during the annual period under review.</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Any essential change of the remuneration policy should be </w:t>
            </w:r>
            <w:r w:rsidRPr="0037604E">
              <w:rPr>
                <w:rFonts w:ascii="Cambria" w:eastAsia="Times New Roman" w:hAnsi="Cambria" w:cs="Times New Roman"/>
                <w:bCs/>
                <w:sz w:val="24"/>
                <w:szCs w:val="24"/>
                <w:lang w:val="en-GB"/>
              </w:rPr>
              <w:lastRenderedPageBreak/>
              <w:t>published on the corporate website in a timely fashion.</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Transgaz applies this provision partially according to the provisions of GEO 109/2011 and Article 39. 55 (2).</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9482" w:type="dxa"/>
            <w:gridSpan w:val="5"/>
            <w:shd w:val="clear" w:color="auto" w:fill="DBE5F1" w:themeFill="accent1" w:themeFillTint="33"/>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Section D – BUILDING VALUE THROUGH INVESTORS’ RELATIONS</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D.1</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 should have an</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Investor Relations function - indicated, by person (s) responsible or an organizational unit, to the general public. In</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addition to information required by legal provisions, the company should include on its corporate website a dedicated Investor Relations section, both in Romanian and English, with all relevant information of interest for investors, including:</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D.1.1.</w:t>
            </w:r>
            <w:r w:rsidRPr="0037604E">
              <w:rPr>
                <w:rFonts w:ascii="Cambria" w:eastAsia="Times New Roman" w:hAnsi="Cambria" w:cs="Times New Roman"/>
                <w:bCs/>
                <w:sz w:val="24"/>
                <w:szCs w:val="24"/>
                <w:lang w:val="en-GB"/>
              </w:rPr>
              <w:t xml:space="preserve"> Principal corporate regulations: the articles of association, general shareholders’ meeting procedures;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D.1.2.</w:t>
            </w:r>
            <w:r w:rsidRPr="0037604E">
              <w:rPr>
                <w:rFonts w:ascii="Cambria" w:eastAsia="Times New Roman" w:hAnsi="Cambria" w:cs="Times New Roman"/>
                <w:bCs/>
                <w:sz w:val="24"/>
                <w:szCs w:val="24"/>
                <w:lang w:val="en-GB"/>
              </w:rPr>
              <w:t xml:space="preserve"> Professional CVs of the members of its governing bodies, a Board member’s other professional commitments, including executive and non-executive Board positions in companies and not-for-profit institutions;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D.1.3.</w:t>
            </w:r>
            <w:r w:rsidRPr="0037604E">
              <w:rPr>
                <w:rFonts w:ascii="Cambria" w:eastAsia="Times New Roman" w:hAnsi="Cambria" w:cs="Times New Roman"/>
                <w:bCs/>
                <w:sz w:val="24"/>
                <w:szCs w:val="24"/>
                <w:lang w:val="en-GB"/>
              </w:rPr>
              <w:t xml:space="preserve"> Current reports and periodic reports (quarterly, semi-annual and annual reports) – at least as provided at item D.8 – including current reports with detailed information related to non-compliance with the present Code;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D.1.4.</w:t>
            </w:r>
            <w:r w:rsidRPr="0037604E">
              <w:rPr>
                <w:rFonts w:ascii="Cambria" w:eastAsia="Times New Roman" w:hAnsi="Cambria" w:cs="Times New Roman"/>
                <w:bCs/>
                <w:sz w:val="24"/>
                <w:szCs w:val="24"/>
                <w:lang w:val="en-GB"/>
              </w:rPr>
              <w:t xml:space="preserve"> Information related to general meetings of shareholders: the agenda and supporting materials; the procedure approved for the election of Board members; the rationale for the proposal of candidates for the election to the Board, together with their professional CVs; </w:t>
            </w:r>
            <w:r w:rsidRPr="0037604E">
              <w:rPr>
                <w:rFonts w:ascii="Cambria" w:eastAsia="Times New Roman" w:hAnsi="Cambria" w:cs="Times New Roman"/>
                <w:bCs/>
                <w:sz w:val="24"/>
                <w:szCs w:val="24"/>
                <w:lang w:val="en-GB"/>
              </w:rPr>
              <w:lastRenderedPageBreak/>
              <w:t>shareholders’ questions related to the agenda and the company’s answers, including the decisions taken;</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The company applies this provision partly, in accordance with art. 29 of GEO 109/2011 on corporate governance of public </w:t>
            </w:r>
            <w:r w:rsidRPr="0037604E">
              <w:rPr>
                <w:rFonts w:ascii="Cambria" w:eastAsia="Times New Roman" w:hAnsi="Cambria" w:cs="Times New Roman"/>
                <w:bCs/>
                <w:sz w:val="24"/>
                <w:szCs w:val="24"/>
                <w:lang w:val="en-GB"/>
              </w:rPr>
              <w:lastRenderedPageBreak/>
              <w:t xml:space="preserve">enterprises, as amended and supplemented, </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D.1.5.</w:t>
            </w:r>
            <w:r w:rsidRPr="0037604E">
              <w:rPr>
                <w:rFonts w:ascii="Cambria" w:eastAsia="Times New Roman" w:hAnsi="Cambria" w:cs="Times New Roman"/>
                <w:bCs/>
                <w:sz w:val="24"/>
                <w:szCs w:val="24"/>
                <w:lang w:val="en-GB"/>
              </w:rPr>
              <w:t xml:space="preserve"> Information on corporate events, such as payment of dividends and other distributions to shareholders, or other events leading to the acquisition or limitation of rights of a shareholder, including the deadlines and principles applied to such operations. Such information should be published within a timeframe that enables investors to make investment decisions;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D.1.6.</w:t>
            </w:r>
            <w:r w:rsidRPr="0037604E">
              <w:rPr>
                <w:rFonts w:ascii="Cambria" w:eastAsia="Times New Roman" w:hAnsi="Cambria" w:cs="Times New Roman"/>
                <w:bCs/>
                <w:sz w:val="24"/>
                <w:szCs w:val="24"/>
                <w:lang w:val="en-GB"/>
              </w:rPr>
              <w:t xml:space="preserve"> The name and contact data</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of a person who should be able to</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provide knowledgeable information on request;</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
                <w:bCs/>
                <w:sz w:val="24"/>
                <w:szCs w:val="24"/>
                <w:lang w:val="en-GB"/>
              </w:rPr>
              <w:t>D.1.7.</w:t>
            </w:r>
            <w:r w:rsidRPr="0037604E">
              <w:rPr>
                <w:rFonts w:ascii="Cambria" w:eastAsia="Times New Roman" w:hAnsi="Cambria" w:cs="Times New Roman"/>
                <w:bCs/>
                <w:sz w:val="24"/>
                <w:szCs w:val="24"/>
                <w:lang w:val="en-GB"/>
              </w:rPr>
              <w:t xml:space="preserve"> Corporate presentations (e.g. IR presentations, quarterly results presentations, etc.), financial statements (quarterly, semi-annual, annual), auditor reports and annual reports.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D.2</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 company should have an annual cash distribution or dividend policy, proposed by the CEO or the Management Board and adopted by the Board, as a set of directions the company intends to follow regarding the distribution of net profit.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annual cash distribution or dividend policy principles should be published on the corporate website.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company’s profit distribution shall be in accordance with the provisions of GEO 64/2001 regarding profit distribution to national societies, national companies and companies owned or majority state owned, and the RAs.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lastRenderedPageBreak/>
              <w:t>D.3</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 company should have adopted a policy with respect to forecasts, whether they are distributed or not. Forecasts means the quantified conclusions of studies aimed at determining the total impact of a list of factors related to a future period (so called assumptions): by nature such a task is based upon a high level of uncertainty, with results sometimes significantly differing from forecasts initially presented.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policy should provide for the frequency, period envisaged, and content of forecasts. Forecasts, if published, may only be part of annual, semi-annual or quarterly reports. The forecast policy should be published on the corporate website.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company's activity is regulated by ANRE. Transgaz management plan includes the management strategy during the mandate.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It is rigorously structured and it includes strategic action directions for the management of all resources, operational and management processes of the company in order to achieve with maximum efficiency the performance targets set.</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D.4</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rules of general meetings of shareholders should not restrict the participation of shareholders in general meetings and the exercising of their rights. Amendments of the rules should take effect, at the earliest, as of the next general meeting of shareholders.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D.5</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 The external auditors should attend the shareholders’ meetings when their reports are presented there.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D.6</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Board should present to the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annual general meeting of shareholders a brief assessment of the internal controls and significant risk management system, as well as opinions on </w:t>
            </w:r>
            <w:r w:rsidRPr="0037604E">
              <w:rPr>
                <w:rFonts w:ascii="Cambria" w:eastAsia="Times New Roman" w:hAnsi="Cambria" w:cs="Times New Roman"/>
                <w:bCs/>
                <w:sz w:val="24"/>
                <w:szCs w:val="24"/>
                <w:lang w:val="en-GB"/>
              </w:rPr>
              <w:lastRenderedPageBreak/>
              <w:t>issues subject to resolution at the general meeting.</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lastRenderedPageBreak/>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 xml:space="preserve">This information is contained in the annual report of the Board and the management declaration </w:t>
            </w:r>
            <w:r w:rsidRPr="0037604E">
              <w:rPr>
                <w:rFonts w:ascii="Cambria" w:eastAsia="Times New Roman" w:hAnsi="Cambria" w:cs="Times New Roman"/>
                <w:bCs/>
                <w:sz w:val="24"/>
                <w:szCs w:val="24"/>
                <w:lang w:val="en-GB"/>
              </w:rPr>
              <w:lastRenderedPageBreak/>
              <w:t>prepared in accordance with art. 30 of the Accounting Law no. 82/1991</w:t>
            </w: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lastRenderedPageBreak/>
              <w:t>D.7</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Any professional, consultant, expert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or financial analyst may participate in the shareholders’ meeting upon prior invitation from the Chairman of the Board. Accredited journalists may also participate in the general meeting of shareholders, unless the Chairman of the Board decides otherwise.</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D.8</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The quarterly and semi-annual financial reports should include information in both Romanian and English regarding the key drivers influencing the change in sales, operating profit, net profit and other relevant financial indicators, both on quarter-on-quarter and year-on-year terms.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D.9</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A company should organize at least two meetings/conference calls with analysts and investors each year. The information presented on these occasions should be published in the IR section of the company website at the time of the meetings/ conference calls.</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r w:rsidR="0037604E" w:rsidRPr="0037604E" w:rsidTr="0037604E">
        <w:trPr>
          <w:tblCellSpacing w:w="20" w:type="dxa"/>
        </w:trPr>
        <w:tc>
          <w:tcPr>
            <w:tcW w:w="761" w:type="dxa"/>
          </w:tcPr>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rPr>
            </w:pPr>
            <w:r w:rsidRPr="0037604E">
              <w:rPr>
                <w:rFonts w:ascii="Cambria" w:eastAsia="Times New Roman" w:hAnsi="Cambria" w:cs="Times New Roman"/>
                <w:b/>
                <w:bCs/>
                <w:sz w:val="24"/>
                <w:szCs w:val="24"/>
                <w:lang w:val="en-GB"/>
              </w:rPr>
              <w:t>D.10</w:t>
            </w:r>
          </w:p>
        </w:tc>
        <w:tc>
          <w:tcPr>
            <w:tcW w:w="3723"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If a company supports various forms of artistic and cultural expression, sport activities, educational or scientific activities, and considers the resulting impact on the innovativeness and competitiveness of the company part of its business mission and development strategy, it should publish the policy guiding its activity in this area.</w:t>
            </w:r>
          </w:p>
        </w:tc>
        <w:tc>
          <w:tcPr>
            <w:tcW w:w="1278"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r w:rsidRPr="0037604E">
              <w:rPr>
                <w:rFonts w:ascii="Cambria" w:eastAsia="Times New Roman" w:hAnsi="Cambria" w:cs="Times New Roman"/>
                <w:bCs/>
                <w:sz w:val="24"/>
                <w:szCs w:val="24"/>
                <w:lang w:val="en-GB"/>
              </w:rPr>
              <w:t>X</w:t>
            </w:r>
          </w:p>
        </w:tc>
        <w:tc>
          <w:tcPr>
            <w:tcW w:w="1519"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c>
          <w:tcPr>
            <w:tcW w:w="2041" w:type="dxa"/>
          </w:tcPr>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tc>
      </w:tr>
    </w:tbl>
    <w:p w:rsidR="0037604E" w:rsidRPr="0037604E" w:rsidRDefault="0037604E" w:rsidP="0037604E">
      <w:pPr>
        <w:spacing w:after="0" w:line="240" w:lineRule="auto"/>
        <w:ind w:firstLine="0"/>
        <w:jc w:val="both"/>
        <w:rPr>
          <w:rFonts w:ascii="Cambria" w:eastAsia="Times New Roman" w:hAnsi="Cambria" w:cs="Times New Roman"/>
          <w:bCs/>
          <w:sz w:val="24"/>
          <w:szCs w:val="24"/>
          <w:lang w:val="en-GB"/>
        </w:rPr>
      </w:pPr>
    </w:p>
    <w:p w:rsidR="0037604E" w:rsidRPr="00C80159" w:rsidRDefault="0037604E" w:rsidP="000465E1">
      <w:pPr>
        <w:keepNext/>
        <w:keepLines/>
        <w:numPr>
          <w:ilvl w:val="0"/>
          <w:numId w:val="75"/>
        </w:numPr>
        <w:spacing w:after="0" w:line="240" w:lineRule="auto"/>
        <w:jc w:val="both"/>
        <w:outlineLvl w:val="1"/>
        <w:rPr>
          <w:rFonts w:ascii="Cambria" w:eastAsia="Times New Roman" w:hAnsi="Cambria" w:cs="Times New Roman"/>
          <w:b/>
          <w:bCs/>
          <w:sz w:val="24"/>
          <w:szCs w:val="24"/>
          <w:lang w:val="en-GB" w:eastAsia="ro-RO"/>
        </w:rPr>
      </w:pPr>
      <w:bookmarkStart w:id="74" w:name="_Toc446310839"/>
      <w:bookmarkStart w:id="75" w:name="_Toc445212584"/>
      <w:r w:rsidRPr="00C80159">
        <w:rPr>
          <w:rFonts w:ascii="Cambria" w:eastAsia="Times New Roman" w:hAnsi="Cambria" w:cs="Times New Roman"/>
          <w:b/>
          <w:bCs/>
          <w:sz w:val="24"/>
          <w:szCs w:val="24"/>
          <w:lang w:val="en-GB" w:eastAsia="ro-RO"/>
        </w:rPr>
        <w:t>ELEMENTS OF THE CORPORATE GOVERNANCE DECLARATION</w:t>
      </w:r>
      <w:bookmarkEnd w:id="74"/>
      <w:r w:rsidRPr="00C80159">
        <w:rPr>
          <w:rFonts w:ascii="Cambria" w:eastAsia="Times New Roman" w:hAnsi="Cambria" w:cs="Times New Roman"/>
          <w:b/>
          <w:bCs/>
          <w:sz w:val="24"/>
          <w:szCs w:val="24"/>
          <w:lang w:val="en-GB" w:eastAsia="ro-RO"/>
        </w:rPr>
        <w:t xml:space="preserve">  </w:t>
      </w:r>
      <w:bookmarkEnd w:id="75"/>
    </w:p>
    <w:p w:rsidR="0037604E" w:rsidRPr="0037604E" w:rsidRDefault="0037604E" w:rsidP="0037604E">
      <w:pPr>
        <w:keepNext/>
        <w:keepLines/>
        <w:spacing w:after="0" w:line="240" w:lineRule="auto"/>
        <w:ind w:left="1080" w:firstLine="0"/>
        <w:jc w:val="both"/>
        <w:outlineLvl w:val="1"/>
        <w:rPr>
          <w:rFonts w:ascii="Cambria" w:eastAsia="Times New Roman" w:hAnsi="Cambria" w:cs="Times New Roman"/>
          <w:b/>
          <w:bCs/>
          <w:color w:val="002060"/>
          <w:sz w:val="24"/>
          <w:szCs w:val="24"/>
          <w:lang w:val="en-GB" w:eastAsia="ro-RO"/>
        </w:rPr>
      </w:pPr>
    </w:p>
    <w:p w:rsidR="0037604E" w:rsidRPr="00C80159" w:rsidRDefault="0037604E" w:rsidP="00C80159">
      <w:pPr>
        <w:keepNext/>
        <w:keepLines/>
        <w:spacing w:after="0" w:line="240" w:lineRule="auto"/>
        <w:ind w:left="1530" w:hanging="1701"/>
        <w:jc w:val="both"/>
        <w:outlineLvl w:val="1"/>
        <w:rPr>
          <w:rFonts w:ascii="Cambria" w:eastAsia="Times New Roman" w:hAnsi="Cambria" w:cs="Times New Roman"/>
          <w:b/>
          <w:bCs/>
          <w:sz w:val="24"/>
          <w:szCs w:val="24"/>
          <w:lang w:val="en-GB" w:eastAsia="ro-RO"/>
        </w:rPr>
      </w:pPr>
      <w:bookmarkStart w:id="76" w:name="_Toc446310840"/>
      <w:bookmarkStart w:id="77" w:name="_Toc445212585"/>
      <w:r w:rsidRPr="00C80159">
        <w:rPr>
          <w:rFonts w:ascii="Cambria" w:eastAsia="Times New Roman" w:hAnsi="Cambria" w:cs="Times New Roman"/>
          <w:b/>
          <w:bCs/>
          <w:sz w:val="24"/>
          <w:szCs w:val="24"/>
          <w:lang w:val="en-GB" w:eastAsia="ro-RO"/>
        </w:rPr>
        <w:t>Section A – Information on the competences, responsibilities and activities of the board and of the committees</w:t>
      </w:r>
      <w:bookmarkEnd w:id="76"/>
      <w:r w:rsidRPr="00C80159">
        <w:rPr>
          <w:rFonts w:ascii="Cambria" w:eastAsia="Times New Roman" w:hAnsi="Cambria" w:cs="Times New Roman"/>
          <w:b/>
          <w:bCs/>
          <w:sz w:val="24"/>
          <w:szCs w:val="24"/>
          <w:lang w:val="en-GB" w:eastAsia="ro-RO"/>
        </w:rPr>
        <w:t xml:space="preserve">  </w:t>
      </w:r>
      <w:bookmarkEnd w:id="77"/>
    </w:p>
    <w:p w:rsidR="0037604E" w:rsidRPr="0037604E" w:rsidRDefault="0037604E" w:rsidP="0037604E">
      <w:pPr>
        <w:keepNext/>
        <w:keepLines/>
        <w:spacing w:after="0" w:line="240" w:lineRule="auto"/>
        <w:ind w:left="1701" w:hanging="1701"/>
        <w:jc w:val="both"/>
        <w:outlineLvl w:val="1"/>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
          <w:bCs/>
          <w:sz w:val="24"/>
          <w:szCs w:val="24"/>
          <w:lang w:val="en-GB" w:eastAsia="ro-RO"/>
        </w:rPr>
        <w:t xml:space="preserve">Administration system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National Gas Transmission Company TRANSGAZ SA is administered by a Board of Administration, having general competence to accomplish all necessary acts to successfully fulfil the company’s object of activity, except for the issues under the competence of the general assembly of the shareholders, according to the Articles of Incorporation updated on 29.04.2016 or to the applicable laws.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Cs/>
          <w:sz w:val="24"/>
          <w:szCs w:val="24"/>
          <w:lang w:val="en-GB" w:eastAsia="ro-RO"/>
        </w:rPr>
        <w:t>Transgaz is managed by a Board of Administration made up of non-executive independent administrators, in the sense of art.138</w:t>
      </w:r>
      <w:r w:rsidRPr="0037604E">
        <w:rPr>
          <w:rFonts w:ascii="Cambria" w:eastAsia="Times New Roman" w:hAnsi="Cambria" w:cs="Times New Roman"/>
          <w:bCs/>
          <w:sz w:val="24"/>
          <w:szCs w:val="24"/>
          <w:vertAlign w:val="superscript"/>
          <w:lang w:val="en-GB" w:eastAsia="ro-RO"/>
        </w:rPr>
        <w:t>2</w:t>
      </w:r>
      <w:r w:rsidR="00C80159">
        <w:rPr>
          <w:rFonts w:ascii="Cambria" w:eastAsia="Times New Roman" w:hAnsi="Cambria" w:cs="Times New Roman"/>
          <w:bCs/>
          <w:sz w:val="24"/>
          <w:szCs w:val="24"/>
          <w:lang w:val="en-GB" w:eastAsia="ro-RO"/>
        </w:rPr>
        <w:t xml:space="preserve"> of Law no. 31/1990, </w:t>
      </w:r>
      <w:r w:rsidRPr="0037604E">
        <w:rPr>
          <w:rFonts w:ascii="Cambria" w:eastAsia="Times New Roman" w:hAnsi="Cambria" w:cs="Times New Roman"/>
          <w:bCs/>
          <w:sz w:val="24"/>
          <w:szCs w:val="24"/>
          <w:lang w:val="en-GB" w:eastAsia="ro-RO"/>
        </w:rPr>
        <w:t>republished, as amended and supplemented.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Board of Administration consists of 5 members who guarantee the efficient supervision, analysis and assessment of the company’s activity, and the equal treatment of the shareholders. The members of the Board of Administration are elected by the General Assembly of the Shareholders for a period of four years, and may be revoked by the Ordinary General Assembly in case of failure to meet the main objectives.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members of the Board of Administration may be a shareholders. The TRANSGAZ Board of Administration is presided over by a chairman elected by the General Assembly of the Shareholders from the members of the Board of Administration who ensure the optimum functioning of the company’s units. The members of the Board of Administration have the obligation to participate in all the general assemblies of the shareholders and to exercise their mandate in full knowledge and good faith, acting in the company’s interests with due diligence, without disclosing the company’s confidential information and trade secrets over the duration and following completion of their mandate.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Articles of Incorporation of the National Gas Transmission Company TRANSGAZ SA updated on 29.04.2016 </w:t>
      </w:r>
      <w:r w:rsidRPr="0037604E">
        <w:rPr>
          <w:rFonts w:ascii="Cambria" w:eastAsia="Times New Roman" w:hAnsi="Cambria" w:cs="Times New Roman"/>
          <w:kern w:val="20"/>
          <w:sz w:val="24"/>
          <w:szCs w:val="24"/>
          <w:lang w:val="en-GB" w:eastAsia="en-US"/>
        </w:rPr>
        <w:t>and was approved by the Extraordinary General Meeting of the Shareholders by Resolution</w:t>
      </w:r>
      <w:r w:rsidRPr="0037604E">
        <w:rPr>
          <w:rFonts w:asciiTheme="majorHAnsi" w:hAnsiTheme="majorHAnsi"/>
          <w:sz w:val="24"/>
          <w:lang w:val="ro-RO"/>
        </w:rPr>
        <w:t xml:space="preserve"> no. </w:t>
      </w:r>
      <w:r w:rsidRPr="0037604E">
        <w:rPr>
          <w:rFonts w:asciiTheme="majorHAnsi" w:eastAsia="Times New Roman" w:hAnsiTheme="majorHAnsi" w:cs="DokChampa"/>
          <w:bCs/>
          <w:sz w:val="24"/>
          <w:szCs w:val="24"/>
          <w:lang w:val="ro-RO" w:eastAsia="ro-RO"/>
        </w:rPr>
        <w:t>3/29</w:t>
      </w:r>
      <w:r w:rsidRPr="0037604E">
        <w:rPr>
          <w:rFonts w:asciiTheme="majorHAnsi" w:hAnsiTheme="majorHAnsi"/>
          <w:sz w:val="24"/>
          <w:lang w:val="ro-RO"/>
        </w:rPr>
        <w:t>.04.201</w:t>
      </w:r>
      <w:r w:rsidRPr="0037604E">
        <w:rPr>
          <w:rFonts w:asciiTheme="majorHAnsi" w:eastAsia="Times New Roman" w:hAnsiTheme="majorHAnsi" w:cs="DokChampa"/>
          <w:bCs/>
          <w:sz w:val="24"/>
          <w:szCs w:val="24"/>
          <w:lang w:val="ro-RO" w:eastAsia="ro-RO"/>
        </w:rPr>
        <w:t>6</w:t>
      </w:r>
      <w:r w:rsidRPr="0037604E">
        <w:rPr>
          <w:rFonts w:asciiTheme="majorHAnsi" w:hAnsiTheme="majorHAnsi"/>
          <w:sz w:val="24"/>
          <w:lang w:val="ro-RO"/>
        </w:rPr>
        <w:t xml:space="preserve">, </w:t>
      </w:r>
      <w:r w:rsidRPr="0037604E">
        <w:rPr>
          <w:rFonts w:ascii="Cambria" w:eastAsia="Times New Roman" w:hAnsi="Cambria" w:cs="Times New Roman"/>
          <w:bCs/>
          <w:sz w:val="24"/>
          <w:szCs w:val="24"/>
          <w:lang w:val="en-GB" w:eastAsia="ro-RO"/>
        </w:rPr>
        <w:t>sets the obligations, responsibilities and competences of the Board of Administration and the duties of the company administrators.</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78" w:name="_Toc445212586"/>
    </w:p>
    <w:p w:rsidR="0037604E" w:rsidRPr="0037604E" w:rsidRDefault="0037604E" w:rsidP="0037604E">
      <w:pPr>
        <w:widowControl w:val="0"/>
        <w:spacing w:after="0" w:line="240" w:lineRule="auto"/>
        <w:ind w:firstLine="0"/>
        <w:jc w:val="both"/>
        <w:outlineLvl w:val="1"/>
        <w:rPr>
          <w:rFonts w:asciiTheme="majorHAnsi" w:hAnsiTheme="majorHAnsi"/>
          <w:kern w:val="20"/>
          <w:sz w:val="24"/>
          <w:lang w:val="ro-RO"/>
        </w:rPr>
      </w:pPr>
      <w:bookmarkStart w:id="79" w:name="_Toc446310841"/>
      <w:r w:rsidRPr="0037604E">
        <w:rPr>
          <w:rFonts w:ascii="Cambria" w:eastAsia="Times New Roman" w:hAnsi="Cambria" w:cs="Times New Roman"/>
          <w:kern w:val="20"/>
          <w:sz w:val="24"/>
          <w:szCs w:val="24"/>
          <w:lang w:val="en-GB" w:eastAsia="en-US"/>
        </w:rPr>
        <w:t xml:space="preserve">The Board operates under its own rules and regulations in force. Following the implementation of the New Corporate Governance Code of BSE the Board of Administration approved the amendment of the </w:t>
      </w:r>
      <w:r w:rsidRPr="0037604E">
        <w:rPr>
          <w:rFonts w:ascii="Cambria" w:eastAsia="Times New Roman" w:hAnsi="Cambria" w:cs="Times New Roman"/>
          <w:i/>
          <w:kern w:val="20"/>
          <w:sz w:val="24"/>
          <w:szCs w:val="24"/>
          <w:lang w:val="en-GB" w:eastAsia="en-US"/>
        </w:rPr>
        <w:t>Rules of Organization and Operation of the Board of Directors of Transgaz SA</w:t>
      </w:r>
      <w:r w:rsidRPr="0037604E">
        <w:rPr>
          <w:rFonts w:ascii="Cambria" w:eastAsia="Times New Roman" w:hAnsi="Cambria" w:cs="Times New Roman"/>
          <w:kern w:val="20"/>
          <w:sz w:val="24"/>
          <w:szCs w:val="24"/>
          <w:lang w:val="en-GB" w:eastAsia="en-US"/>
        </w:rPr>
        <w:t xml:space="preserve"> in order to comply with its provisions and was approved in Art. </w:t>
      </w:r>
      <w:r w:rsidRPr="0037604E">
        <w:rPr>
          <w:rFonts w:asciiTheme="majorHAnsi" w:eastAsia="Times New Roman" w:hAnsiTheme="majorHAnsi" w:cs="Times New Roman"/>
          <w:kern w:val="20"/>
          <w:sz w:val="24"/>
          <w:szCs w:val="24"/>
          <w:lang w:val="ro-RO" w:eastAsia="en-US"/>
        </w:rPr>
        <w:t xml:space="preserve">1 of OGMS Resolution 4/23.06.2016. </w:t>
      </w:r>
    </w:p>
    <w:bookmarkEnd w:id="79"/>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kern w:val="20"/>
          <w:sz w:val="24"/>
          <w:szCs w:val="24"/>
          <w:lang w:val="en-GB" w:eastAsia="en-US"/>
        </w:rPr>
        <w:t>The structure of the Board of Administration of Transgaz ensures a balance between the executive and non- executive members, so that any person or group of persons cannot dominate the decision making process of the Board of Administration.</w:t>
      </w:r>
      <w:r w:rsidRPr="0037604E">
        <w:rPr>
          <w:rFonts w:ascii="Cambria" w:eastAsia="Times New Roman" w:hAnsi="Cambria" w:cs="Times New Roman"/>
          <w:bCs/>
          <w:sz w:val="24"/>
          <w:szCs w:val="24"/>
          <w:lang w:val="en-GB" w:eastAsia="ro-RO"/>
        </w:rPr>
        <w:t xml:space="preserve"> </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0" w:name="_Toc446310842"/>
      <w:r w:rsidRPr="0037604E">
        <w:rPr>
          <w:rFonts w:ascii="Cambria" w:eastAsia="Times New Roman" w:hAnsi="Cambria" w:cs="Times New Roman"/>
          <w:kern w:val="20"/>
          <w:sz w:val="24"/>
          <w:szCs w:val="24"/>
          <w:lang w:val="en-GB" w:eastAsia="en-US"/>
        </w:rPr>
        <w:t xml:space="preserve">Decision-making within the company will remain a collective responsibility of the Board of Administration, which will be held jointly responsible for all decisions taken in the </w:t>
      </w:r>
      <w:r w:rsidRPr="0037604E">
        <w:rPr>
          <w:rFonts w:ascii="Cambria" w:eastAsia="Times New Roman" w:hAnsi="Cambria" w:cs="Times New Roman"/>
          <w:kern w:val="20"/>
          <w:sz w:val="24"/>
          <w:szCs w:val="24"/>
          <w:lang w:val="en-GB" w:eastAsia="en-US"/>
        </w:rPr>
        <w:lastRenderedPageBreak/>
        <w:t>exercise of its powers. Waiving the mandate of independent directors will be accompanied by a detailed statement of the reasons for this waiver.</w:t>
      </w:r>
      <w:bookmarkEnd w:id="80"/>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1" w:name="_Toc446310843"/>
      <w:r w:rsidRPr="0037604E">
        <w:rPr>
          <w:rFonts w:ascii="Cambria" w:eastAsia="Times New Roman" w:hAnsi="Cambria" w:cs="Times New Roman"/>
          <w:kern w:val="20"/>
          <w:sz w:val="24"/>
          <w:szCs w:val="24"/>
          <w:lang w:val="en-GB" w:eastAsia="en-US"/>
        </w:rPr>
        <w:t>The members of the Board of Administration will permanently update their skills and will improve their knowledge of the company's activity and on the best practices of corporate governance to fulfil their role.</w:t>
      </w:r>
      <w:bookmarkEnd w:id="81"/>
    </w:p>
    <w:bookmarkEnd w:id="78"/>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
          <w:bCs/>
          <w:sz w:val="24"/>
          <w:szCs w:val="24"/>
          <w:lang w:val="en-GB" w:eastAsia="ro-RO"/>
        </w:rPr>
        <w:t xml:space="preserve">The members of </w:t>
      </w:r>
      <w:r w:rsidR="00C80159" w:rsidRPr="0037604E">
        <w:rPr>
          <w:rFonts w:ascii="Cambria" w:eastAsia="Times New Roman" w:hAnsi="Cambria" w:cs="Times New Roman"/>
          <w:b/>
          <w:bCs/>
          <w:sz w:val="24"/>
          <w:szCs w:val="24"/>
          <w:lang w:val="en-GB" w:eastAsia="ro-RO"/>
        </w:rPr>
        <w:t>Transgaz</w:t>
      </w:r>
      <w:r w:rsidR="00C80159">
        <w:rPr>
          <w:rFonts w:ascii="Cambria" w:eastAsia="Times New Roman" w:hAnsi="Cambria" w:cs="Times New Roman"/>
          <w:b/>
          <w:bCs/>
          <w:sz w:val="24"/>
          <w:szCs w:val="24"/>
          <w:lang w:val="en-GB" w:eastAsia="ro-RO"/>
        </w:rPr>
        <w:t>’</w:t>
      </w:r>
      <w:r w:rsidR="00C80159" w:rsidRPr="0037604E">
        <w:rPr>
          <w:rFonts w:ascii="Cambria" w:eastAsia="Times New Roman" w:hAnsi="Cambria" w:cs="Times New Roman"/>
          <w:b/>
          <w:bCs/>
          <w:sz w:val="24"/>
          <w:szCs w:val="24"/>
          <w:lang w:val="en-GB" w:eastAsia="ro-RO"/>
        </w:rPr>
        <w:t xml:space="preserve"> </w:t>
      </w:r>
      <w:r w:rsidR="00C80159">
        <w:rPr>
          <w:rFonts w:ascii="Cambria" w:eastAsia="Times New Roman" w:hAnsi="Cambria" w:cs="Times New Roman"/>
          <w:b/>
          <w:bCs/>
          <w:sz w:val="24"/>
          <w:szCs w:val="24"/>
          <w:lang w:val="en-GB" w:eastAsia="ro-RO"/>
        </w:rPr>
        <w:t xml:space="preserve">Board of Administration </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tbl>
      <w:tblPr>
        <w:tblW w:w="9275"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3385"/>
        <w:gridCol w:w="5890"/>
      </w:tblGrid>
      <w:tr w:rsidR="0037604E" w:rsidRPr="0037604E" w:rsidTr="0037604E">
        <w:trPr>
          <w:trHeight w:val="498"/>
          <w:tblCellSpacing w:w="20" w:type="dxa"/>
          <w:jc w:val="center"/>
        </w:trPr>
        <w:tc>
          <w:tcPr>
            <w:tcW w:w="3325"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STERIAN ION</w:t>
            </w:r>
          </w:p>
        </w:tc>
        <w:tc>
          <w:tcPr>
            <w:tcW w:w="5830"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Non-executive administrator – Chairman</w:t>
            </w:r>
          </w:p>
        </w:tc>
      </w:tr>
      <w:tr w:rsidR="0037604E" w:rsidRPr="0037604E" w:rsidTr="0037604E">
        <w:trPr>
          <w:trHeight w:val="475"/>
          <w:tblCellSpacing w:w="20" w:type="dxa"/>
          <w:jc w:val="center"/>
        </w:trPr>
        <w:tc>
          <w:tcPr>
            <w:tcW w:w="3325"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PETRU ION VĂDUVA</w:t>
            </w:r>
          </w:p>
        </w:tc>
        <w:tc>
          <w:tcPr>
            <w:tcW w:w="5830"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Executive administrator– Director - General</w:t>
            </w:r>
          </w:p>
        </w:tc>
      </w:tr>
      <w:tr w:rsidR="0037604E" w:rsidRPr="0037604E" w:rsidTr="0037604E">
        <w:trPr>
          <w:trHeight w:val="414"/>
          <w:tblCellSpacing w:w="20" w:type="dxa"/>
          <w:jc w:val="center"/>
        </w:trPr>
        <w:tc>
          <w:tcPr>
            <w:tcW w:w="3325"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BOGDAN GEORGE ILIESCU</w:t>
            </w:r>
          </w:p>
        </w:tc>
        <w:tc>
          <w:tcPr>
            <w:tcW w:w="5830"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Non-executive administrator, independent</w:t>
            </w:r>
          </w:p>
        </w:tc>
      </w:tr>
      <w:tr w:rsidR="0037604E" w:rsidRPr="0037604E" w:rsidTr="0037604E">
        <w:trPr>
          <w:trHeight w:val="414"/>
          <w:tblCellSpacing w:w="20" w:type="dxa"/>
          <w:jc w:val="center"/>
        </w:trPr>
        <w:tc>
          <w:tcPr>
            <w:tcW w:w="3325"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ANDREI RIZOIU</w:t>
            </w:r>
          </w:p>
        </w:tc>
        <w:tc>
          <w:tcPr>
            <w:tcW w:w="5830"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Non-executive administrator, independent</w:t>
            </w:r>
          </w:p>
        </w:tc>
      </w:tr>
      <w:tr w:rsidR="0037604E" w:rsidRPr="0037604E" w:rsidTr="0037604E">
        <w:trPr>
          <w:trHeight w:val="414"/>
          <w:tblCellSpacing w:w="20" w:type="dxa"/>
          <w:jc w:val="center"/>
        </w:trPr>
        <w:tc>
          <w:tcPr>
            <w:tcW w:w="3325"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RADU STEFAN CERNOV</w:t>
            </w:r>
          </w:p>
        </w:tc>
        <w:tc>
          <w:tcPr>
            <w:tcW w:w="5830" w:type="dxa"/>
            <w:vAlign w:val="center"/>
            <w:hideMark/>
          </w:tcPr>
          <w:p w:rsidR="0037604E" w:rsidRPr="0037604E" w:rsidRDefault="0037604E" w:rsidP="0037604E">
            <w:pPr>
              <w:spacing w:after="0" w:line="240" w:lineRule="auto"/>
              <w:ind w:firstLine="0"/>
              <w:jc w:val="center"/>
              <w:rPr>
                <w:rFonts w:ascii="Cambria" w:eastAsia="Times New Roman" w:hAnsi="Cambria" w:cs="Times New Roman"/>
                <w:color w:val="090909"/>
                <w:sz w:val="24"/>
                <w:szCs w:val="24"/>
                <w:lang w:val="en-GB" w:eastAsia="ro-RO"/>
              </w:rPr>
            </w:pPr>
            <w:r w:rsidRPr="0037604E">
              <w:rPr>
                <w:rFonts w:ascii="Cambria" w:eastAsia="Times New Roman" w:hAnsi="Cambria" w:cs="Times New Roman"/>
                <w:color w:val="090909"/>
                <w:sz w:val="24"/>
                <w:szCs w:val="24"/>
                <w:lang w:val="en-GB" w:eastAsia="ro-RO"/>
              </w:rPr>
              <w:t>Non-executive administrator, independent</w:t>
            </w:r>
          </w:p>
        </w:tc>
      </w:tr>
    </w:tbl>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CVs of the members of the Board of Administration of Transgaz are available of the company’s site at the address: </w:t>
      </w:r>
      <w:hyperlink r:id="rId94" w:history="1">
        <w:r w:rsidRPr="0037604E">
          <w:rPr>
            <w:rFonts w:ascii="Cambria" w:eastAsia="Times New Roman" w:hAnsi="Cambria" w:cs="Times New Roman"/>
            <w:bCs/>
            <w:lang w:val="en-GB" w:eastAsia="ro-RO"/>
          </w:rPr>
          <w:t>www.transgaz.ro/Despre</w:t>
        </w:r>
      </w:hyperlink>
      <w:r w:rsidRPr="0037604E">
        <w:rPr>
          <w:rFonts w:ascii="Cambria" w:eastAsia="Times New Roman" w:hAnsi="Cambria" w:cs="Times New Roman"/>
          <w:bCs/>
          <w:lang w:val="en-GB" w:eastAsia="ro-RO"/>
        </w:rPr>
        <w:t xml:space="preserve"> noi/Management/Consiliul de administrație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C80159" w:rsidP="0037604E">
      <w:pPr>
        <w:spacing w:after="0" w:line="240" w:lineRule="auto"/>
        <w:ind w:firstLine="0"/>
        <w:jc w:val="both"/>
        <w:rPr>
          <w:rFonts w:ascii="Cambria" w:eastAsia="Times New Roman" w:hAnsi="Cambria" w:cs="Times New Roman"/>
          <w:b/>
          <w:bCs/>
          <w:sz w:val="24"/>
          <w:szCs w:val="24"/>
          <w:lang w:val="en-GB" w:eastAsia="ro-RO"/>
        </w:rPr>
      </w:pPr>
      <w:r>
        <w:rPr>
          <w:rFonts w:ascii="Cambria" w:eastAsia="Times New Roman" w:hAnsi="Cambria" w:cs="Times New Roman"/>
          <w:b/>
          <w:bCs/>
          <w:sz w:val="24"/>
          <w:szCs w:val="24"/>
          <w:lang w:val="en-GB" w:eastAsia="ro-RO"/>
        </w:rPr>
        <w:t>O</w:t>
      </w:r>
      <w:r w:rsidRPr="0037604E">
        <w:rPr>
          <w:rFonts w:ascii="Cambria" w:eastAsia="Times New Roman" w:hAnsi="Cambria" w:cs="Times New Roman"/>
          <w:b/>
          <w:bCs/>
          <w:sz w:val="24"/>
          <w:szCs w:val="24"/>
          <w:lang w:val="en-GB" w:eastAsia="ro-RO"/>
        </w:rPr>
        <w:t xml:space="preserve">bligations </w:t>
      </w:r>
      <w:r>
        <w:rPr>
          <w:rFonts w:ascii="Cambria" w:eastAsia="Times New Roman" w:hAnsi="Cambria" w:cs="Times New Roman"/>
          <w:b/>
          <w:bCs/>
          <w:sz w:val="24"/>
          <w:szCs w:val="24"/>
          <w:lang w:val="en-GB" w:eastAsia="ro-RO"/>
        </w:rPr>
        <w:t xml:space="preserve">of the </w:t>
      </w:r>
      <w:r w:rsidR="0037604E" w:rsidRPr="0037604E">
        <w:rPr>
          <w:rFonts w:ascii="Cambria" w:eastAsia="Times New Roman" w:hAnsi="Cambria" w:cs="Times New Roman"/>
          <w:b/>
          <w:bCs/>
          <w:sz w:val="24"/>
          <w:szCs w:val="24"/>
          <w:lang w:val="en-GB" w:eastAsia="ro-RO"/>
        </w:rPr>
        <w:t xml:space="preserve">Board of Administration </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SNTGN TRANSGAZ SA is administered by the Board of Administration, which meets at the headquarters of the company or in another establish</w:t>
      </w:r>
      <w:r w:rsidR="00C80159">
        <w:rPr>
          <w:rFonts w:ascii="Cambria" w:eastAsia="Times New Roman" w:hAnsi="Cambria" w:cs="Times New Roman"/>
          <w:bCs/>
          <w:sz w:val="24"/>
          <w:szCs w:val="24"/>
          <w:lang w:val="en-GB" w:eastAsia="ro-RO"/>
        </w:rPr>
        <w:t>ed location, whenever necessary</w:t>
      </w:r>
      <w:r w:rsidRPr="0037604E">
        <w:rPr>
          <w:rFonts w:ascii="Cambria" w:eastAsia="Times New Roman" w:hAnsi="Cambria" w:cs="Times New Roman"/>
          <w:bCs/>
          <w:sz w:val="24"/>
          <w:szCs w:val="24"/>
          <w:lang w:val="en-GB" w:eastAsia="ro-RO"/>
        </w:rPr>
        <w:t xml:space="preserve">  but at least once every three months. </w:t>
      </w:r>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82" w:name="_Toc445212587"/>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83" w:name="_Toc446310844"/>
      <w:r w:rsidRPr="0037604E">
        <w:rPr>
          <w:rFonts w:ascii="Cambria" w:eastAsia="Times New Roman" w:hAnsi="Cambria" w:cs="Times New Roman"/>
          <w:kern w:val="20"/>
          <w:sz w:val="24"/>
          <w:szCs w:val="24"/>
          <w:lang w:val="en-GB" w:eastAsia="en-US"/>
        </w:rPr>
        <w:t>The Board of Administration is chaired by the President. If the president is temporarily unable to exercise his powers during the state of that impossibility, the Board may assign another administrator to serve as president.</w:t>
      </w:r>
      <w:bookmarkEnd w:id="83"/>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4" w:name="_Toc445212588"/>
      <w:bookmarkEnd w:id="82"/>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5" w:name="_Toc446310845"/>
      <w:r w:rsidRPr="0037604E">
        <w:rPr>
          <w:rFonts w:ascii="Cambria" w:eastAsia="Times New Roman" w:hAnsi="Cambria" w:cs="Times New Roman"/>
          <w:kern w:val="20"/>
          <w:sz w:val="24"/>
          <w:szCs w:val="24"/>
          <w:lang w:val="en-GB" w:eastAsia="en-US"/>
        </w:rPr>
        <w:t>The company's organizational structure established a BA and GSM Secretariat Department, with responsibilities in supporting the work of the Board of Administration.</w:t>
      </w:r>
      <w:bookmarkEnd w:id="85"/>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6" w:name="_Toc445212589"/>
      <w:bookmarkEnd w:id="84"/>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7" w:name="_Toc446310846"/>
      <w:r w:rsidRPr="0037604E">
        <w:rPr>
          <w:rFonts w:ascii="Cambria" w:eastAsia="Times New Roman" w:hAnsi="Cambria" w:cs="Times New Roman"/>
          <w:kern w:val="20"/>
          <w:sz w:val="24"/>
          <w:szCs w:val="24"/>
          <w:lang w:val="en-GB" w:eastAsia="en-US"/>
        </w:rPr>
        <w:t>Board meetings may be held by telephone or video conference or other means of communication, by means of which all persons participating in the meeting can hear each other and participation in such a meeting is considered participation in person in order to fulfil the quorum and the voting requirements.</w:t>
      </w:r>
      <w:bookmarkEnd w:id="87"/>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8" w:name="_Toc445212590"/>
      <w:bookmarkEnd w:id="86"/>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89" w:name="_Toc446310847"/>
      <w:r w:rsidRPr="0037604E">
        <w:rPr>
          <w:rFonts w:ascii="Cambria" w:eastAsia="Times New Roman" w:hAnsi="Cambria" w:cs="Times New Roman"/>
          <w:kern w:val="20"/>
          <w:sz w:val="24"/>
          <w:szCs w:val="24"/>
          <w:lang w:val="en-GB" w:eastAsia="en-US"/>
        </w:rPr>
        <w:t>In 2016 there were 49 meetings of the Board of Administration and the presence of the members of the BA is indicated in the table below:</w:t>
      </w:r>
      <w:bookmarkEnd w:id="89"/>
      <w:r w:rsidRPr="0037604E">
        <w:rPr>
          <w:rFonts w:ascii="Cambria" w:eastAsia="Times New Roman" w:hAnsi="Cambria" w:cs="Times New Roman"/>
          <w:kern w:val="20"/>
          <w:sz w:val="24"/>
          <w:szCs w:val="24"/>
          <w:lang w:val="en-GB" w:eastAsia="en-US"/>
        </w:rPr>
        <w:t xml:space="preserve"> </w:t>
      </w:r>
      <w:bookmarkEnd w:id="88"/>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931"/>
        <w:gridCol w:w="1873"/>
        <w:gridCol w:w="2468"/>
      </w:tblGrid>
      <w:tr w:rsidR="0037604E" w:rsidRPr="0037604E" w:rsidTr="0037604E">
        <w:trPr>
          <w:trHeight w:val="282"/>
          <w:tblCellSpacing w:w="20" w:type="dxa"/>
          <w:jc w:val="center"/>
        </w:trPr>
        <w:tc>
          <w:tcPr>
            <w:tcW w:w="3871" w:type="dxa"/>
            <w:vMerge w:val="restart"/>
            <w:shd w:val="clear" w:color="auto" w:fill="DBE5F1" w:themeFill="accent1" w:themeFillTint="33"/>
            <w:vAlign w:val="center"/>
          </w:tcPr>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bookmarkStart w:id="90" w:name="_Toc445212591"/>
            <w:bookmarkStart w:id="91" w:name="_Toc446310848"/>
            <w:r w:rsidRPr="0037604E">
              <w:rPr>
                <w:rFonts w:ascii="Cambria" w:eastAsia="Times New Roman" w:hAnsi="Cambria" w:cs="Times New Roman"/>
                <w:b/>
                <w:kern w:val="20"/>
                <w:sz w:val="24"/>
                <w:szCs w:val="24"/>
                <w:lang w:val="en-GB" w:eastAsia="en-US"/>
              </w:rPr>
              <w:t>Administrator</w:t>
            </w:r>
            <w:bookmarkEnd w:id="90"/>
            <w:bookmarkEnd w:id="91"/>
          </w:p>
        </w:tc>
        <w:tc>
          <w:tcPr>
            <w:tcW w:w="4281" w:type="dxa"/>
            <w:gridSpan w:val="2"/>
            <w:shd w:val="clear" w:color="auto" w:fill="DBE5F1" w:themeFill="accent1" w:themeFillTint="33"/>
            <w:vAlign w:val="center"/>
          </w:tcPr>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bookmarkStart w:id="92" w:name="_Toc445212592"/>
            <w:bookmarkStart w:id="93" w:name="_Toc446310849"/>
            <w:r w:rsidRPr="0037604E">
              <w:rPr>
                <w:rFonts w:ascii="Cambria" w:eastAsia="Times New Roman" w:hAnsi="Cambria" w:cs="Times New Roman"/>
                <w:b/>
                <w:kern w:val="20"/>
                <w:sz w:val="24"/>
                <w:szCs w:val="24"/>
                <w:lang w:val="en-GB" w:eastAsia="en-US"/>
              </w:rPr>
              <w:t>Participation to</w:t>
            </w:r>
            <w:bookmarkEnd w:id="92"/>
            <w:r w:rsidRPr="0037604E">
              <w:rPr>
                <w:rFonts w:ascii="Cambria" w:eastAsia="Times New Roman" w:hAnsi="Cambria" w:cs="Times New Roman"/>
                <w:b/>
                <w:kern w:val="20"/>
                <w:sz w:val="24"/>
                <w:szCs w:val="24"/>
                <w:lang w:val="en-GB" w:eastAsia="en-US"/>
              </w:rPr>
              <w:t xml:space="preserve"> the meetings</w:t>
            </w:r>
            <w:bookmarkEnd w:id="93"/>
          </w:p>
        </w:tc>
      </w:tr>
      <w:tr w:rsidR="0037604E" w:rsidRPr="0037604E" w:rsidTr="0037604E">
        <w:trPr>
          <w:trHeight w:val="282"/>
          <w:tblCellSpacing w:w="20" w:type="dxa"/>
          <w:jc w:val="center"/>
        </w:trPr>
        <w:tc>
          <w:tcPr>
            <w:tcW w:w="3871" w:type="dxa"/>
            <w:vMerge/>
            <w:shd w:val="clear" w:color="auto" w:fill="DBE5F1" w:themeFill="accent1" w:themeFillTint="33"/>
            <w:vAlign w:val="center"/>
          </w:tcPr>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p>
        </w:tc>
        <w:tc>
          <w:tcPr>
            <w:tcW w:w="1833" w:type="dxa"/>
            <w:shd w:val="clear" w:color="auto" w:fill="DBE5F1" w:themeFill="accent1" w:themeFillTint="33"/>
            <w:vAlign w:val="center"/>
          </w:tcPr>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bookmarkStart w:id="94" w:name="_Toc445212593"/>
            <w:bookmarkStart w:id="95" w:name="_Toc446310850"/>
            <w:r w:rsidRPr="0037604E">
              <w:rPr>
                <w:rFonts w:ascii="Cambria" w:eastAsia="Times New Roman" w:hAnsi="Cambria" w:cs="Times New Roman"/>
                <w:b/>
                <w:kern w:val="20"/>
                <w:sz w:val="24"/>
                <w:szCs w:val="24"/>
                <w:lang w:val="en-GB" w:eastAsia="en-US"/>
              </w:rPr>
              <w:t>In pers</w:t>
            </w:r>
            <w:bookmarkEnd w:id="94"/>
            <w:r w:rsidRPr="0037604E">
              <w:rPr>
                <w:rFonts w:ascii="Cambria" w:eastAsia="Times New Roman" w:hAnsi="Cambria" w:cs="Times New Roman"/>
                <w:b/>
                <w:kern w:val="20"/>
                <w:sz w:val="24"/>
                <w:szCs w:val="24"/>
                <w:lang w:val="en-GB" w:eastAsia="en-US"/>
              </w:rPr>
              <w:t>on</w:t>
            </w:r>
            <w:bookmarkEnd w:id="95"/>
          </w:p>
        </w:tc>
        <w:tc>
          <w:tcPr>
            <w:tcW w:w="2408" w:type="dxa"/>
            <w:shd w:val="clear" w:color="auto" w:fill="DBE5F1" w:themeFill="accent1" w:themeFillTint="33"/>
            <w:vAlign w:val="center"/>
          </w:tcPr>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bookmarkStart w:id="96" w:name="_Toc446310851"/>
            <w:r w:rsidRPr="0037604E">
              <w:rPr>
                <w:rFonts w:ascii="Cambria" w:eastAsia="Times New Roman" w:hAnsi="Cambria" w:cs="Times New Roman"/>
                <w:b/>
                <w:kern w:val="20"/>
                <w:sz w:val="24"/>
                <w:szCs w:val="24"/>
                <w:lang w:val="en-GB" w:eastAsia="en-US"/>
              </w:rPr>
              <w:t>Absent</w:t>
            </w:r>
            <w:bookmarkEnd w:id="96"/>
          </w:p>
          <w:p w:rsidR="0037604E" w:rsidRPr="0037604E" w:rsidRDefault="0037604E" w:rsidP="0037604E">
            <w:pPr>
              <w:widowControl w:val="0"/>
              <w:spacing w:after="0" w:line="240" w:lineRule="auto"/>
              <w:ind w:firstLine="0"/>
              <w:jc w:val="center"/>
              <w:outlineLvl w:val="1"/>
              <w:rPr>
                <w:rFonts w:ascii="Cambria" w:eastAsia="Times New Roman" w:hAnsi="Cambria" w:cs="Times New Roman"/>
                <w:b/>
                <w:kern w:val="20"/>
                <w:sz w:val="24"/>
                <w:szCs w:val="24"/>
                <w:lang w:val="en-GB" w:eastAsia="en-US"/>
              </w:rPr>
            </w:pPr>
            <w:bookmarkStart w:id="97" w:name="_Toc445212595"/>
            <w:bookmarkStart w:id="98" w:name="_Toc446310852"/>
            <w:r w:rsidRPr="0037604E">
              <w:rPr>
                <w:rFonts w:ascii="Cambria" w:eastAsia="Times New Roman" w:hAnsi="Cambria" w:cs="Times New Roman"/>
                <w:b/>
                <w:kern w:val="20"/>
                <w:sz w:val="24"/>
                <w:szCs w:val="24"/>
                <w:lang w:val="en-GB" w:eastAsia="en-US"/>
              </w:rPr>
              <w:t>(by representative)</w:t>
            </w:r>
            <w:bookmarkEnd w:id="97"/>
            <w:bookmarkEnd w:id="98"/>
          </w:p>
        </w:tc>
      </w:tr>
      <w:tr w:rsidR="0037604E" w:rsidRPr="0037604E" w:rsidTr="0037604E">
        <w:trPr>
          <w:trHeight w:val="325"/>
          <w:tblCellSpacing w:w="20" w:type="dxa"/>
          <w:jc w:val="center"/>
        </w:trPr>
        <w:tc>
          <w:tcPr>
            <w:tcW w:w="3871" w:type="dxa"/>
            <w:vAlign w:val="center"/>
          </w:tcPr>
          <w:p w:rsidR="0037604E" w:rsidRPr="0037604E" w:rsidRDefault="0037604E" w:rsidP="0037604E">
            <w:pPr>
              <w:spacing w:after="0" w:line="24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STERIAN ION</w:t>
            </w:r>
          </w:p>
        </w:tc>
        <w:tc>
          <w:tcPr>
            <w:tcW w:w="1833" w:type="dxa"/>
            <w:vAlign w:val="center"/>
          </w:tcPr>
          <w:p w:rsidR="0037604E" w:rsidRPr="0037604E" w:rsidRDefault="0037604E" w:rsidP="0037604E">
            <w:pPr>
              <w:widowControl w:val="0"/>
              <w:spacing w:after="0" w:line="240" w:lineRule="auto"/>
              <w:ind w:firstLine="0"/>
              <w:jc w:val="center"/>
              <w:rPr>
                <w:rFonts w:asciiTheme="majorHAnsi" w:eastAsia="Times New Roman" w:hAnsiTheme="majorHAnsi" w:cs="Times New Roman"/>
                <w:kern w:val="20"/>
                <w:sz w:val="24"/>
                <w:szCs w:val="24"/>
                <w:lang w:val="ro-RO" w:eastAsia="en-US"/>
              </w:rPr>
            </w:pPr>
            <w:r w:rsidRPr="0037604E">
              <w:rPr>
                <w:rFonts w:asciiTheme="majorHAnsi" w:eastAsia="Times New Roman" w:hAnsiTheme="majorHAnsi" w:cs="Times New Roman"/>
                <w:kern w:val="20"/>
                <w:sz w:val="24"/>
                <w:szCs w:val="24"/>
                <w:lang w:val="ro-RO" w:eastAsia="en-US"/>
              </w:rPr>
              <w:t>49</w:t>
            </w:r>
          </w:p>
        </w:tc>
        <w:tc>
          <w:tcPr>
            <w:tcW w:w="2408" w:type="dxa"/>
            <w:vAlign w:val="center"/>
          </w:tcPr>
          <w:p w:rsidR="0037604E" w:rsidRPr="0037604E" w:rsidRDefault="0037604E" w:rsidP="0037604E">
            <w:pPr>
              <w:widowControl w:val="0"/>
              <w:spacing w:after="0" w:line="240" w:lineRule="auto"/>
              <w:ind w:firstLine="0"/>
              <w:outlineLvl w:val="1"/>
              <w:rPr>
                <w:rFonts w:ascii="Cambria" w:eastAsia="Times New Roman" w:hAnsi="Cambria" w:cs="Times New Roman"/>
                <w:kern w:val="20"/>
                <w:sz w:val="24"/>
                <w:szCs w:val="24"/>
                <w:lang w:val="en-GB" w:eastAsia="en-US"/>
              </w:rPr>
            </w:pPr>
            <w:bookmarkStart w:id="99" w:name="_Toc445212597"/>
            <w:bookmarkStart w:id="100" w:name="_Toc446310854"/>
            <w:r w:rsidRPr="0037604E">
              <w:rPr>
                <w:rFonts w:ascii="Cambria" w:eastAsia="Times New Roman" w:hAnsi="Cambria" w:cs="Times New Roman"/>
                <w:kern w:val="20"/>
                <w:sz w:val="24"/>
                <w:szCs w:val="24"/>
                <w:lang w:val="en-GB" w:eastAsia="en-US"/>
              </w:rPr>
              <w:t>-</w:t>
            </w:r>
            <w:bookmarkEnd w:id="99"/>
            <w:bookmarkEnd w:id="100"/>
            <w:r w:rsidRPr="0037604E">
              <w:rPr>
                <w:rFonts w:ascii="Cambria" w:eastAsia="Times New Roman" w:hAnsi="Cambria" w:cs="Times New Roman"/>
                <w:kern w:val="20"/>
                <w:sz w:val="24"/>
                <w:szCs w:val="24"/>
                <w:lang w:val="en-GB" w:eastAsia="en-US"/>
              </w:rPr>
              <w:t xml:space="preserve"> </w:t>
            </w:r>
          </w:p>
        </w:tc>
      </w:tr>
      <w:tr w:rsidR="0037604E" w:rsidRPr="0037604E" w:rsidTr="0037604E">
        <w:trPr>
          <w:tblCellSpacing w:w="20" w:type="dxa"/>
          <w:jc w:val="center"/>
        </w:trPr>
        <w:tc>
          <w:tcPr>
            <w:tcW w:w="3871" w:type="dxa"/>
            <w:vAlign w:val="center"/>
          </w:tcPr>
          <w:p w:rsidR="0037604E" w:rsidRPr="0037604E" w:rsidRDefault="0037604E" w:rsidP="0037604E">
            <w:pPr>
              <w:spacing w:after="0" w:line="24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PETRU ION VĂDUVA</w:t>
            </w:r>
          </w:p>
        </w:tc>
        <w:tc>
          <w:tcPr>
            <w:tcW w:w="1833" w:type="dxa"/>
            <w:vAlign w:val="center"/>
          </w:tcPr>
          <w:p w:rsidR="0037604E" w:rsidRPr="0037604E" w:rsidRDefault="0037604E" w:rsidP="0037604E">
            <w:pPr>
              <w:widowControl w:val="0"/>
              <w:spacing w:after="0" w:line="240" w:lineRule="auto"/>
              <w:ind w:firstLine="0"/>
              <w:jc w:val="center"/>
              <w:rPr>
                <w:rFonts w:asciiTheme="majorHAnsi" w:eastAsia="Times New Roman" w:hAnsiTheme="majorHAnsi" w:cs="Times New Roman"/>
                <w:kern w:val="20"/>
                <w:sz w:val="24"/>
                <w:szCs w:val="24"/>
                <w:lang w:val="ro-RO" w:eastAsia="en-US"/>
              </w:rPr>
            </w:pPr>
            <w:r w:rsidRPr="0037604E">
              <w:rPr>
                <w:rFonts w:asciiTheme="majorHAnsi" w:eastAsia="Times New Roman" w:hAnsiTheme="majorHAnsi" w:cs="Times New Roman"/>
                <w:kern w:val="20"/>
                <w:sz w:val="24"/>
                <w:szCs w:val="24"/>
                <w:lang w:val="ro-RO" w:eastAsia="en-US"/>
              </w:rPr>
              <w:t>48</w:t>
            </w:r>
          </w:p>
        </w:tc>
        <w:tc>
          <w:tcPr>
            <w:tcW w:w="2408" w:type="dxa"/>
          </w:tcPr>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01" w:name="_Toc445212596"/>
            <w:bookmarkStart w:id="102" w:name="_Toc446310853"/>
            <w:r w:rsidRPr="0037604E">
              <w:rPr>
                <w:rFonts w:ascii="Cambria" w:eastAsia="Times New Roman" w:hAnsi="Cambria" w:cs="Times New Roman"/>
                <w:kern w:val="20"/>
                <w:sz w:val="24"/>
                <w:szCs w:val="24"/>
                <w:lang w:val="en-GB" w:eastAsia="en-US"/>
              </w:rPr>
              <w:t>1</w:t>
            </w:r>
            <w:bookmarkEnd w:id="101"/>
            <w:r w:rsidRPr="0037604E">
              <w:rPr>
                <w:rFonts w:ascii="Cambria" w:eastAsia="Times New Roman" w:hAnsi="Cambria" w:cs="Times New Roman"/>
                <w:kern w:val="20"/>
                <w:sz w:val="24"/>
                <w:szCs w:val="24"/>
                <w:lang w:val="en-GB" w:eastAsia="en-US"/>
              </w:rPr>
              <w:t xml:space="preserve"> by representative</w:t>
            </w:r>
            <w:bookmarkEnd w:id="102"/>
          </w:p>
        </w:tc>
      </w:tr>
      <w:tr w:rsidR="0037604E" w:rsidRPr="0037604E" w:rsidTr="0037604E">
        <w:trPr>
          <w:tblCellSpacing w:w="20" w:type="dxa"/>
          <w:jc w:val="center"/>
        </w:trPr>
        <w:tc>
          <w:tcPr>
            <w:tcW w:w="3871" w:type="dxa"/>
            <w:vAlign w:val="center"/>
          </w:tcPr>
          <w:p w:rsidR="0037604E" w:rsidRPr="0037604E" w:rsidRDefault="0037604E" w:rsidP="0037604E">
            <w:pPr>
              <w:spacing w:after="0" w:line="24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BOGDAN GEORGE ILIESCU</w:t>
            </w:r>
          </w:p>
        </w:tc>
        <w:tc>
          <w:tcPr>
            <w:tcW w:w="1833" w:type="dxa"/>
            <w:vAlign w:val="center"/>
          </w:tcPr>
          <w:p w:rsidR="0037604E" w:rsidRPr="0037604E" w:rsidRDefault="0037604E" w:rsidP="0037604E">
            <w:pPr>
              <w:widowControl w:val="0"/>
              <w:spacing w:after="0" w:line="240" w:lineRule="auto"/>
              <w:ind w:firstLine="0"/>
              <w:jc w:val="center"/>
              <w:rPr>
                <w:rFonts w:asciiTheme="majorHAnsi" w:eastAsia="Times New Roman" w:hAnsiTheme="majorHAnsi" w:cs="Times New Roman"/>
                <w:kern w:val="20"/>
                <w:sz w:val="24"/>
                <w:szCs w:val="24"/>
                <w:lang w:val="ro-RO" w:eastAsia="en-US"/>
              </w:rPr>
            </w:pPr>
            <w:r w:rsidRPr="0037604E">
              <w:rPr>
                <w:rFonts w:asciiTheme="majorHAnsi" w:eastAsia="Times New Roman" w:hAnsiTheme="majorHAnsi" w:cs="Times New Roman"/>
                <w:kern w:val="20"/>
                <w:sz w:val="24"/>
                <w:szCs w:val="24"/>
                <w:lang w:val="ro-RO" w:eastAsia="en-US"/>
              </w:rPr>
              <w:t>42</w:t>
            </w:r>
          </w:p>
        </w:tc>
        <w:tc>
          <w:tcPr>
            <w:tcW w:w="2408" w:type="dxa"/>
          </w:tcPr>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03" w:name="_Toc445212598"/>
            <w:bookmarkStart w:id="104" w:name="_Toc446310855"/>
            <w:r w:rsidRPr="0037604E">
              <w:rPr>
                <w:rFonts w:ascii="Cambria" w:eastAsia="Times New Roman" w:hAnsi="Cambria" w:cs="Times New Roman"/>
                <w:kern w:val="20"/>
                <w:sz w:val="24"/>
                <w:szCs w:val="24"/>
                <w:lang w:val="en-GB" w:eastAsia="en-US"/>
              </w:rPr>
              <w:t>4 by absence and 3 by</w:t>
            </w:r>
            <w:bookmarkEnd w:id="103"/>
            <w:r w:rsidRPr="0037604E">
              <w:rPr>
                <w:rFonts w:ascii="Cambria" w:eastAsia="Times New Roman" w:hAnsi="Cambria" w:cs="Times New Roman"/>
                <w:kern w:val="20"/>
                <w:sz w:val="24"/>
                <w:szCs w:val="24"/>
                <w:lang w:val="en-GB" w:eastAsia="en-US"/>
              </w:rPr>
              <w:t xml:space="preserve"> representative</w:t>
            </w:r>
            <w:bookmarkEnd w:id="104"/>
          </w:p>
        </w:tc>
      </w:tr>
      <w:tr w:rsidR="0037604E" w:rsidRPr="0037604E" w:rsidTr="0037604E">
        <w:trPr>
          <w:tblCellSpacing w:w="20" w:type="dxa"/>
          <w:jc w:val="center"/>
        </w:trPr>
        <w:tc>
          <w:tcPr>
            <w:tcW w:w="3871" w:type="dxa"/>
            <w:vAlign w:val="center"/>
          </w:tcPr>
          <w:p w:rsidR="0037604E" w:rsidRPr="0037604E" w:rsidRDefault="0037604E" w:rsidP="0037604E">
            <w:pPr>
              <w:spacing w:after="0" w:line="24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ANDREI RIZOIU</w:t>
            </w:r>
          </w:p>
        </w:tc>
        <w:tc>
          <w:tcPr>
            <w:tcW w:w="1833" w:type="dxa"/>
            <w:vAlign w:val="center"/>
          </w:tcPr>
          <w:p w:rsidR="0037604E" w:rsidRPr="0037604E" w:rsidRDefault="0037604E" w:rsidP="0037604E">
            <w:pPr>
              <w:widowControl w:val="0"/>
              <w:spacing w:after="0" w:line="240" w:lineRule="auto"/>
              <w:ind w:firstLine="0"/>
              <w:jc w:val="center"/>
              <w:rPr>
                <w:rFonts w:asciiTheme="majorHAnsi" w:eastAsia="Times New Roman" w:hAnsiTheme="majorHAnsi" w:cs="Times New Roman"/>
                <w:kern w:val="20"/>
                <w:sz w:val="24"/>
                <w:szCs w:val="24"/>
                <w:lang w:val="ro-RO" w:eastAsia="en-US"/>
              </w:rPr>
            </w:pPr>
            <w:r w:rsidRPr="0037604E">
              <w:rPr>
                <w:rFonts w:asciiTheme="majorHAnsi" w:eastAsia="Times New Roman" w:hAnsiTheme="majorHAnsi" w:cs="Times New Roman"/>
                <w:kern w:val="20"/>
                <w:sz w:val="24"/>
                <w:szCs w:val="24"/>
                <w:lang w:val="ro-RO" w:eastAsia="en-US"/>
              </w:rPr>
              <w:t>46</w:t>
            </w:r>
          </w:p>
        </w:tc>
        <w:tc>
          <w:tcPr>
            <w:tcW w:w="2408" w:type="dxa"/>
          </w:tcPr>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05" w:name="_Toc445212599"/>
            <w:bookmarkStart w:id="106" w:name="_Toc446310856"/>
            <w:r w:rsidRPr="0037604E">
              <w:rPr>
                <w:rFonts w:ascii="Cambria" w:eastAsia="Times New Roman" w:hAnsi="Cambria" w:cs="Times New Roman"/>
                <w:kern w:val="20"/>
                <w:sz w:val="24"/>
                <w:szCs w:val="24"/>
                <w:lang w:val="en-GB" w:eastAsia="en-US"/>
              </w:rPr>
              <w:t xml:space="preserve">3 </w:t>
            </w:r>
            <w:bookmarkEnd w:id="105"/>
            <w:r w:rsidRPr="0037604E">
              <w:rPr>
                <w:rFonts w:ascii="Cambria" w:eastAsia="Times New Roman" w:hAnsi="Cambria" w:cs="Times New Roman"/>
                <w:kern w:val="20"/>
                <w:sz w:val="24"/>
                <w:szCs w:val="24"/>
                <w:lang w:val="en-GB" w:eastAsia="en-US"/>
              </w:rPr>
              <w:t>by representative</w:t>
            </w:r>
            <w:bookmarkEnd w:id="106"/>
          </w:p>
        </w:tc>
      </w:tr>
      <w:tr w:rsidR="0037604E" w:rsidRPr="0037604E" w:rsidTr="0037604E">
        <w:trPr>
          <w:tblCellSpacing w:w="20" w:type="dxa"/>
          <w:jc w:val="center"/>
        </w:trPr>
        <w:tc>
          <w:tcPr>
            <w:tcW w:w="3871" w:type="dxa"/>
            <w:vAlign w:val="center"/>
          </w:tcPr>
          <w:p w:rsidR="0037604E" w:rsidRPr="0037604E" w:rsidRDefault="0037604E" w:rsidP="0037604E">
            <w:pPr>
              <w:spacing w:after="0" w:line="240" w:lineRule="auto"/>
              <w:ind w:firstLine="0"/>
              <w:jc w:val="center"/>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RADU ŞTEFAN CERNOV</w:t>
            </w:r>
          </w:p>
        </w:tc>
        <w:tc>
          <w:tcPr>
            <w:tcW w:w="1833" w:type="dxa"/>
            <w:vAlign w:val="center"/>
          </w:tcPr>
          <w:p w:rsidR="0037604E" w:rsidRPr="0037604E" w:rsidRDefault="0037604E" w:rsidP="0037604E">
            <w:pPr>
              <w:widowControl w:val="0"/>
              <w:spacing w:after="0" w:line="240" w:lineRule="auto"/>
              <w:ind w:firstLine="0"/>
              <w:jc w:val="center"/>
              <w:rPr>
                <w:rFonts w:asciiTheme="majorHAnsi" w:eastAsia="Times New Roman" w:hAnsiTheme="majorHAnsi" w:cs="Times New Roman"/>
                <w:kern w:val="20"/>
                <w:sz w:val="24"/>
                <w:szCs w:val="24"/>
                <w:lang w:val="ro-RO" w:eastAsia="en-US"/>
              </w:rPr>
            </w:pPr>
            <w:r w:rsidRPr="0037604E">
              <w:rPr>
                <w:rFonts w:asciiTheme="majorHAnsi" w:eastAsia="Times New Roman" w:hAnsiTheme="majorHAnsi" w:cs="Times New Roman"/>
                <w:kern w:val="20"/>
                <w:sz w:val="24"/>
                <w:szCs w:val="24"/>
                <w:lang w:val="ro-RO" w:eastAsia="en-US"/>
              </w:rPr>
              <w:t>42</w:t>
            </w:r>
          </w:p>
        </w:tc>
        <w:tc>
          <w:tcPr>
            <w:tcW w:w="2408" w:type="dxa"/>
          </w:tcPr>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r w:rsidRPr="0037604E">
              <w:rPr>
                <w:rFonts w:ascii="Cambria" w:eastAsia="Times New Roman" w:hAnsi="Cambria" w:cs="Times New Roman"/>
                <w:kern w:val="20"/>
                <w:sz w:val="24"/>
                <w:szCs w:val="24"/>
                <w:lang w:val="en-GB" w:eastAsia="en-US"/>
              </w:rPr>
              <w:t>6 by representative and 1 by absence</w:t>
            </w:r>
          </w:p>
        </w:tc>
      </w:tr>
    </w:tbl>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07" w:name="_Toc445212601"/>
      <w:bookmarkStart w:id="108" w:name="_Toc446310858"/>
      <w:r w:rsidRPr="0037604E">
        <w:rPr>
          <w:rFonts w:ascii="Cambria" w:eastAsia="Times New Roman" w:hAnsi="Cambria" w:cs="Times New Roman"/>
          <w:kern w:val="20"/>
          <w:sz w:val="24"/>
          <w:szCs w:val="24"/>
          <w:lang w:val="en-GB" w:eastAsia="en-US"/>
        </w:rPr>
        <w:t>The debates are recorded in the minutes of the meeting, which will include the names of participants, deliberations, decisions, the number of votes received and the separate opinions. The minutes is signed by the Chairman and by at least one other administrator. Based on the minutes the secretary of the board drafts its decision, which is signed by the Chairman.</w:t>
      </w:r>
      <w:bookmarkEnd w:id="107"/>
      <w:bookmarkEnd w:id="108"/>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09" w:name="_Toc446310859"/>
      <w:r w:rsidRPr="0037604E">
        <w:rPr>
          <w:rFonts w:ascii="Cambria" w:eastAsia="Times New Roman" w:hAnsi="Cambria" w:cs="Times New Roman"/>
          <w:kern w:val="20"/>
          <w:sz w:val="24"/>
          <w:szCs w:val="24"/>
          <w:lang w:val="en-GB" w:eastAsia="en-US"/>
        </w:rPr>
        <w:t>The Board of Administration delegates the management of the company to TRANSGAZ’ Director - General which is not the Chairman of the Board. TRANSGAZ’ Director - General represented the company</w:t>
      </w:r>
      <w:r w:rsidRPr="0037604E">
        <w:rPr>
          <w:lang w:val="en-GB"/>
        </w:rPr>
        <w:t xml:space="preserve"> </w:t>
      </w:r>
      <w:r w:rsidRPr="0037604E">
        <w:rPr>
          <w:rFonts w:ascii="Cambria" w:eastAsia="Times New Roman" w:hAnsi="Cambria" w:cs="Times New Roman"/>
          <w:kern w:val="20"/>
          <w:sz w:val="24"/>
          <w:szCs w:val="24"/>
          <w:lang w:val="en-GB" w:eastAsia="en-US"/>
        </w:rPr>
        <w:t>in its relationship with third parties.</w:t>
      </w:r>
      <w:bookmarkEnd w:id="109"/>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10" w:name="_Toc446310860"/>
      <w:r w:rsidRPr="0037604E">
        <w:rPr>
          <w:rFonts w:ascii="Cambria" w:eastAsia="Times New Roman" w:hAnsi="Cambria" w:cs="Times New Roman"/>
          <w:kern w:val="20"/>
          <w:sz w:val="24"/>
          <w:szCs w:val="24"/>
          <w:lang w:val="en-GB" w:eastAsia="en-US"/>
        </w:rPr>
        <w:t>The Director shall draw up and present to the Board a management plan during his mandate and for the first year in office, including the management strategy to achieve the objectives and performance criteria set out in the mandate contract.</w:t>
      </w:r>
      <w:bookmarkEnd w:id="110"/>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management plan must be correlated and develop the management plan of the Board and will be subject to its approval.</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assessment of the activity of the Directors by the BA will cover both the execution of the contract of mandate and the management plan.</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Director - General shall develop and present to the Board the reports provided by law.</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Director-General submits for approval to the Board of Administration transactions concluded with managers or directors, employees or controlling shareholders of Transgaz or a company controlled by them, if the transaction has, individually or in a series of transactions, a value of at least the RON equivalent of EUR 50,000.</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11" w:name="_Toc445212603"/>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12" w:name="_Toc446310861"/>
      <w:r w:rsidRPr="0037604E">
        <w:rPr>
          <w:rFonts w:ascii="Cambria" w:eastAsia="Times New Roman" w:hAnsi="Cambria" w:cs="Times New Roman"/>
          <w:kern w:val="20"/>
          <w:sz w:val="24"/>
          <w:szCs w:val="24"/>
          <w:lang w:val="en-GB" w:eastAsia="en-US"/>
        </w:rPr>
        <w:t>The executive directors and managers of branches are appointed by the Director - General and are subordinated to him, they are officials of Transgaz S.A., run its operations and are accountable to it to fulfil their duties under the same conditions as the members of the Board.</w:t>
      </w:r>
      <w:bookmarkEnd w:id="112"/>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113" w:name="_Toc445212604"/>
      <w:bookmarkEnd w:id="111"/>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114" w:name="_Toc446310862"/>
      <w:r w:rsidRPr="0037604E">
        <w:rPr>
          <w:rFonts w:ascii="Cambria" w:eastAsia="Times New Roman" w:hAnsi="Cambria" w:cs="Times New Roman"/>
          <w:kern w:val="20"/>
          <w:sz w:val="24"/>
          <w:szCs w:val="24"/>
          <w:lang w:val="en-GB" w:eastAsia="en-US"/>
        </w:rPr>
        <w:t>The responsibilities of the executive directors and directors of the branches are determined by the rules of procedure and operation of TRANSGAZ S.A.</w:t>
      </w:r>
      <w:bookmarkEnd w:id="114"/>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115" w:name="_Toc446310863"/>
      <w:r w:rsidRPr="0037604E">
        <w:rPr>
          <w:rFonts w:ascii="Cambria" w:eastAsia="Times New Roman" w:hAnsi="Cambria" w:cs="Times New Roman"/>
          <w:kern w:val="20"/>
          <w:sz w:val="24"/>
          <w:szCs w:val="24"/>
          <w:lang w:val="en-GB" w:eastAsia="en-US"/>
        </w:rPr>
        <w:t>The persons who are incompatible according to the Companies Law no. 31/1990 republished, with subsequent amendments cannot serve as executives or directors of those branches.</w:t>
      </w:r>
      <w:bookmarkEnd w:id="115"/>
    </w:p>
    <w:p w:rsidR="0037604E" w:rsidRPr="0037604E" w:rsidRDefault="0037604E" w:rsidP="0037604E">
      <w:pPr>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C80159" w:rsidP="0037604E">
      <w:pPr>
        <w:spacing w:after="0" w:line="240" w:lineRule="auto"/>
        <w:ind w:firstLine="0"/>
        <w:jc w:val="both"/>
        <w:outlineLvl w:val="1"/>
        <w:rPr>
          <w:rFonts w:ascii="Cambria" w:eastAsia="Times New Roman" w:hAnsi="Cambria" w:cs="Times New Roman"/>
          <w:kern w:val="20"/>
          <w:sz w:val="24"/>
          <w:szCs w:val="24"/>
          <w:lang w:val="en-GB" w:eastAsia="en-US"/>
        </w:rPr>
      </w:pPr>
      <w:bookmarkStart w:id="116" w:name="_Toc446310864"/>
      <w:r>
        <w:rPr>
          <w:rFonts w:ascii="Cambria" w:eastAsia="Times New Roman" w:hAnsi="Cambria" w:cs="Times New Roman"/>
          <w:kern w:val="20"/>
          <w:sz w:val="24"/>
          <w:szCs w:val="24"/>
          <w:lang w:val="en-GB" w:eastAsia="en-US"/>
        </w:rPr>
        <w:t>The Board of Administration</w:t>
      </w:r>
      <w:r w:rsidR="0037604E" w:rsidRPr="0037604E">
        <w:rPr>
          <w:rFonts w:asciiTheme="majorHAnsi" w:eastAsia="Times New Roman" w:hAnsiTheme="majorHAnsi" w:cs="Times New Roman"/>
          <w:kern w:val="20"/>
          <w:sz w:val="24"/>
          <w:szCs w:val="24"/>
          <w:lang w:val="ro-RO" w:eastAsia="en-US"/>
        </w:rPr>
        <w:t>, according to Art. 8 of the Articles of Incorporation updated at 29.04.2016,</w:t>
      </w:r>
      <w:r w:rsidR="0037604E" w:rsidRPr="0037604E">
        <w:rPr>
          <w:rFonts w:asciiTheme="majorHAnsi" w:hAnsiTheme="majorHAnsi"/>
          <w:kern w:val="20"/>
          <w:sz w:val="24"/>
          <w:lang w:val="ro-RO"/>
        </w:rPr>
        <w:t xml:space="preserve"> </w:t>
      </w:r>
      <w:r w:rsidR="0037604E" w:rsidRPr="0037604E">
        <w:rPr>
          <w:rFonts w:ascii="Cambria" w:eastAsia="Times New Roman" w:hAnsi="Cambria" w:cs="Times New Roman"/>
          <w:kern w:val="20"/>
          <w:sz w:val="24"/>
          <w:szCs w:val="24"/>
          <w:lang w:val="en-GB" w:eastAsia="en-US"/>
        </w:rPr>
        <w:t xml:space="preserve"> informs in the first general meeting of the shareholders following the end of the legal act on: - any transactions with administrators or directors, employees, shareholders who hold control over the company or with a company controlled by them; -transactions concluded with spouses, relatives or in-laws up to the fourth degree, including the persons referred to above; - Any transaction between TRANSGAZ S.A. and </w:t>
      </w:r>
      <w:r w:rsidR="0037604E" w:rsidRPr="0037604E">
        <w:rPr>
          <w:rFonts w:ascii="Cambria" w:eastAsia="Times New Roman" w:hAnsi="Cambria" w:cs="Times New Roman"/>
          <w:kern w:val="20"/>
          <w:sz w:val="24"/>
          <w:szCs w:val="24"/>
          <w:lang w:val="en-GB" w:eastAsia="en-US"/>
        </w:rPr>
        <w:lastRenderedPageBreak/>
        <w:t>another public enterprise or public authority guardianship, if the transaction has a value, individually or in a series of transactions, of at least the equivalent in RON of EUR 100,000</w:t>
      </w:r>
      <w:bookmarkEnd w:id="116"/>
    </w:p>
    <w:bookmarkEnd w:id="113"/>
    <w:p w:rsidR="0037604E" w:rsidRPr="0037604E" w:rsidRDefault="0037604E" w:rsidP="0037604E">
      <w:pPr>
        <w:widowControl w:val="0"/>
        <w:spacing w:after="0" w:line="240" w:lineRule="auto"/>
        <w:ind w:firstLine="0"/>
        <w:jc w:val="both"/>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rPr>
          <w:rFonts w:ascii="Cambria" w:eastAsia="Times New Roman" w:hAnsi="Cambria" w:cs="Times New Roman"/>
          <w:kern w:val="20"/>
          <w:sz w:val="24"/>
          <w:szCs w:val="24"/>
          <w:lang w:val="en-GB" w:eastAsia="en-US"/>
        </w:rPr>
      </w:pPr>
      <w:r w:rsidRPr="0037604E">
        <w:rPr>
          <w:rFonts w:ascii="Cambria" w:eastAsia="Times New Roman" w:hAnsi="Cambria" w:cs="Times New Roman"/>
          <w:kern w:val="20"/>
          <w:sz w:val="24"/>
          <w:szCs w:val="24"/>
          <w:lang w:val="en-GB" w:eastAsia="en-US"/>
        </w:rPr>
        <w:t>The Board of Administration must submit to the General Meeting of shareholders and financial auditors Transgaz documents and activity reports according to the law.</w:t>
      </w:r>
    </w:p>
    <w:p w:rsidR="0037604E" w:rsidRPr="0037604E" w:rsidRDefault="0037604E" w:rsidP="0037604E">
      <w:pPr>
        <w:widowControl w:val="0"/>
        <w:spacing w:after="0" w:line="240" w:lineRule="auto"/>
        <w:ind w:firstLine="0"/>
        <w:jc w:val="both"/>
        <w:outlineLvl w:val="0"/>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0"/>
        <w:rPr>
          <w:rFonts w:ascii="Cambria" w:eastAsia="Times New Roman" w:hAnsi="Cambria" w:cs="Times New Roman"/>
          <w:b/>
          <w:kern w:val="20"/>
          <w:sz w:val="24"/>
          <w:szCs w:val="24"/>
          <w:lang w:val="en-GB" w:eastAsia="en-US"/>
        </w:rPr>
      </w:pPr>
      <w:bookmarkStart w:id="117" w:name="_Toc446310865"/>
      <w:r w:rsidRPr="0037604E">
        <w:rPr>
          <w:rFonts w:ascii="Cambria" w:eastAsia="Times New Roman" w:hAnsi="Cambria" w:cs="Times New Roman"/>
          <w:b/>
          <w:kern w:val="20"/>
          <w:sz w:val="24"/>
          <w:szCs w:val="24"/>
          <w:lang w:val="en-GB" w:eastAsia="en-US"/>
        </w:rPr>
        <w:t>Administrators’ liability</w:t>
      </w:r>
      <w:bookmarkEnd w:id="117"/>
    </w:p>
    <w:p w:rsidR="0037604E" w:rsidRPr="0037604E" w:rsidRDefault="0037604E" w:rsidP="0037604E">
      <w:pPr>
        <w:widowControl w:val="0"/>
        <w:spacing w:after="0" w:line="240" w:lineRule="auto"/>
        <w:ind w:firstLine="0"/>
        <w:jc w:val="both"/>
        <w:outlineLvl w:val="0"/>
        <w:rPr>
          <w:rFonts w:ascii="Cambria" w:eastAsia="Times New Roman" w:hAnsi="Cambria" w:cs="Times New Roman"/>
          <w:b/>
          <w:kern w:val="20"/>
          <w:sz w:val="24"/>
          <w:szCs w:val="24"/>
          <w:lang w:val="en-GB" w:eastAsia="en-US"/>
        </w:rPr>
      </w:pPr>
      <w:r w:rsidRPr="0037604E">
        <w:rPr>
          <w:rFonts w:ascii="Cambria" w:eastAsia="Times New Roman" w:hAnsi="Cambria" w:cs="Times New Roman"/>
          <w:b/>
          <w:kern w:val="20"/>
          <w:sz w:val="24"/>
          <w:szCs w:val="24"/>
          <w:lang w:val="en-GB" w:eastAsia="en-US"/>
        </w:rPr>
        <w:t xml:space="preserve"> </w:t>
      </w:r>
    </w:p>
    <w:p w:rsidR="0037604E" w:rsidRPr="0037604E" w:rsidRDefault="0037604E" w:rsidP="0037604E">
      <w:pPr>
        <w:widowControl w:val="0"/>
        <w:spacing w:after="0" w:line="240" w:lineRule="auto"/>
        <w:ind w:firstLine="0"/>
        <w:jc w:val="both"/>
        <w:rPr>
          <w:rFonts w:ascii="Cambria" w:eastAsia="Times New Roman" w:hAnsi="Cambria" w:cs="Times New Roman"/>
          <w:kern w:val="20"/>
          <w:sz w:val="24"/>
          <w:szCs w:val="24"/>
          <w:lang w:val="en-GB" w:eastAsia="en-US"/>
        </w:rPr>
      </w:pPr>
      <w:r w:rsidRPr="0037604E">
        <w:rPr>
          <w:rFonts w:ascii="Cambria" w:eastAsia="Times New Roman" w:hAnsi="Cambria" w:cs="Times New Roman"/>
          <w:kern w:val="20"/>
          <w:sz w:val="24"/>
          <w:szCs w:val="24"/>
          <w:lang w:val="en-GB" w:eastAsia="en-US"/>
        </w:rPr>
        <w:t>The liability of the administrators is covered by legal provisions regarding the mandate and the special provisions of the Companies Law no. 31/1990, republished, with subsequent amendments.</w:t>
      </w:r>
    </w:p>
    <w:p w:rsidR="0037604E" w:rsidRPr="0037604E" w:rsidRDefault="0037604E" w:rsidP="0037604E">
      <w:pPr>
        <w:widowControl w:val="0"/>
        <w:spacing w:after="0" w:line="240" w:lineRule="auto"/>
        <w:ind w:firstLine="0"/>
        <w:jc w:val="both"/>
        <w:outlineLvl w:val="0"/>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0"/>
        <w:rPr>
          <w:rFonts w:ascii="Cambria" w:eastAsia="Times New Roman" w:hAnsi="Cambria" w:cs="Times New Roman"/>
          <w:b/>
          <w:kern w:val="20"/>
          <w:sz w:val="24"/>
          <w:szCs w:val="24"/>
          <w:lang w:val="en-GB" w:eastAsia="en-US"/>
        </w:rPr>
      </w:pPr>
      <w:bookmarkStart w:id="118" w:name="_Toc445212608"/>
      <w:bookmarkStart w:id="119" w:name="_Toc446310866"/>
      <w:r w:rsidRPr="0037604E">
        <w:rPr>
          <w:rFonts w:ascii="Cambria" w:eastAsia="Times New Roman" w:hAnsi="Cambria" w:cs="Times New Roman"/>
          <w:b/>
          <w:kern w:val="20"/>
          <w:sz w:val="24"/>
          <w:szCs w:val="24"/>
          <w:lang w:val="en-GB" w:eastAsia="en-US"/>
        </w:rPr>
        <w:t>Incompatibil</w:t>
      </w:r>
      <w:bookmarkEnd w:id="118"/>
      <w:r w:rsidRPr="0037604E">
        <w:rPr>
          <w:rFonts w:ascii="Cambria" w:eastAsia="Times New Roman" w:hAnsi="Cambria" w:cs="Times New Roman"/>
          <w:b/>
          <w:kern w:val="20"/>
          <w:sz w:val="24"/>
          <w:szCs w:val="24"/>
          <w:lang w:val="en-GB" w:eastAsia="en-US"/>
        </w:rPr>
        <w:t>ities</w:t>
      </w:r>
      <w:bookmarkEnd w:id="119"/>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20" w:name="_Toc445212609"/>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21" w:name="_Toc446310867"/>
      <w:r w:rsidRPr="0037604E">
        <w:rPr>
          <w:rFonts w:ascii="Cambria" w:eastAsia="Times New Roman" w:hAnsi="Cambria" w:cs="Times New Roman"/>
          <w:kern w:val="20"/>
          <w:sz w:val="24"/>
          <w:szCs w:val="24"/>
          <w:lang w:val="en-GB" w:eastAsia="en-US"/>
        </w:rPr>
        <w:t>The persons referred to in the Companies Act no. 31/1990, republish</w:t>
      </w:r>
      <w:r w:rsidR="00C80159">
        <w:rPr>
          <w:rFonts w:ascii="Cambria" w:eastAsia="Times New Roman" w:hAnsi="Cambria" w:cs="Times New Roman"/>
          <w:kern w:val="20"/>
          <w:sz w:val="24"/>
          <w:szCs w:val="24"/>
          <w:lang w:val="en-GB" w:eastAsia="en-US"/>
        </w:rPr>
        <w:t xml:space="preserve">ed, with subsequent amendments </w:t>
      </w:r>
      <w:r w:rsidRPr="0037604E">
        <w:rPr>
          <w:rFonts w:ascii="Cambria" w:eastAsia="Times New Roman" w:hAnsi="Cambria" w:cs="Times New Roman"/>
          <w:kern w:val="20"/>
          <w:sz w:val="24"/>
          <w:szCs w:val="24"/>
          <w:lang w:val="en-GB" w:eastAsia="en-US"/>
        </w:rPr>
        <w:t>are incompatible with membership on the Board.</w:t>
      </w:r>
      <w:bookmarkEnd w:id="121"/>
      <w:r w:rsidRPr="0037604E">
        <w:rPr>
          <w:rFonts w:ascii="Cambria" w:eastAsia="Times New Roman" w:hAnsi="Cambria" w:cs="Times New Roman"/>
          <w:kern w:val="20"/>
          <w:sz w:val="24"/>
          <w:szCs w:val="24"/>
          <w:lang w:val="en-GB" w:eastAsia="en-US"/>
        </w:rPr>
        <w:t xml:space="preserve"> </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bookmarkStart w:id="122" w:name="_Toc446310868"/>
      <w:r w:rsidRPr="0037604E">
        <w:rPr>
          <w:rFonts w:ascii="Cambria" w:eastAsia="Times New Roman" w:hAnsi="Cambria" w:cs="Times New Roman"/>
          <w:kern w:val="20"/>
          <w:sz w:val="24"/>
          <w:szCs w:val="24"/>
          <w:lang w:val="en-GB" w:eastAsia="en-US"/>
        </w:rPr>
        <w:t>The person who is incompatible with the position of administrator, according to the Companies Act no. 31/1990, republished, as amended and supplemented cannot be Director - General of Transgaz S.A.</w:t>
      </w:r>
      <w:bookmarkEnd w:id="122"/>
      <w:r w:rsidRPr="0037604E">
        <w:rPr>
          <w:rFonts w:ascii="Cambria" w:eastAsia="Times New Roman" w:hAnsi="Cambria" w:cs="Times New Roman"/>
          <w:kern w:val="20"/>
          <w:sz w:val="24"/>
          <w:szCs w:val="24"/>
          <w:lang w:val="en-GB" w:eastAsia="en-US"/>
        </w:rPr>
        <w:t xml:space="preserve"> </w:t>
      </w:r>
    </w:p>
    <w:bookmarkEnd w:id="120"/>
    <w:p w:rsidR="0037604E" w:rsidRPr="0037604E" w:rsidRDefault="0037604E" w:rsidP="0037604E">
      <w:pPr>
        <w:widowControl w:val="0"/>
        <w:spacing w:after="0" w:line="240" w:lineRule="auto"/>
        <w:ind w:firstLine="0"/>
        <w:jc w:val="both"/>
        <w:outlineLvl w:val="0"/>
        <w:rPr>
          <w:rFonts w:ascii="Cambria" w:eastAsia="Times New Roman" w:hAnsi="Cambria" w:cs="Times New Roman"/>
          <w:b/>
          <w:i/>
          <w:kern w:val="20"/>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b/>
          <w:kern w:val="20"/>
          <w:sz w:val="24"/>
          <w:szCs w:val="24"/>
          <w:lang w:val="en-GB" w:eastAsia="en-US"/>
        </w:rPr>
      </w:pPr>
      <w:r w:rsidRPr="0037604E">
        <w:rPr>
          <w:rFonts w:ascii="Cambria" w:eastAsia="Times New Roman" w:hAnsi="Cambria" w:cs="Times New Roman"/>
          <w:b/>
          <w:kern w:val="20"/>
          <w:sz w:val="24"/>
          <w:szCs w:val="24"/>
          <w:lang w:val="en-GB" w:eastAsia="en-US"/>
        </w:rPr>
        <w:t xml:space="preserve">Competences of the Board of Administration </w:t>
      </w:r>
    </w:p>
    <w:p w:rsidR="0037604E" w:rsidRPr="0037604E" w:rsidRDefault="0037604E" w:rsidP="0037604E">
      <w:pPr>
        <w:spacing w:after="0" w:line="240" w:lineRule="auto"/>
        <w:ind w:firstLine="0"/>
        <w:jc w:val="both"/>
        <w:rPr>
          <w:rFonts w:ascii="Cambria" w:eastAsia="Times New Roman" w:hAnsi="Cambria" w:cs="Times New Roman"/>
          <w:b/>
          <w:kern w:val="20"/>
          <w:sz w:val="24"/>
          <w:szCs w:val="24"/>
          <w:lang w:val="en-GB" w:eastAsia="en-US"/>
        </w:rPr>
      </w:pPr>
    </w:p>
    <w:p w:rsidR="0037604E" w:rsidRPr="0037604E" w:rsidRDefault="0037604E" w:rsidP="0037604E">
      <w:pPr>
        <w:spacing w:after="0" w:line="240" w:lineRule="auto"/>
        <w:ind w:firstLine="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The main competences of the Board of Administration are:</w:t>
      </w:r>
      <w:r w:rsidR="00C80159">
        <w:rPr>
          <w:rFonts w:asciiTheme="majorHAnsi" w:eastAsia="Times New Roman" w:hAnsiTheme="majorHAnsi" w:cs="Times New Roman"/>
          <w:bCs/>
          <w:sz w:val="24"/>
          <w:szCs w:val="24"/>
          <w:lang w:val="en-GB" w:eastAsia="en-US"/>
        </w:rPr>
        <w:t xml:space="preserve"> </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set the company’s main directions of activity and development;</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set the accounting and financial control system, and to approve the financial planning;</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TRANSGAZ SA’s organizational structure and internal regulations;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appoint, suspend or revoke the director-general of TRANSGAZ SA, and to establish his remuneration;</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supervise the activity of the director-general;</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prepare the annual report, to organize the general assemblies of the shareholders in compliance with Law 31/1990, as further amended and supplemented, and to set their remuneration and to implement the General Assembly of the Shareholders’ resolutions;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submit the application for the commencement of the TRANSGAZ’s insolvency proceedings according to the applicable laws;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level of the manager securities;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conclude legal acts for the acquirement, alienation, exchange or serving as collateral of the assets which are part of TRANSGAZ’s patrimony, under the approval of the General Assembly of the Shareholders, according to the law;</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subsidiaries’ competences by domain of activity (economic, commercial, technical, administrative, financial, legal, etc.) for the fulfilling of the company’s object of activity;</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conclusion of any contract for which it has not delegated the competence to the company’s director-general;</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submit TRANSGAZ SA’s activity report, balance sheet and profit and loss account for the previous year to the General Assembly of the Shareholders annually, at the closure of the financial year;</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submit the activity programme and the draft income and expense budget for the following year to the General Assembly of the Shareholders;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lastRenderedPageBreak/>
        <w:t>To convene the General Assembly of the Shareholders whenever necessary;</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establish TRANSGAZ S.A.’s employees’ rights, obligations and responsibilities, according to the approved organizational structures;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establish the competences and the contracting level of the current bank loans, short-term and medium-term commercial credits, and  the approval of the issuing of guarantees;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number of posts and the rules for the establishing of the operating and production units;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production, research, development and investment programmes;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environmental protection and labour security policies according to the applicable laws;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approve the modification of the income and expense budget structure, within limits of the budget approved by the General Assembly of the Shareholders and of the competences for which it is mandated;</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negotiate the collective labour contract by mandating the director-general, and the approval of the staff regulations;</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establish and approve the allowance of the Board of Administration’s secretary;</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ensure and to bear the responsibility for the carrying out of any other duties and obligations set by the General Assembly of the Shareholders or foreseen by the laws in force;</w:t>
      </w:r>
    </w:p>
    <w:p w:rsidR="0037604E" w:rsidRPr="0037604E" w:rsidRDefault="0037604E" w:rsidP="00FA6EB9">
      <w:pPr>
        <w:numPr>
          <w:ilvl w:val="0"/>
          <w:numId w:val="76"/>
        </w:numPr>
        <w:tabs>
          <w:tab w:val="clear" w:pos="720"/>
          <w:tab w:val="num" w:pos="360"/>
        </w:tabs>
        <w:spacing w:after="0" w:line="240" w:lineRule="auto"/>
        <w:ind w:left="360"/>
        <w:jc w:val="both"/>
        <w:rPr>
          <w:rFonts w:asciiTheme="majorHAnsi" w:eastAsia="Times New Roman" w:hAnsiTheme="majorHAnsi" w:cs="Times New Roman"/>
          <w:bCs/>
          <w:sz w:val="24"/>
          <w:szCs w:val="24"/>
          <w:lang w:val="en-GB" w:eastAsia="en-US"/>
        </w:rPr>
      </w:pPr>
      <w:r w:rsidRPr="0037604E">
        <w:rPr>
          <w:rFonts w:asciiTheme="majorHAnsi" w:eastAsia="Times New Roman" w:hAnsiTheme="majorHAnsi" w:cs="Times New Roman"/>
          <w:bCs/>
          <w:sz w:val="24"/>
          <w:szCs w:val="24"/>
          <w:lang w:val="en-GB" w:eastAsia="en-US"/>
        </w:rPr>
        <w:t>To adopt any other decision regarding the activity of the company, except for those which fall under the competence of the General Assembly of the Shareholders.</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kern w:val="20"/>
          <w:sz w:val="24"/>
          <w:szCs w:val="24"/>
          <w:lang w:val="en-GB" w:eastAsia="en-US"/>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b/>
          <w:bCs/>
          <w:sz w:val="24"/>
          <w:szCs w:val="24"/>
          <w:lang w:val="en-GB" w:eastAsia="ro-RO"/>
        </w:rPr>
      </w:pPr>
      <w:bookmarkStart w:id="123" w:name="_Toc446310869"/>
      <w:bookmarkStart w:id="124" w:name="_Toc445212612"/>
      <w:r w:rsidRPr="0037604E">
        <w:rPr>
          <w:rFonts w:ascii="Cambria" w:eastAsia="Times New Roman" w:hAnsi="Cambria" w:cs="Times New Roman"/>
          <w:b/>
          <w:bCs/>
          <w:sz w:val="24"/>
          <w:szCs w:val="24"/>
          <w:lang w:val="en-GB" w:eastAsia="ro-RO"/>
        </w:rPr>
        <w:t xml:space="preserve">Appointment of the </w:t>
      </w:r>
      <w:r w:rsidR="00C80159" w:rsidRPr="0037604E">
        <w:rPr>
          <w:rFonts w:ascii="Cambria" w:eastAsia="Times New Roman" w:hAnsi="Cambria" w:cs="Times New Roman"/>
          <w:b/>
          <w:bCs/>
          <w:sz w:val="24"/>
          <w:szCs w:val="24"/>
          <w:lang w:val="en-GB" w:eastAsia="ro-RO"/>
        </w:rPr>
        <w:t>members</w:t>
      </w:r>
      <w:r w:rsidR="00C80159">
        <w:rPr>
          <w:rFonts w:ascii="Cambria" w:eastAsia="Times New Roman" w:hAnsi="Cambria" w:cs="Times New Roman"/>
          <w:b/>
          <w:bCs/>
          <w:sz w:val="24"/>
          <w:szCs w:val="24"/>
          <w:lang w:val="en-GB" w:eastAsia="ro-RO"/>
        </w:rPr>
        <w:t xml:space="preserve"> of the</w:t>
      </w:r>
      <w:r w:rsidR="00C80159" w:rsidRPr="0037604E">
        <w:rPr>
          <w:rFonts w:ascii="Cambria" w:eastAsia="Times New Roman" w:hAnsi="Cambria" w:cs="Times New Roman"/>
          <w:b/>
          <w:bCs/>
          <w:sz w:val="24"/>
          <w:szCs w:val="24"/>
          <w:lang w:val="en-GB" w:eastAsia="ro-RO"/>
        </w:rPr>
        <w:t xml:space="preserve"> </w:t>
      </w:r>
      <w:r w:rsidRPr="0037604E">
        <w:rPr>
          <w:rFonts w:ascii="Cambria" w:eastAsia="Times New Roman" w:hAnsi="Cambria" w:cs="Times New Roman"/>
          <w:b/>
          <w:bCs/>
          <w:sz w:val="24"/>
          <w:szCs w:val="24"/>
          <w:lang w:val="en-GB" w:eastAsia="ro-RO"/>
        </w:rPr>
        <w:t xml:space="preserve">Board of Administration </w:t>
      </w:r>
      <w:bookmarkEnd w:id="123"/>
    </w:p>
    <w:p w:rsidR="0037604E" w:rsidRPr="0037604E" w:rsidRDefault="0037604E" w:rsidP="0037604E">
      <w:pPr>
        <w:widowControl w:val="0"/>
        <w:spacing w:after="0" w:line="240" w:lineRule="auto"/>
        <w:ind w:firstLine="0"/>
        <w:jc w:val="both"/>
        <w:outlineLvl w:val="1"/>
        <w:rPr>
          <w:rFonts w:ascii="Cambria" w:eastAsia="Times New Roman" w:hAnsi="Cambria" w:cs="Times New Roman"/>
          <w:bCs/>
          <w:kern w:val="20"/>
          <w:sz w:val="24"/>
          <w:szCs w:val="24"/>
          <w:lang w:val="en-GB" w:eastAsia="ro-RO"/>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bCs/>
          <w:kern w:val="20"/>
          <w:sz w:val="24"/>
          <w:szCs w:val="24"/>
          <w:lang w:val="en-GB" w:eastAsia="ro-RO"/>
        </w:rPr>
      </w:pPr>
      <w:bookmarkStart w:id="125" w:name="_Toc446310870"/>
      <w:r w:rsidRPr="0037604E">
        <w:rPr>
          <w:rFonts w:ascii="Cambria" w:eastAsia="Times New Roman" w:hAnsi="Cambria" w:cs="Times New Roman"/>
          <w:bCs/>
          <w:kern w:val="20"/>
          <w:sz w:val="24"/>
          <w:szCs w:val="24"/>
          <w:lang w:val="en-GB" w:eastAsia="ro-RO"/>
        </w:rPr>
        <w:t>The company has established a Nomination Committee which coordinates the process of appointment of Board members and makes recommendations both for the position of administrator and to fill vacancies in it, according to GEO 109/2011 on corporate governance in public enterprises as subsequently amended and supplimented.</w:t>
      </w:r>
      <w:r w:rsidRPr="0037604E">
        <w:rPr>
          <w:rFonts w:asciiTheme="majorHAnsi" w:eastAsia="Calibri" w:hAnsiTheme="majorHAnsi" w:cs="DokChampa"/>
          <w:bCs/>
          <w:sz w:val="24"/>
          <w:lang w:val="ro-RO" w:eastAsia="ro-RO"/>
        </w:rPr>
        <w:t xml:space="preserve"> </w:t>
      </w:r>
      <w:bookmarkEnd w:id="125"/>
    </w:p>
    <w:p w:rsidR="0037604E" w:rsidRPr="0037604E" w:rsidRDefault="0037604E" w:rsidP="0037604E">
      <w:pPr>
        <w:widowControl w:val="0"/>
        <w:spacing w:after="0" w:line="240" w:lineRule="auto"/>
        <w:ind w:firstLine="0"/>
        <w:jc w:val="both"/>
        <w:outlineLvl w:val="1"/>
        <w:rPr>
          <w:rFonts w:ascii="Cambria" w:eastAsia="Times New Roman" w:hAnsi="Cambria" w:cs="Times New Roman"/>
          <w:bCs/>
          <w:kern w:val="20"/>
          <w:sz w:val="24"/>
          <w:szCs w:val="24"/>
          <w:lang w:val="en-GB" w:eastAsia="ro-RO"/>
        </w:rPr>
      </w:pPr>
      <w:bookmarkStart w:id="126" w:name="_Toc446310871"/>
      <w:r w:rsidRPr="0037604E">
        <w:rPr>
          <w:rFonts w:ascii="Cambria" w:eastAsia="Times New Roman" w:hAnsi="Cambria" w:cs="Times New Roman"/>
          <w:bCs/>
          <w:kern w:val="20"/>
          <w:sz w:val="24"/>
          <w:szCs w:val="24"/>
          <w:lang w:val="en-GB" w:eastAsia="ro-RO"/>
        </w:rPr>
        <w:t>In the event that a vacancy in the Board occurs, the election of a new member shall be made according to the law. The duration for which the new administrator is elected to fill the vacancy will be equal to the period remaining until the expiry of his predecessor's term.</w:t>
      </w:r>
      <w:bookmarkEnd w:id="126"/>
    </w:p>
    <w:bookmarkEnd w:id="124"/>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C80159" w:rsidP="0037604E">
      <w:pPr>
        <w:spacing w:after="0" w:line="240" w:lineRule="auto"/>
        <w:ind w:firstLine="0"/>
        <w:jc w:val="both"/>
        <w:rPr>
          <w:rFonts w:asciiTheme="majorHAnsi" w:eastAsia="Times New Roman" w:hAnsiTheme="majorHAnsi" w:cs="Times New Roman"/>
          <w:b/>
          <w:bCs/>
          <w:sz w:val="24"/>
          <w:szCs w:val="24"/>
          <w:lang w:val="en-GB" w:eastAsia="ro-RO"/>
        </w:rPr>
      </w:pPr>
      <w:r>
        <w:rPr>
          <w:rFonts w:asciiTheme="majorHAnsi" w:eastAsia="Times New Roman" w:hAnsiTheme="majorHAnsi" w:cs="Times New Roman"/>
          <w:b/>
          <w:bCs/>
          <w:sz w:val="24"/>
          <w:szCs w:val="24"/>
          <w:lang w:val="en-GB" w:eastAsia="ro-RO"/>
        </w:rPr>
        <w:t>Advisory Committees established</w:t>
      </w:r>
      <w:r w:rsidR="0037604E" w:rsidRPr="0037604E">
        <w:rPr>
          <w:rFonts w:asciiTheme="majorHAnsi" w:eastAsia="Times New Roman" w:hAnsiTheme="majorHAnsi" w:cs="Times New Roman"/>
          <w:b/>
          <w:bCs/>
          <w:sz w:val="24"/>
          <w:szCs w:val="24"/>
          <w:lang w:val="en-GB" w:eastAsia="ro-RO"/>
        </w:rPr>
        <w:t xml:space="preserve"> within the Board of Administration </w:t>
      </w:r>
    </w:p>
    <w:p w:rsidR="0037604E" w:rsidRPr="0037604E" w:rsidRDefault="0037604E" w:rsidP="0037604E">
      <w:pPr>
        <w:spacing w:after="0" w:line="240" w:lineRule="auto"/>
        <w:ind w:firstLine="0"/>
        <w:jc w:val="both"/>
        <w:rPr>
          <w:rFonts w:asciiTheme="majorHAnsi" w:eastAsia="Times New Roman" w:hAnsiTheme="majorHAnsi" w:cs="Times New Roman"/>
          <w:b/>
          <w:sz w:val="24"/>
          <w:szCs w:val="24"/>
          <w:lang w:val="en-GB" w:eastAsia="ro-RO"/>
        </w:rPr>
      </w:pPr>
    </w:p>
    <w:p w:rsidR="0037604E" w:rsidRPr="0037604E" w:rsidRDefault="0037604E" w:rsidP="0037604E">
      <w:pPr>
        <w:spacing w:after="0" w:line="240" w:lineRule="auto"/>
        <w:ind w:firstLine="0"/>
        <w:jc w:val="both"/>
        <w:rPr>
          <w:rFonts w:asciiTheme="majorHAnsi" w:eastAsia="Times New Roman" w:hAnsiTheme="majorHAnsi" w:cs="Times New Roman"/>
          <w:sz w:val="24"/>
          <w:szCs w:val="24"/>
          <w:lang w:val="en-GB" w:eastAsia="ro-RO"/>
        </w:rPr>
      </w:pPr>
      <w:r w:rsidRPr="0037604E">
        <w:rPr>
          <w:rFonts w:asciiTheme="majorHAnsi" w:eastAsia="Times New Roman" w:hAnsiTheme="majorHAnsi" w:cs="Times New Roman"/>
          <w:b/>
          <w:sz w:val="24"/>
          <w:szCs w:val="24"/>
          <w:lang w:val="en-GB" w:eastAsia="ro-RO"/>
        </w:rPr>
        <w:t>Starting with 27.05.2013</w:t>
      </w:r>
      <w:r w:rsidRPr="0037604E">
        <w:rPr>
          <w:rFonts w:asciiTheme="majorHAnsi" w:eastAsia="Times New Roman" w:hAnsiTheme="majorHAnsi" w:cs="Times New Roman"/>
          <w:sz w:val="24"/>
          <w:szCs w:val="24"/>
          <w:lang w:val="en-GB" w:eastAsia="ro-RO"/>
        </w:rPr>
        <w:t xml:space="preserve"> by BA Decision no. 7 on 27.05.2013 the Board of Administration </w:t>
      </w:r>
      <w:r w:rsidR="00C80159" w:rsidRPr="0037604E">
        <w:rPr>
          <w:rFonts w:asciiTheme="majorHAnsi" w:eastAsia="Times New Roman" w:hAnsiTheme="majorHAnsi" w:cs="Times New Roman"/>
          <w:sz w:val="24"/>
          <w:szCs w:val="24"/>
          <w:lang w:val="en-GB" w:eastAsia="ro-RO"/>
        </w:rPr>
        <w:t>approved the</w:t>
      </w:r>
      <w:r w:rsidRPr="0037604E">
        <w:rPr>
          <w:rFonts w:asciiTheme="majorHAnsi" w:eastAsia="Times New Roman" w:hAnsiTheme="majorHAnsi" w:cs="Times New Roman"/>
          <w:sz w:val="24"/>
          <w:szCs w:val="24"/>
          <w:lang w:val="en-GB" w:eastAsia="ro-RO"/>
        </w:rPr>
        <w:t xml:space="preserve"> updating of the structure and composition of the advisory committees, consisting of three members, as follows:</w:t>
      </w:r>
    </w:p>
    <w:tbl>
      <w:tblPr>
        <w:tblW w:w="0" w:type="auto"/>
        <w:tblCellSpacing w:w="20" w:type="dxa"/>
        <w:tblLook w:val="04A0" w:firstRow="1" w:lastRow="0" w:firstColumn="1" w:lastColumn="0" w:noHBand="0" w:noVBand="1"/>
      </w:tblPr>
      <w:tblGrid>
        <w:gridCol w:w="9027"/>
      </w:tblGrid>
      <w:tr w:rsidR="0037604E" w:rsidRPr="0037604E" w:rsidTr="0037604E">
        <w:trPr>
          <w:tblCellSpacing w:w="20" w:type="dxa"/>
        </w:trPr>
        <w:tc>
          <w:tcPr>
            <w:tcW w:w="8947" w:type="dxa"/>
            <w:shd w:val="clear" w:color="auto" w:fill="auto"/>
          </w:tcPr>
          <w:p w:rsidR="0037604E" w:rsidRPr="0037604E" w:rsidRDefault="0037604E" w:rsidP="00FA6EB9">
            <w:pPr>
              <w:numPr>
                <w:ilvl w:val="0"/>
                <w:numId w:val="76"/>
              </w:numPr>
              <w:tabs>
                <w:tab w:val="clear" w:pos="720"/>
                <w:tab w:val="num" w:pos="360"/>
              </w:tabs>
              <w:spacing w:after="0" w:line="240" w:lineRule="auto"/>
              <w:ind w:left="360"/>
              <w:jc w:val="both"/>
              <w:rPr>
                <w:rFonts w:asciiTheme="majorHAnsi" w:hAnsiTheme="majorHAnsi"/>
                <w:bCs/>
                <w:sz w:val="24"/>
                <w:szCs w:val="24"/>
                <w:lang w:val="en-GB"/>
              </w:rPr>
            </w:pPr>
            <w:r w:rsidRPr="0037604E">
              <w:rPr>
                <w:rFonts w:asciiTheme="majorHAnsi" w:hAnsiTheme="majorHAnsi"/>
                <w:bCs/>
                <w:sz w:val="24"/>
                <w:szCs w:val="24"/>
                <w:lang w:val="en-GB"/>
              </w:rPr>
              <w:t>the Nomination and Remuneration Committee;</w:t>
            </w:r>
          </w:p>
        </w:tc>
      </w:tr>
      <w:tr w:rsidR="0037604E" w:rsidRPr="0037604E" w:rsidTr="0037604E">
        <w:trPr>
          <w:tblCellSpacing w:w="20" w:type="dxa"/>
        </w:trPr>
        <w:tc>
          <w:tcPr>
            <w:tcW w:w="8947" w:type="dxa"/>
            <w:shd w:val="clear" w:color="auto" w:fill="auto"/>
          </w:tcPr>
          <w:p w:rsidR="0037604E" w:rsidRPr="0037604E" w:rsidRDefault="0037604E" w:rsidP="00FA6EB9">
            <w:pPr>
              <w:numPr>
                <w:ilvl w:val="0"/>
                <w:numId w:val="76"/>
              </w:numPr>
              <w:tabs>
                <w:tab w:val="clear" w:pos="720"/>
                <w:tab w:val="num" w:pos="360"/>
              </w:tabs>
              <w:spacing w:after="0" w:line="240" w:lineRule="auto"/>
              <w:ind w:left="360"/>
              <w:jc w:val="both"/>
              <w:rPr>
                <w:rFonts w:asciiTheme="majorHAnsi" w:hAnsiTheme="majorHAnsi"/>
                <w:bCs/>
                <w:sz w:val="24"/>
                <w:szCs w:val="24"/>
                <w:lang w:val="en-GB"/>
              </w:rPr>
            </w:pPr>
            <w:r w:rsidRPr="0037604E">
              <w:rPr>
                <w:rFonts w:asciiTheme="majorHAnsi" w:hAnsiTheme="majorHAnsi"/>
                <w:bCs/>
                <w:sz w:val="24"/>
                <w:szCs w:val="24"/>
                <w:lang w:val="en-GB"/>
              </w:rPr>
              <w:t>the Audit and Rating Committee;</w:t>
            </w:r>
          </w:p>
        </w:tc>
      </w:tr>
      <w:tr w:rsidR="0037604E" w:rsidRPr="0037604E" w:rsidTr="0037604E">
        <w:trPr>
          <w:tblCellSpacing w:w="20" w:type="dxa"/>
        </w:trPr>
        <w:tc>
          <w:tcPr>
            <w:tcW w:w="8947" w:type="dxa"/>
            <w:shd w:val="clear" w:color="auto" w:fill="auto"/>
          </w:tcPr>
          <w:p w:rsidR="0037604E" w:rsidRPr="0037604E" w:rsidRDefault="0037604E" w:rsidP="00FA6EB9">
            <w:pPr>
              <w:numPr>
                <w:ilvl w:val="0"/>
                <w:numId w:val="76"/>
              </w:numPr>
              <w:tabs>
                <w:tab w:val="clear" w:pos="720"/>
                <w:tab w:val="num" w:pos="360"/>
              </w:tabs>
              <w:spacing w:after="0" w:line="240" w:lineRule="auto"/>
              <w:ind w:left="360"/>
              <w:jc w:val="both"/>
              <w:rPr>
                <w:rFonts w:asciiTheme="majorHAnsi" w:hAnsiTheme="majorHAnsi"/>
                <w:bCs/>
                <w:sz w:val="24"/>
                <w:szCs w:val="24"/>
                <w:lang w:val="en-GB"/>
              </w:rPr>
            </w:pPr>
            <w:r w:rsidRPr="0037604E">
              <w:rPr>
                <w:rFonts w:asciiTheme="majorHAnsi" w:hAnsiTheme="majorHAnsi"/>
                <w:bCs/>
                <w:sz w:val="24"/>
                <w:szCs w:val="24"/>
                <w:lang w:val="en-GB"/>
              </w:rPr>
              <w:t>the NTS Safety and Security Committee;</w:t>
            </w:r>
          </w:p>
        </w:tc>
      </w:tr>
      <w:tr w:rsidR="0037604E" w:rsidRPr="0037604E" w:rsidTr="0037604E">
        <w:trPr>
          <w:tblCellSpacing w:w="20" w:type="dxa"/>
        </w:trPr>
        <w:tc>
          <w:tcPr>
            <w:tcW w:w="8947" w:type="dxa"/>
            <w:shd w:val="clear" w:color="auto" w:fill="auto"/>
          </w:tcPr>
          <w:p w:rsidR="0037604E" w:rsidRPr="0037604E" w:rsidRDefault="0037604E" w:rsidP="00FA6EB9">
            <w:pPr>
              <w:numPr>
                <w:ilvl w:val="0"/>
                <w:numId w:val="76"/>
              </w:numPr>
              <w:tabs>
                <w:tab w:val="clear" w:pos="720"/>
                <w:tab w:val="num" w:pos="360"/>
              </w:tabs>
              <w:spacing w:after="0" w:line="240" w:lineRule="auto"/>
              <w:ind w:left="360"/>
              <w:jc w:val="both"/>
              <w:rPr>
                <w:rFonts w:asciiTheme="majorHAnsi" w:hAnsiTheme="majorHAnsi"/>
                <w:bCs/>
                <w:sz w:val="24"/>
                <w:szCs w:val="24"/>
                <w:lang w:val="en-GB"/>
              </w:rPr>
            </w:pPr>
            <w:r w:rsidRPr="0037604E">
              <w:rPr>
                <w:rFonts w:asciiTheme="majorHAnsi" w:hAnsiTheme="majorHAnsi"/>
                <w:bCs/>
                <w:sz w:val="24"/>
                <w:szCs w:val="24"/>
                <w:lang w:val="en-GB"/>
              </w:rPr>
              <w:t>the Strategy and Development Committee;</w:t>
            </w:r>
          </w:p>
        </w:tc>
      </w:tr>
      <w:tr w:rsidR="0037604E" w:rsidRPr="0037604E" w:rsidTr="0037604E">
        <w:trPr>
          <w:tblCellSpacing w:w="20" w:type="dxa"/>
        </w:trPr>
        <w:tc>
          <w:tcPr>
            <w:tcW w:w="8947" w:type="dxa"/>
            <w:shd w:val="clear" w:color="auto" w:fill="auto"/>
          </w:tcPr>
          <w:p w:rsidR="0037604E" w:rsidRPr="0037604E" w:rsidRDefault="0037604E" w:rsidP="00FA6EB9">
            <w:pPr>
              <w:numPr>
                <w:ilvl w:val="0"/>
                <w:numId w:val="76"/>
              </w:numPr>
              <w:tabs>
                <w:tab w:val="clear" w:pos="720"/>
                <w:tab w:val="num" w:pos="360"/>
              </w:tabs>
              <w:spacing w:after="0" w:line="240" w:lineRule="auto"/>
              <w:ind w:left="360"/>
              <w:jc w:val="both"/>
              <w:rPr>
                <w:rFonts w:asciiTheme="majorHAnsi" w:hAnsiTheme="majorHAnsi"/>
                <w:bCs/>
                <w:sz w:val="24"/>
                <w:szCs w:val="24"/>
                <w:lang w:val="en-GB"/>
              </w:rPr>
            </w:pPr>
            <w:r w:rsidRPr="0037604E">
              <w:rPr>
                <w:rFonts w:asciiTheme="majorHAnsi" w:hAnsiTheme="majorHAnsi"/>
                <w:bCs/>
                <w:sz w:val="24"/>
                <w:szCs w:val="24"/>
                <w:lang w:val="en-GB"/>
              </w:rPr>
              <w:t>the Regulatory and Public Authorities Relations Committee</w:t>
            </w:r>
          </w:p>
        </w:tc>
      </w:tr>
    </w:tbl>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D45179"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
          <w:sz w:val="24"/>
          <w:szCs w:val="24"/>
          <w:lang w:val="en-GB" w:eastAsia="ro-RO"/>
        </w:rPr>
        <w:t xml:space="preserve">The Internal Regulation on the operation of the </w:t>
      </w:r>
      <w:r w:rsidRPr="0037604E">
        <w:rPr>
          <w:rFonts w:ascii="Cambria" w:eastAsia="Times New Roman" w:hAnsi="Cambria" w:cs="Times New Roman"/>
          <w:b/>
          <w:bCs/>
          <w:sz w:val="24"/>
          <w:szCs w:val="24"/>
          <w:lang w:val="en-GB" w:eastAsia="ro-RO"/>
        </w:rPr>
        <w:t xml:space="preserve">Advisory Committees created within </w:t>
      </w:r>
      <w:r w:rsidR="00D45179" w:rsidRPr="0037604E">
        <w:rPr>
          <w:rFonts w:ascii="Cambria" w:eastAsia="Times New Roman" w:hAnsi="Cambria" w:cs="Times New Roman"/>
          <w:b/>
          <w:sz w:val="24"/>
          <w:szCs w:val="24"/>
          <w:lang w:val="en-GB" w:eastAsia="ro-RO"/>
        </w:rPr>
        <w:t>Transgaz</w:t>
      </w:r>
      <w:r w:rsidR="00D45179">
        <w:rPr>
          <w:rFonts w:ascii="Cambria" w:eastAsia="Times New Roman" w:hAnsi="Cambria" w:cs="Times New Roman"/>
          <w:b/>
          <w:sz w:val="24"/>
          <w:szCs w:val="24"/>
          <w:lang w:val="en-GB" w:eastAsia="ro-RO"/>
        </w:rPr>
        <w:t>’</w:t>
      </w:r>
      <w:r w:rsidR="00D45179" w:rsidRPr="0037604E">
        <w:rPr>
          <w:rFonts w:ascii="Cambria" w:eastAsia="Times New Roman" w:hAnsi="Cambria" w:cs="Times New Roman"/>
          <w:b/>
          <w:sz w:val="24"/>
          <w:szCs w:val="24"/>
          <w:lang w:val="en-GB" w:eastAsia="ro-RO"/>
        </w:rPr>
        <w:t xml:space="preserve"> </w:t>
      </w:r>
      <w:r w:rsidR="00C80159" w:rsidRPr="0037604E">
        <w:rPr>
          <w:rFonts w:ascii="Cambria" w:eastAsia="Times New Roman" w:hAnsi="Cambria" w:cs="Times New Roman"/>
          <w:b/>
          <w:bCs/>
          <w:sz w:val="24"/>
          <w:szCs w:val="24"/>
          <w:lang w:val="en-GB" w:eastAsia="ro-RO"/>
        </w:rPr>
        <w:t>Board</w:t>
      </w:r>
      <w:r w:rsidRPr="0037604E">
        <w:rPr>
          <w:rFonts w:ascii="Cambria" w:eastAsia="Times New Roman" w:hAnsi="Cambria" w:cs="Times New Roman"/>
          <w:b/>
          <w:bCs/>
          <w:sz w:val="24"/>
          <w:szCs w:val="24"/>
          <w:lang w:val="en-GB" w:eastAsia="ro-RO"/>
        </w:rPr>
        <w:t xml:space="preserve"> of Administration</w:t>
      </w:r>
      <w:r w:rsidRPr="0037604E">
        <w:rPr>
          <w:rFonts w:ascii="Cambria" w:eastAsia="Times New Roman" w:hAnsi="Cambria" w:cs="Times New Roman"/>
          <w:b/>
          <w:sz w:val="24"/>
          <w:szCs w:val="24"/>
          <w:lang w:val="en-GB" w:eastAsia="ro-RO"/>
        </w:rPr>
        <w:t xml:space="preserve">, </w:t>
      </w:r>
      <w:r w:rsidRPr="0037604E">
        <w:rPr>
          <w:rFonts w:ascii="Cambria" w:eastAsia="Times New Roman" w:hAnsi="Cambria" w:cs="Times New Roman"/>
          <w:sz w:val="24"/>
          <w:szCs w:val="24"/>
          <w:lang w:val="en-GB" w:eastAsia="ro-RO"/>
        </w:rPr>
        <w:t xml:space="preserve">updated on 17.12.2015, may be accessed on the company’s website at the section </w:t>
      </w:r>
      <w:r w:rsidRPr="00D45179">
        <w:rPr>
          <w:rFonts w:ascii="Cambria" w:eastAsia="Times New Roman" w:hAnsi="Cambria" w:cs="Times New Roman"/>
          <w:b/>
          <w:sz w:val="24"/>
          <w:szCs w:val="24"/>
          <w:lang w:val="en-GB" w:eastAsia="ro-RO"/>
        </w:rPr>
        <w:t>Management/Board of Administration</w:t>
      </w:r>
      <w:r w:rsidRPr="0037604E">
        <w:rPr>
          <w:rFonts w:ascii="Cambria" w:eastAsia="Times New Roman" w:hAnsi="Cambria" w:cs="Times New Roman"/>
          <w:sz w:val="24"/>
          <w:szCs w:val="24"/>
          <w:lang w:val="en-GB" w:eastAsia="ro-RO"/>
        </w:rPr>
        <w:t xml:space="preserve">. The last update of the regulation aimed at the amendment of the responsibilities of the committees in order to comply with the provisions of the new corporate governance code </w:t>
      </w:r>
      <w:r w:rsidRPr="0037604E">
        <w:rPr>
          <w:rFonts w:ascii="Cambria" w:eastAsia="Times New Roman" w:hAnsi="Cambria" w:cs="Times New Roman"/>
          <w:sz w:val="24"/>
          <w:szCs w:val="24"/>
          <w:lang w:val="en-GB" w:eastAsia="ro-RO"/>
        </w:rPr>
        <w:lastRenderedPageBreak/>
        <w:t xml:space="preserve">of the BSE and the renaming of the report on the advisory committees to </w:t>
      </w:r>
      <w:r w:rsidRPr="0037604E">
        <w:rPr>
          <w:rFonts w:ascii="Cambria" w:eastAsia="Times New Roman" w:hAnsi="Cambria" w:cs="Times New Roman"/>
          <w:i/>
          <w:sz w:val="24"/>
          <w:szCs w:val="24"/>
          <w:lang w:val="en-GB" w:eastAsia="ro-RO"/>
        </w:rPr>
        <w:t xml:space="preserve">Activity report of the advisory committees created within the Board of Administration.  </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Obligation s</w:t>
      </w:r>
      <w:r w:rsidR="00D45179">
        <w:rPr>
          <w:rFonts w:ascii="Cambria" w:eastAsia="Times New Roman" w:hAnsi="Cambria" w:cs="Times New Roman"/>
          <w:b/>
          <w:sz w:val="24"/>
          <w:szCs w:val="24"/>
          <w:lang w:val="en-GB" w:eastAsia="ro-RO"/>
        </w:rPr>
        <w:t xml:space="preserve"> of the 5 advisory committees established within</w:t>
      </w:r>
      <w:r w:rsidRPr="0037604E">
        <w:rPr>
          <w:rFonts w:ascii="Cambria" w:eastAsia="Times New Roman" w:hAnsi="Cambria" w:cs="Times New Roman"/>
          <w:b/>
          <w:sz w:val="24"/>
          <w:szCs w:val="24"/>
          <w:lang w:val="en-GB" w:eastAsia="ro-RO"/>
        </w:rPr>
        <w:t xml:space="preserve"> the Board of Administration:</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tbl>
      <w:tblPr>
        <w:tblW w:w="9211" w:type="dxa"/>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355"/>
        <w:gridCol w:w="3026"/>
        <w:gridCol w:w="3830"/>
      </w:tblGrid>
      <w:tr w:rsidR="0037604E" w:rsidRPr="0037604E" w:rsidTr="0037604E">
        <w:trPr>
          <w:trHeight w:val="629"/>
          <w:tblHeader/>
          <w:tblCellSpacing w:w="20" w:type="dxa"/>
        </w:trPr>
        <w:tc>
          <w:tcPr>
            <w:tcW w:w="2295" w:type="dxa"/>
            <w:shd w:val="clear" w:color="auto" w:fill="F2F2F2"/>
            <w:vAlign w:val="center"/>
          </w:tcPr>
          <w:p w:rsidR="0037604E" w:rsidRPr="0037604E" w:rsidRDefault="0037604E" w:rsidP="0037604E">
            <w:pPr>
              <w:spacing w:after="0" w:line="240" w:lineRule="auto"/>
              <w:jc w:val="center"/>
              <w:rPr>
                <w:rFonts w:ascii="Cambria" w:eastAsia="Times New Roman" w:hAnsi="Cambria"/>
                <w:b/>
                <w:sz w:val="20"/>
                <w:szCs w:val="20"/>
                <w:lang w:val="en-GB"/>
              </w:rPr>
            </w:pPr>
            <w:r w:rsidRPr="0037604E">
              <w:rPr>
                <w:rFonts w:ascii="Cambria" w:hAnsi="Cambria"/>
                <w:b/>
                <w:sz w:val="20"/>
                <w:lang w:val="en-GB"/>
              </w:rPr>
              <w:t>ADVISORY COMMITTEE</w:t>
            </w:r>
          </w:p>
        </w:tc>
        <w:tc>
          <w:tcPr>
            <w:tcW w:w="2986" w:type="dxa"/>
            <w:shd w:val="clear" w:color="auto" w:fill="F2F2F2"/>
            <w:vAlign w:val="center"/>
          </w:tcPr>
          <w:p w:rsidR="0037604E" w:rsidRPr="0037604E" w:rsidRDefault="0037604E" w:rsidP="0037604E">
            <w:pPr>
              <w:spacing w:after="0" w:line="240" w:lineRule="auto"/>
              <w:jc w:val="center"/>
              <w:rPr>
                <w:rFonts w:ascii="Cambria" w:eastAsia="Times New Roman" w:hAnsi="Cambria"/>
                <w:b/>
                <w:sz w:val="20"/>
                <w:szCs w:val="20"/>
                <w:lang w:val="en-GB"/>
              </w:rPr>
            </w:pPr>
            <w:r w:rsidRPr="0037604E">
              <w:rPr>
                <w:rFonts w:ascii="Cambria" w:hAnsi="Cambria"/>
                <w:b/>
                <w:sz w:val="20"/>
                <w:lang w:val="en-GB"/>
              </w:rPr>
              <w:t>MENTIONS</w:t>
            </w:r>
          </w:p>
        </w:tc>
        <w:tc>
          <w:tcPr>
            <w:tcW w:w="3770" w:type="dxa"/>
            <w:shd w:val="clear" w:color="auto" w:fill="F2F2F2"/>
            <w:vAlign w:val="center"/>
          </w:tcPr>
          <w:p w:rsidR="0037604E" w:rsidRPr="0037604E" w:rsidRDefault="0037604E" w:rsidP="0037604E">
            <w:pPr>
              <w:spacing w:after="0" w:line="240" w:lineRule="auto"/>
              <w:jc w:val="center"/>
              <w:rPr>
                <w:rFonts w:ascii="Cambria" w:eastAsia="Times New Roman" w:hAnsi="Cambria"/>
                <w:b/>
                <w:sz w:val="20"/>
                <w:szCs w:val="20"/>
                <w:lang w:val="en-GB"/>
              </w:rPr>
            </w:pPr>
            <w:r w:rsidRPr="0037604E">
              <w:rPr>
                <w:rFonts w:ascii="Cambria" w:hAnsi="Cambria"/>
                <w:b/>
                <w:sz w:val="20"/>
                <w:lang w:val="en-GB"/>
              </w:rPr>
              <w:t>POWERS</w:t>
            </w:r>
          </w:p>
        </w:tc>
      </w:tr>
      <w:tr w:rsidR="0037604E" w:rsidRPr="0037604E" w:rsidTr="0037604E">
        <w:trPr>
          <w:tblCellSpacing w:w="20" w:type="dxa"/>
        </w:trPr>
        <w:tc>
          <w:tcPr>
            <w:tcW w:w="2295" w:type="dxa"/>
          </w:tcPr>
          <w:p w:rsidR="0037604E" w:rsidRPr="0037604E" w:rsidRDefault="0037604E" w:rsidP="0037604E">
            <w:pPr>
              <w:spacing w:after="0" w:line="240" w:lineRule="auto"/>
              <w:ind w:firstLine="0"/>
              <w:rPr>
                <w:rFonts w:ascii="Cambria" w:eastAsia="Times New Roman" w:hAnsi="Cambria"/>
                <w:sz w:val="20"/>
                <w:szCs w:val="20"/>
                <w:lang w:val="en-GB"/>
              </w:rPr>
            </w:pPr>
            <w:r w:rsidRPr="0037604E">
              <w:rPr>
                <w:rFonts w:ascii="Cambria" w:hAnsi="Cambria"/>
                <w:b/>
                <w:sz w:val="20"/>
                <w:lang w:val="en-GB"/>
              </w:rPr>
              <w:t xml:space="preserve">NOMINATION AND REMUNERATION COMMITTEE </w:t>
            </w:r>
          </w:p>
        </w:tc>
        <w:tc>
          <w:tcPr>
            <w:tcW w:w="2986" w:type="dxa"/>
          </w:tcPr>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shall be composed of minimum two members of the Board of Administration; </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shall be made of non-executive administrators, and at least one of the members of the committee shall be a non-executive independent director;  </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the duties of this committee are established by the Corporate Governance Code. </w:t>
            </w:r>
          </w:p>
        </w:tc>
        <w:tc>
          <w:tcPr>
            <w:tcW w:w="3770" w:type="dxa"/>
          </w:tcPr>
          <w:p w:rsidR="0037604E" w:rsidRPr="0037604E" w:rsidRDefault="0037604E" w:rsidP="00FA6EB9">
            <w:pPr>
              <w:numPr>
                <w:ilvl w:val="0"/>
                <w:numId w:val="80"/>
              </w:numPr>
              <w:spacing w:after="0" w:line="240" w:lineRule="auto"/>
              <w:jc w:val="both"/>
              <w:rPr>
                <w:rFonts w:ascii="Cambria" w:eastAsia="Times New Roman" w:hAnsi="Cambria"/>
                <w:sz w:val="20"/>
                <w:szCs w:val="20"/>
                <w:lang w:val="en-GB"/>
              </w:rPr>
            </w:pPr>
            <w:r w:rsidRPr="0037604E">
              <w:rPr>
                <w:rFonts w:ascii="Cambria" w:hAnsi="Cambria"/>
                <w:sz w:val="20"/>
                <w:lang w:val="en-GB"/>
              </w:rPr>
              <w:t>to coordinate the process of appointment of the members of the Board of Administration;</w:t>
            </w:r>
          </w:p>
          <w:p w:rsidR="0037604E" w:rsidRPr="0037604E" w:rsidRDefault="0037604E" w:rsidP="00FA6EB9">
            <w:pPr>
              <w:numPr>
                <w:ilvl w:val="0"/>
                <w:numId w:val="77"/>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make recommendations regarding both the position of director, and the filling of vacancies within the Board of Administration; </w:t>
            </w:r>
          </w:p>
          <w:p w:rsidR="0037604E" w:rsidRPr="0037604E" w:rsidRDefault="0037604E" w:rsidP="00FA6EB9">
            <w:pPr>
              <w:numPr>
                <w:ilvl w:val="0"/>
                <w:numId w:val="77"/>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assess the accrual of professional competences, knowledge and experience within the Board of Administration; </w:t>
            </w:r>
          </w:p>
          <w:p w:rsidR="0037604E" w:rsidRPr="0037604E" w:rsidRDefault="0037604E" w:rsidP="00FA6EB9">
            <w:pPr>
              <w:numPr>
                <w:ilvl w:val="0"/>
                <w:numId w:val="78"/>
              </w:numPr>
              <w:tabs>
                <w:tab w:val="clear" w:pos="396"/>
                <w:tab w:val="num" w:pos="360"/>
              </w:tabs>
              <w:spacing w:after="0" w:line="240" w:lineRule="auto"/>
              <w:ind w:left="360"/>
              <w:jc w:val="both"/>
              <w:rPr>
                <w:rFonts w:ascii="Cambria" w:eastAsia="Times New Roman" w:hAnsi="Cambria"/>
                <w:sz w:val="20"/>
                <w:szCs w:val="20"/>
                <w:lang w:val="en-GB"/>
              </w:rPr>
            </w:pPr>
            <w:r w:rsidRPr="0037604E">
              <w:rPr>
                <w:rFonts w:ascii="Cambria" w:hAnsi="Cambria"/>
                <w:sz w:val="20"/>
                <w:lang w:val="en-GB"/>
              </w:rPr>
              <w:t>to establish the requirements for filling a certain position in the company's management;</w:t>
            </w:r>
          </w:p>
          <w:p w:rsidR="0037604E" w:rsidRPr="0037604E" w:rsidRDefault="0037604E" w:rsidP="00FA6EB9">
            <w:pPr>
              <w:numPr>
                <w:ilvl w:val="0"/>
                <w:numId w:val="79"/>
              </w:numPr>
              <w:tabs>
                <w:tab w:val="clear" w:pos="396"/>
              </w:tabs>
              <w:spacing w:after="0" w:line="240" w:lineRule="auto"/>
              <w:ind w:left="313" w:hanging="313"/>
              <w:jc w:val="both"/>
              <w:rPr>
                <w:rFonts w:ascii="Cambria" w:hAnsi="Cambria"/>
                <w:sz w:val="20"/>
                <w:szCs w:val="20"/>
                <w:lang w:val="en-GB"/>
              </w:rPr>
            </w:pPr>
            <w:r w:rsidRPr="0037604E">
              <w:rPr>
                <w:rFonts w:ascii="Cambria" w:hAnsi="Cambria"/>
                <w:sz w:val="20"/>
                <w:lang w:val="en-GB"/>
              </w:rPr>
              <w:t xml:space="preserve"> to apply the best practices of corporate governance by improving knowledge regarding the company's business and permanently updating the professional skills of the members of the Board of Administration;</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draw up the remuneration policy for administrators and managers; </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submit for approval of the General Meeting of Shareholders this remuneration policy; </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inform about the remuneration policy in the Articles of Incorporation/Corporate Governance Rules of the company; </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present in the Annual Report the total amount of direct and indirect remuneration of the administrators and managers, separated by fixed and variable components of such remuneration; </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in establishing the remuneration of the non-executive administrators, to comply with the principle of proportionality of such remuneration with the responsibility and time dedicated to the exercise of their roles; </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draw up an annual report regarding the remuneration and other benefits granted to administrators and managers during the financial year, report which shall be submitted to the General Meeting of Shareholders and contain the </w:t>
            </w:r>
            <w:r w:rsidRPr="0037604E">
              <w:rPr>
                <w:rFonts w:ascii="Cambria" w:hAnsi="Cambria"/>
                <w:sz w:val="20"/>
                <w:lang w:val="en-GB"/>
              </w:rPr>
              <w:lastRenderedPageBreak/>
              <w:t>information stipulated in article 55 paragraph (3) of the Government Emergency Ordinance No. 109/2011 regarding the corporate governance of public enterprises;</w:t>
            </w:r>
          </w:p>
          <w:p w:rsidR="0037604E" w:rsidRPr="0037604E" w:rsidRDefault="0037604E" w:rsidP="00FA6EB9">
            <w:pPr>
              <w:numPr>
                <w:ilvl w:val="0"/>
                <w:numId w:val="79"/>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if necessary, it may resort to assistance from external experts to fulfil the required duties. </w:t>
            </w:r>
          </w:p>
        </w:tc>
      </w:tr>
      <w:tr w:rsidR="0037604E" w:rsidRPr="0037604E" w:rsidTr="0037604E">
        <w:trPr>
          <w:tblCellSpacing w:w="20" w:type="dxa"/>
        </w:trPr>
        <w:tc>
          <w:tcPr>
            <w:tcW w:w="2295" w:type="dxa"/>
          </w:tcPr>
          <w:p w:rsidR="0037604E" w:rsidRPr="0037604E" w:rsidRDefault="0037604E" w:rsidP="0037604E">
            <w:pPr>
              <w:spacing w:after="0" w:line="240" w:lineRule="auto"/>
              <w:ind w:firstLine="0"/>
              <w:jc w:val="both"/>
              <w:rPr>
                <w:rFonts w:ascii="Cambria" w:eastAsia="Times New Roman" w:hAnsi="Cambria"/>
                <w:b/>
                <w:i/>
                <w:sz w:val="20"/>
                <w:szCs w:val="20"/>
                <w:lang w:val="en-GB"/>
              </w:rPr>
            </w:pPr>
            <w:r w:rsidRPr="0037604E">
              <w:rPr>
                <w:rFonts w:ascii="Cambria" w:hAnsi="Cambria"/>
                <w:b/>
                <w:sz w:val="20"/>
                <w:lang w:val="en-GB"/>
              </w:rPr>
              <w:lastRenderedPageBreak/>
              <w:t xml:space="preserve">AUDIT AND RATING COMMITTEE </w:t>
            </w:r>
          </w:p>
        </w:tc>
        <w:tc>
          <w:tcPr>
            <w:tcW w:w="2986" w:type="dxa"/>
          </w:tcPr>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shall be composed of minimum two members of the Board of Administration;</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shall be made of non-executive administrators, and at least one of the members of the committee shall be a non-executive independent director; </w:t>
            </w: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will meet whenever necessary, but at least twice a year (at the end of the first semester and at the end of the year);</w:t>
            </w:r>
          </w:p>
          <w:p w:rsidR="0037604E" w:rsidRPr="0037604E" w:rsidRDefault="0037604E" w:rsidP="0037604E">
            <w:pPr>
              <w:spacing w:after="0" w:line="240" w:lineRule="auto"/>
              <w:ind w:left="360"/>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the duties of this committee are established by the Corporate Governance Code.</w:t>
            </w:r>
          </w:p>
        </w:tc>
        <w:tc>
          <w:tcPr>
            <w:tcW w:w="3770" w:type="dxa"/>
          </w:tcPr>
          <w:p w:rsidR="0037604E" w:rsidRPr="0037604E" w:rsidRDefault="0037604E" w:rsidP="00FA6EB9">
            <w:pPr>
              <w:numPr>
                <w:ilvl w:val="0"/>
                <w:numId w:val="84"/>
              </w:numPr>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assist and submit recommendations to the Board of Administration in order to establish the accounting and financial control system, the budget-financial planning;</w:t>
            </w:r>
          </w:p>
          <w:p w:rsidR="0037604E" w:rsidRPr="0037604E" w:rsidRDefault="0037604E" w:rsidP="00FA6EB9">
            <w:pPr>
              <w:numPr>
                <w:ilvl w:val="0"/>
                <w:numId w:val="84"/>
              </w:numPr>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assist the Board of Administration in fulfilling its duties in the field of financial reporting, internal control, risk management and Company</w:t>
            </w:r>
            <w:r w:rsidRPr="0037604E">
              <w:rPr>
                <w:rFonts w:ascii="Cambria" w:eastAsia="Arial" w:hAnsi="Cambria" w:cs="Arial"/>
                <w:sz w:val="20"/>
                <w:szCs w:val="15"/>
                <w:shd w:val="clear" w:color="auto" w:fill="FFFFFF"/>
                <w:cs/>
                <w:lang w:val="en-GB"/>
              </w:rPr>
              <w:t>’</w:t>
            </w:r>
            <w:r w:rsidRPr="0037604E">
              <w:rPr>
                <w:rFonts w:ascii="Cambria" w:eastAsia="Arial" w:hAnsi="Cambria" w:cs="Arial"/>
                <w:sz w:val="20"/>
                <w:szCs w:val="15"/>
                <w:shd w:val="clear" w:color="auto" w:fill="FFFFFF"/>
                <w:lang w:val="en-GB"/>
              </w:rPr>
              <w:t>s rating;</w:t>
            </w:r>
          </w:p>
          <w:p w:rsidR="0037604E" w:rsidRPr="0037604E" w:rsidRDefault="0037604E" w:rsidP="00FA6EB9">
            <w:pPr>
              <w:numPr>
                <w:ilvl w:val="0"/>
                <w:numId w:val="84"/>
              </w:numPr>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regularly examine the effectiveness of the financial reporting, internal control and risk management system adopted by the company;</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 xml:space="preserve">to meet whenever necessary, but at least twice a year when the annual and half-yearly results are drawn up, to ensure their dissemination to the shareholders and the general public; </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to verify the compliance of the audit reports drawn up with the audit plan approved at company level;</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 xml:space="preserve">to support the Board of Administration in monitoring the credibility and completeness of the financial information provided by the company, especially by reviewing the relevance and consistency of the accounting standards it has applied;  </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to cooperate with the company's external financial auditor which provides a report describing all the relationships existing between the latter, on the one hand, and the company and the group to which it belongs, on the other hand;</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 xml:space="preserve">to make recommendations to the Board of Administration regarding the selection, appointment, re-appointment, replacement of the financial auditor and the terms and conditions of its remuneration;  </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 xml:space="preserve">to monitor the independence and fairness of the financial auditor in particular by monitoring the </w:t>
            </w:r>
            <w:r w:rsidRPr="0037604E">
              <w:rPr>
                <w:rFonts w:ascii="Cambria" w:hAnsi="Cambria"/>
                <w:sz w:val="20"/>
                <w:lang w:val="en-GB"/>
              </w:rPr>
              <w:lastRenderedPageBreak/>
              <w:t>rotation of the partners dedicated to the Issuer within the audit firm;</w:t>
            </w:r>
          </w:p>
          <w:p w:rsidR="0037604E" w:rsidRPr="0037604E" w:rsidRDefault="0037604E" w:rsidP="00FA6EB9">
            <w:pPr>
              <w:numPr>
                <w:ilvl w:val="0"/>
                <w:numId w:val="87"/>
              </w:numPr>
              <w:tabs>
                <w:tab w:val="clear" w:pos="644"/>
                <w:tab w:val="num" w:pos="455"/>
              </w:tabs>
              <w:spacing w:after="0" w:line="240" w:lineRule="auto"/>
              <w:ind w:left="455" w:hanging="382"/>
              <w:jc w:val="both"/>
              <w:rPr>
                <w:rFonts w:ascii="Cambria" w:hAnsi="Cambria"/>
                <w:sz w:val="20"/>
                <w:szCs w:val="20"/>
                <w:lang w:val="en-GB"/>
              </w:rPr>
            </w:pPr>
            <w:r w:rsidRPr="0037604E">
              <w:rPr>
                <w:rFonts w:ascii="Cambria" w:hAnsi="Cambria"/>
                <w:sz w:val="20"/>
                <w:lang w:val="en-GB"/>
              </w:rPr>
              <w:t>to perform the duties stipulated in article 47 of the Government Emergency Ordinance No. 90/2008 as amended by law No. 278/2008, in accordance with article 34 paragraph (3) of Government Emergency Ordinance No. 109/2011.</w:t>
            </w:r>
          </w:p>
        </w:tc>
      </w:tr>
      <w:tr w:rsidR="0037604E" w:rsidRPr="0037604E" w:rsidTr="0037604E">
        <w:trPr>
          <w:tblCellSpacing w:w="20" w:type="dxa"/>
        </w:trPr>
        <w:tc>
          <w:tcPr>
            <w:tcW w:w="2295" w:type="dxa"/>
          </w:tcPr>
          <w:p w:rsidR="0037604E" w:rsidRPr="0037604E" w:rsidRDefault="0037604E" w:rsidP="0037604E">
            <w:pPr>
              <w:spacing w:after="0" w:line="240" w:lineRule="auto"/>
              <w:ind w:firstLine="0"/>
              <w:rPr>
                <w:rFonts w:ascii="Cambria" w:eastAsia="Times New Roman" w:hAnsi="Cambria"/>
                <w:b/>
                <w:sz w:val="20"/>
                <w:szCs w:val="20"/>
                <w:lang w:val="en-GB"/>
              </w:rPr>
            </w:pPr>
            <w:r w:rsidRPr="0037604E">
              <w:rPr>
                <w:rFonts w:ascii="Cambria" w:hAnsi="Cambria"/>
                <w:b/>
                <w:sz w:val="20"/>
                <w:lang w:val="en-GB"/>
              </w:rPr>
              <w:lastRenderedPageBreak/>
              <w:t>NTS SAFETY AND SECURITY COMMITTEE</w:t>
            </w:r>
          </w:p>
        </w:tc>
        <w:tc>
          <w:tcPr>
            <w:tcW w:w="2986" w:type="dxa"/>
          </w:tcPr>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shall be composed of minimum two members of the Board of Administration;</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at least one committee member must be an independent non-executive director;</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the duties of this committee are established by the Corporate Governance Code.</w:t>
            </w:r>
          </w:p>
        </w:tc>
        <w:tc>
          <w:tcPr>
            <w:tcW w:w="3770" w:type="dxa"/>
          </w:tcPr>
          <w:p w:rsidR="0037604E" w:rsidRPr="0037604E" w:rsidRDefault="0037604E" w:rsidP="00FA6EB9">
            <w:pPr>
              <w:numPr>
                <w:ilvl w:val="0"/>
                <w:numId w:val="82"/>
              </w:numPr>
              <w:spacing w:after="0" w:line="240" w:lineRule="auto"/>
              <w:jc w:val="both"/>
              <w:rPr>
                <w:rFonts w:ascii="Cambria" w:eastAsia="Times New Roman" w:hAnsi="Cambria"/>
                <w:sz w:val="20"/>
                <w:szCs w:val="20"/>
                <w:lang w:val="en-GB"/>
              </w:rPr>
            </w:pPr>
            <w:r w:rsidRPr="0037604E">
              <w:rPr>
                <w:rFonts w:ascii="Cambria" w:hAnsi="Cambria"/>
                <w:sz w:val="20"/>
                <w:lang w:val="en-GB"/>
              </w:rPr>
              <w:t>to regularly analyse the list of critical infrastructure objectives of Transgaz and the established security measures;</w:t>
            </w:r>
          </w:p>
          <w:p w:rsidR="0037604E" w:rsidRPr="0037604E" w:rsidRDefault="0037604E" w:rsidP="00FA6EB9">
            <w:pPr>
              <w:numPr>
                <w:ilvl w:val="0"/>
                <w:numId w:val="81"/>
              </w:numPr>
              <w:spacing w:after="0" w:line="240" w:lineRule="auto"/>
              <w:jc w:val="both"/>
              <w:rPr>
                <w:rFonts w:ascii="Cambria" w:eastAsia="Times New Roman" w:hAnsi="Cambria"/>
                <w:sz w:val="20"/>
                <w:szCs w:val="20"/>
                <w:lang w:val="en-GB"/>
              </w:rPr>
            </w:pPr>
            <w:r w:rsidRPr="0037604E">
              <w:rPr>
                <w:rFonts w:ascii="Cambria" w:hAnsi="Cambria"/>
                <w:sz w:val="20"/>
                <w:lang w:val="en-GB"/>
              </w:rPr>
              <w:t>to ensure the conditions needed to implement the protection measures of all the critical infrastructure objectives of the company or under the authority/coordination of the company;</w:t>
            </w:r>
          </w:p>
          <w:p w:rsidR="0037604E" w:rsidRPr="0037604E" w:rsidRDefault="0037604E" w:rsidP="00FA6EB9">
            <w:pPr>
              <w:numPr>
                <w:ilvl w:val="0"/>
                <w:numId w:val="81"/>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monitor/update its own programs for prevention and fight against terrorism through optimal measures of physical and organizational protection, making recommendations in this respect to the Board of Administration; </w:t>
            </w:r>
          </w:p>
          <w:p w:rsidR="0037604E" w:rsidRPr="0037604E" w:rsidRDefault="0037604E" w:rsidP="00FA6EB9">
            <w:pPr>
              <w:numPr>
                <w:ilvl w:val="0"/>
                <w:numId w:val="81"/>
              </w:numPr>
              <w:spacing w:after="0" w:line="240" w:lineRule="auto"/>
              <w:jc w:val="both"/>
              <w:rPr>
                <w:rFonts w:ascii="Cambria" w:eastAsia="Times New Roman" w:hAnsi="Cambria"/>
                <w:sz w:val="20"/>
                <w:szCs w:val="20"/>
                <w:lang w:val="en-GB"/>
              </w:rPr>
            </w:pPr>
            <w:r w:rsidRPr="0037604E">
              <w:rPr>
                <w:rFonts w:ascii="Cambria" w:hAnsi="Cambria"/>
                <w:sz w:val="20"/>
                <w:lang w:val="en-GB"/>
              </w:rPr>
              <w:t xml:space="preserve">to monitor the performance of the programs of maintenance and upgrading of the NTS, as well as the compliance with the technical normative documents of operation and maintenance of the production capacities. </w:t>
            </w:r>
          </w:p>
        </w:tc>
      </w:tr>
      <w:tr w:rsidR="0037604E" w:rsidRPr="0037604E" w:rsidTr="0037604E">
        <w:trPr>
          <w:tblCellSpacing w:w="20" w:type="dxa"/>
        </w:trPr>
        <w:tc>
          <w:tcPr>
            <w:tcW w:w="2295" w:type="dxa"/>
          </w:tcPr>
          <w:p w:rsidR="0037604E" w:rsidRPr="0037604E" w:rsidRDefault="0037604E" w:rsidP="0037604E">
            <w:pPr>
              <w:spacing w:after="0" w:line="240" w:lineRule="auto"/>
              <w:rPr>
                <w:rFonts w:ascii="Cambria" w:eastAsia="Times New Roman" w:hAnsi="Cambria"/>
                <w:b/>
                <w:sz w:val="20"/>
                <w:szCs w:val="20"/>
                <w:lang w:val="en-GB"/>
              </w:rPr>
            </w:pPr>
          </w:p>
          <w:p w:rsidR="0037604E" w:rsidRPr="0037604E" w:rsidRDefault="0037604E" w:rsidP="0037604E">
            <w:pPr>
              <w:spacing w:after="0" w:line="240" w:lineRule="auto"/>
              <w:ind w:firstLine="0"/>
              <w:rPr>
                <w:rFonts w:ascii="Cambria" w:eastAsia="Times New Roman" w:hAnsi="Cambria"/>
                <w:b/>
                <w:sz w:val="20"/>
                <w:szCs w:val="20"/>
                <w:lang w:val="en-GB"/>
              </w:rPr>
            </w:pPr>
            <w:r w:rsidRPr="0037604E">
              <w:rPr>
                <w:rFonts w:ascii="Cambria" w:hAnsi="Cambria"/>
                <w:b/>
                <w:sz w:val="20"/>
                <w:lang w:val="en-GB"/>
              </w:rPr>
              <w:t xml:space="preserve">STRATEGY AND DEVELOPMENT COMMITTEE </w:t>
            </w:r>
          </w:p>
        </w:tc>
        <w:tc>
          <w:tcPr>
            <w:tcW w:w="2986" w:type="dxa"/>
          </w:tcPr>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shall be composed of minimum two members of the Board of Administration;</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at least one committee member must be an independent </w:t>
            </w: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non-executive director;</w:t>
            </w:r>
          </w:p>
          <w:p w:rsidR="0037604E" w:rsidRPr="0037604E" w:rsidRDefault="0037604E" w:rsidP="0037604E">
            <w:pPr>
              <w:spacing w:after="0" w:line="240" w:lineRule="auto"/>
              <w:ind w:firstLine="0"/>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the duties of this committee are established by the Corporate Governance Code.</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jc w:val="both"/>
              <w:rPr>
                <w:rFonts w:ascii="Cambria" w:eastAsia="Times New Roman" w:hAnsi="Cambria"/>
                <w:sz w:val="20"/>
                <w:szCs w:val="20"/>
                <w:lang w:val="en-GB"/>
              </w:rPr>
            </w:pPr>
          </w:p>
        </w:tc>
        <w:tc>
          <w:tcPr>
            <w:tcW w:w="3770" w:type="dxa"/>
          </w:tcPr>
          <w:p w:rsidR="0037604E" w:rsidRPr="0037604E" w:rsidRDefault="0037604E" w:rsidP="00FA6EB9">
            <w:pPr>
              <w:numPr>
                <w:ilvl w:val="0"/>
                <w:numId w:val="86"/>
              </w:numPr>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assist the Board of Administration in fulfilling its responsibilities regarding the elaboration and update of the Company</w:t>
            </w:r>
            <w:r w:rsidRPr="0037604E">
              <w:rPr>
                <w:rFonts w:ascii="Cambria" w:eastAsia="Arial" w:hAnsi="Cambria" w:cs="Arial"/>
                <w:sz w:val="20"/>
                <w:szCs w:val="15"/>
                <w:shd w:val="clear" w:color="auto" w:fill="FFFFFF"/>
                <w:cs/>
                <w:lang w:val="en-GB"/>
              </w:rPr>
              <w:t>’</w:t>
            </w:r>
            <w:r w:rsidRPr="0037604E">
              <w:rPr>
                <w:rFonts w:ascii="Cambria" w:eastAsia="Arial" w:hAnsi="Cambria" w:cs="Arial"/>
                <w:sz w:val="20"/>
                <w:szCs w:val="15"/>
                <w:shd w:val="clear" w:color="auto" w:fill="FFFFFF"/>
                <w:lang w:val="en-GB"/>
              </w:rPr>
              <w:t xml:space="preserve">s general development strategy;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 xml:space="preserve">to analyse the identified business development opportunities, and make related recommendations to the Board of Administration;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analyse and assist the Board of Administration with regard to the Company</w:t>
            </w:r>
            <w:r w:rsidRPr="0037604E">
              <w:rPr>
                <w:rFonts w:ascii="Cambria" w:eastAsia="Arial" w:hAnsi="Cambria" w:cs="Arial"/>
                <w:sz w:val="20"/>
                <w:szCs w:val="15"/>
                <w:shd w:val="clear" w:color="auto" w:fill="FFFFFF"/>
                <w:cs/>
                <w:lang w:val="en-GB"/>
              </w:rPr>
              <w:t>’</w:t>
            </w:r>
            <w:r w:rsidRPr="0037604E">
              <w:rPr>
                <w:rFonts w:ascii="Cambria" w:eastAsia="Arial" w:hAnsi="Cambria" w:cs="Arial"/>
                <w:sz w:val="20"/>
                <w:szCs w:val="15"/>
                <w:shd w:val="clear" w:color="auto" w:fill="FFFFFF"/>
                <w:lang w:val="en-GB"/>
              </w:rPr>
              <w:t xml:space="preserve">s development and international cooperation guidelines;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 xml:space="preserve">to monitor and analyse the fulfilment of strategic and action plans / programmes regarding the obligations of Transgaz as technical operator of NTS and stock exchange issuer;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 xml:space="preserve">to develop proposals regarding the improving and making the strategic, development and collaboration activity more efficient;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lastRenderedPageBreak/>
              <w:t xml:space="preserve">to submit recommendations to the Board of Administration regarding the efficient strategic and action plans/ programmes; </w:t>
            </w:r>
          </w:p>
          <w:p w:rsidR="0037604E" w:rsidRPr="0037604E" w:rsidRDefault="0037604E" w:rsidP="00FA6EB9">
            <w:pPr>
              <w:numPr>
                <w:ilvl w:val="0"/>
                <w:numId w:val="85"/>
              </w:numPr>
              <w:tabs>
                <w:tab w:val="num" w:pos="644"/>
              </w:tabs>
              <w:spacing w:after="0" w:line="240" w:lineRule="auto"/>
              <w:contextualSpacing/>
              <w:jc w:val="both"/>
              <w:rPr>
                <w:rFonts w:ascii="Cambria" w:eastAsia="Times New Roman" w:hAnsi="Cambria"/>
                <w:sz w:val="20"/>
                <w:szCs w:val="20"/>
                <w:lang w:val="en-GB"/>
              </w:rPr>
            </w:pPr>
            <w:r w:rsidRPr="0037604E">
              <w:rPr>
                <w:rFonts w:ascii="Cambria" w:eastAsia="Arial" w:hAnsi="Cambria" w:cs="Arial"/>
                <w:sz w:val="20"/>
                <w:szCs w:val="15"/>
                <w:shd w:val="clear" w:color="auto" w:fill="FFFFFF"/>
                <w:lang w:val="en-GB"/>
              </w:rPr>
              <w:t>to monitor and analyse the fulfilment of the performance indicators of the transport and economic-financial performance system of the company</w:t>
            </w:r>
            <w:r w:rsidRPr="0037604E">
              <w:rPr>
                <w:rFonts w:ascii="Cambria" w:eastAsia="Arial" w:hAnsi="Cambria" w:cs="Arial"/>
                <w:sz w:val="20"/>
                <w:szCs w:val="15"/>
                <w:shd w:val="clear" w:color="auto" w:fill="FFFFFF"/>
                <w:cs/>
                <w:lang w:val="en-GB"/>
              </w:rPr>
              <w:t>’</w:t>
            </w:r>
            <w:r w:rsidRPr="0037604E">
              <w:rPr>
                <w:rFonts w:ascii="Cambria" w:eastAsia="Arial" w:hAnsi="Cambria" w:cs="Arial"/>
                <w:sz w:val="20"/>
                <w:szCs w:val="15"/>
                <w:shd w:val="clear" w:color="auto" w:fill="FFFFFF"/>
                <w:lang w:val="en-GB"/>
              </w:rPr>
              <w:t xml:space="preserve">s activity. </w:t>
            </w:r>
          </w:p>
        </w:tc>
      </w:tr>
      <w:tr w:rsidR="0037604E" w:rsidRPr="0037604E" w:rsidTr="0037604E">
        <w:trPr>
          <w:tblCellSpacing w:w="20" w:type="dxa"/>
        </w:trPr>
        <w:tc>
          <w:tcPr>
            <w:tcW w:w="2295" w:type="dxa"/>
          </w:tcPr>
          <w:p w:rsidR="0037604E" w:rsidRPr="0037604E" w:rsidRDefault="0037604E" w:rsidP="0037604E">
            <w:pPr>
              <w:tabs>
                <w:tab w:val="num" w:pos="0"/>
              </w:tabs>
              <w:spacing w:after="0" w:line="240" w:lineRule="auto"/>
              <w:ind w:firstLine="0"/>
              <w:rPr>
                <w:rFonts w:ascii="Cambria" w:eastAsia="Times New Roman" w:hAnsi="Cambria"/>
                <w:b/>
                <w:sz w:val="20"/>
                <w:szCs w:val="20"/>
                <w:lang w:val="en-GB"/>
              </w:rPr>
            </w:pPr>
            <w:r w:rsidRPr="0037604E">
              <w:rPr>
                <w:rFonts w:ascii="Cambria" w:hAnsi="Cambria"/>
                <w:b/>
                <w:sz w:val="20"/>
                <w:lang w:val="en-GB"/>
              </w:rPr>
              <w:lastRenderedPageBreak/>
              <w:t xml:space="preserve">REGULATORY AND PUBLIC AUTHORITIES RELATIONS COMMITTEE </w:t>
            </w:r>
          </w:p>
        </w:tc>
        <w:tc>
          <w:tcPr>
            <w:tcW w:w="2986" w:type="dxa"/>
          </w:tcPr>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 xml:space="preserve">shall be composed of minimum two members of the Board of Administration; </w:t>
            </w:r>
          </w:p>
          <w:p w:rsidR="0037604E" w:rsidRPr="0037604E" w:rsidRDefault="0037604E" w:rsidP="0037604E">
            <w:pPr>
              <w:spacing w:after="0" w:line="240" w:lineRule="auto"/>
              <w:jc w:val="both"/>
              <w:rPr>
                <w:rFonts w:ascii="Cambria" w:eastAsia="Times New Roman" w:hAnsi="Cambria"/>
                <w:sz w:val="20"/>
                <w:szCs w:val="20"/>
                <w:lang w:val="en-GB"/>
              </w:rPr>
            </w:pPr>
          </w:p>
          <w:p w:rsidR="0037604E" w:rsidRPr="0037604E" w:rsidRDefault="0037604E" w:rsidP="0037604E">
            <w:pPr>
              <w:spacing w:after="0" w:line="240" w:lineRule="auto"/>
              <w:ind w:firstLine="0"/>
              <w:jc w:val="both"/>
              <w:rPr>
                <w:rFonts w:ascii="Cambria" w:eastAsia="Times New Roman" w:hAnsi="Cambria"/>
                <w:sz w:val="20"/>
                <w:szCs w:val="20"/>
                <w:lang w:val="en-GB"/>
              </w:rPr>
            </w:pPr>
            <w:r w:rsidRPr="0037604E">
              <w:rPr>
                <w:rFonts w:ascii="Cambria" w:hAnsi="Cambria"/>
                <w:sz w:val="20"/>
                <w:lang w:val="en-GB"/>
              </w:rPr>
              <w:t>the duties of this committee are established by the Corporate Governance Code.</w:t>
            </w:r>
          </w:p>
        </w:tc>
        <w:tc>
          <w:tcPr>
            <w:tcW w:w="3770" w:type="dxa"/>
          </w:tcPr>
          <w:p w:rsidR="0037604E" w:rsidRPr="0037604E" w:rsidRDefault="0037604E" w:rsidP="00FA6EB9">
            <w:pPr>
              <w:numPr>
                <w:ilvl w:val="0"/>
                <w:numId w:val="83"/>
              </w:numPr>
              <w:spacing w:after="0" w:line="240" w:lineRule="auto"/>
              <w:ind w:left="357" w:hanging="357"/>
              <w:jc w:val="both"/>
              <w:rPr>
                <w:rFonts w:ascii="Cambria" w:eastAsia="Times New Roman" w:hAnsi="Cambria"/>
                <w:b/>
                <w:sz w:val="20"/>
                <w:szCs w:val="20"/>
                <w:u w:val="single"/>
                <w:lang w:val="en-GB"/>
              </w:rPr>
            </w:pPr>
            <w:r w:rsidRPr="0037604E">
              <w:rPr>
                <w:rFonts w:ascii="Cambria" w:hAnsi="Cambria"/>
                <w:sz w:val="20"/>
                <w:lang w:val="en-GB"/>
              </w:rPr>
              <w:t>to assist the Board of Administration in analysing the company</w:t>
            </w:r>
            <w:r w:rsidRPr="0037604E">
              <w:rPr>
                <w:rFonts w:ascii="Cambria" w:hAnsi="Cambria" w:cs="Cambria"/>
                <w:sz w:val="20"/>
                <w:cs/>
                <w:lang w:val="en-GB"/>
              </w:rPr>
              <w:t>’</w:t>
            </w:r>
            <w:r w:rsidRPr="0037604E">
              <w:rPr>
                <w:rFonts w:ascii="Cambria" w:hAnsi="Cambria"/>
                <w:sz w:val="20"/>
                <w:lang w:val="en-GB"/>
              </w:rPr>
              <w:t xml:space="preserve">s regulatory activity and legal obligations in this field; </w:t>
            </w:r>
          </w:p>
          <w:p w:rsidR="0037604E" w:rsidRPr="0037604E" w:rsidRDefault="0037604E" w:rsidP="00FA6EB9">
            <w:pPr>
              <w:numPr>
                <w:ilvl w:val="0"/>
                <w:numId w:val="83"/>
              </w:numPr>
              <w:spacing w:after="0" w:line="240" w:lineRule="auto"/>
              <w:ind w:left="357" w:hanging="357"/>
              <w:jc w:val="both"/>
              <w:rPr>
                <w:rFonts w:ascii="Cambria" w:eastAsia="Times New Roman" w:hAnsi="Cambria"/>
                <w:sz w:val="20"/>
                <w:szCs w:val="20"/>
                <w:lang w:val="en-GB"/>
              </w:rPr>
            </w:pPr>
            <w:r w:rsidRPr="0037604E">
              <w:rPr>
                <w:rFonts w:ascii="Cambria" w:hAnsi="Cambria"/>
                <w:sz w:val="20"/>
                <w:lang w:val="en-GB"/>
              </w:rPr>
              <w:t>to monitor the company</w:t>
            </w:r>
            <w:r w:rsidRPr="0037604E">
              <w:rPr>
                <w:rFonts w:ascii="Cambria" w:hAnsi="Cambria" w:cs="Cambria"/>
                <w:sz w:val="20"/>
                <w:cs/>
                <w:lang w:val="en-GB"/>
              </w:rPr>
              <w:t>’</w:t>
            </w:r>
            <w:r w:rsidRPr="0037604E">
              <w:rPr>
                <w:rFonts w:ascii="Cambria" w:hAnsi="Cambria"/>
                <w:sz w:val="20"/>
                <w:lang w:val="en-GB"/>
              </w:rPr>
              <w:t xml:space="preserve">s observance of the obligations stipulated in the regulations referring to the pursued activity; </w:t>
            </w:r>
          </w:p>
          <w:p w:rsidR="0037604E" w:rsidRPr="0037604E" w:rsidRDefault="0037604E" w:rsidP="00FA6EB9">
            <w:pPr>
              <w:numPr>
                <w:ilvl w:val="0"/>
                <w:numId w:val="83"/>
              </w:numPr>
              <w:spacing w:after="0" w:line="240" w:lineRule="auto"/>
              <w:ind w:left="357" w:hanging="357"/>
              <w:jc w:val="both"/>
              <w:rPr>
                <w:rFonts w:ascii="Cambria" w:eastAsia="Times New Roman" w:hAnsi="Cambria"/>
                <w:sz w:val="20"/>
                <w:szCs w:val="20"/>
                <w:lang w:val="en-GB"/>
              </w:rPr>
            </w:pPr>
            <w:r w:rsidRPr="0037604E">
              <w:rPr>
                <w:rFonts w:ascii="Cambria" w:hAnsi="Cambria"/>
                <w:sz w:val="20"/>
                <w:lang w:val="en-GB"/>
              </w:rPr>
              <w:t xml:space="preserve">to analyse and provide the Board of Administration with proposals regarding the regulatory framework; </w:t>
            </w:r>
          </w:p>
          <w:p w:rsidR="0037604E" w:rsidRPr="0037604E" w:rsidRDefault="0037604E" w:rsidP="00FA6EB9">
            <w:pPr>
              <w:numPr>
                <w:ilvl w:val="0"/>
                <w:numId w:val="83"/>
              </w:numPr>
              <w:spacing w:after="0" w:line="240" w:lineRule="auto"/>
              <w:ind w:left="357" w:hanging="357"/>
              <w:jc w:val="both"/>
              <w:rPr>
                <w:rFonts w:ascii="Cambria" w:eastAsia="Times New Roman" w:hAnsi="Cambria"/>
                <w:sz w:val="20"/>
                <w:szCs w:val="20"/>
                <w:lang w:val="en-GB"/>
              </w:rPr>
            </w:pPr>
            <w:r w:rsidRPr="0037604E">
              <w:rPr>
                <w:rFonts w:ascii="Cambria" w:hAnsi="Cambria"/>
                <w:sz w:val="20"/>
                <w:lang w:val="en-GB"/>
              </w:rPr>
              <w:t xml:space="preserve">to monitor the collaboration relations with public authorities, and assist the Board of Administration in establishing and managing the collaboration policy. </w:t>
            </w:r>
          </w:p>
        </w:tc>
      </w:tr>
    </w:tbl>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Componence o</w:t>
      </w:r>
      <w:r w:rsidR="00D45179">
        <w:rPr>
          <w:rFonts w:ascii="Cambria" w:eastAsia="Times New Roman" w:hAnsi="Cambria" w:cs="Times New Roman"/>
          <w:b/>
          <w:sz w:val="24"/>
          <w:szCs w:val="24"/>
          <w:lang w:val="en-GB" w:eastAsia="ro-RO"/>
        </w:rPr>
        <w:t>f the advisory committees established</w:t>
      </w:r>
      <w:r w:rsidRPr="0037604E">
        <w:rPr>
          <w:rFonts w:ascii="Cambria" w:eastAsia="Times New Roman" w:hAnsi="Cambria" w:cs="Times New Roman"/>
          <w:b/>
          <w:sz w:val="24"/>
          <w:szCs w:val="24"/>
          <w:lang w:val="en-GB" w:eastAsia="ro-RO"/>
        </w:rPr>
        <w:t xml:space="preserve"> within the BA of the Company</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2860"/>
        <w:gridCol w:w="2357"/>
        <w:gridCol w:w="3804"/>
      </w:tblGrid>
      <w:tr w:rsidR="0037604E" w:rsidRPr="0037604E" w:rsidTr="0037604E">
        <w:trPr>
          <w:tblHeader/>
          <w:tblCellSpacing w:w="20" w:type="dxa"/>
          <w:jc w:val="center"/>
        </w:trPr>
        <w:tc>
          <w:tcPr>
            <w:tcW w:w="2800" w:type="dxa"/>
            <w:shd w:val="clear" w:color="auto" w:fill="DBE5F1" w:themeFill="accent1" w:themeFillTint="33"/>
            <w:tcMar>
              <w:top w:w="0" w:type="dxa"/>
              <w:left w:w="108" w:type="dxa"/>
              <w:bottom w:w="0" w:type="dxa"/>
              <w:right w:w="108" w:type="dxa"/>
            </w:tcMar>
            <w:vAlign w:val="center"/>
            <w:hideMark/>
          </w:tcPr>
          <w:p w:rsidR="0037604E" w:rsidRPr="0037604E" w:rsidRDefault="0037604E" w:rsidP="0037604E">
            <w:pPr>
              <w:spacing w:after="0" w:line="240" w:lineRule="auto"/>
              <w:ind w:firstLine="0"/>
              <w:jc w:val="center"/>
              <w:rPr>
                <w:rFonts w:ascii="Cambria" w:eastAsia="Calibri" w:hAnsi="Cambria" w:cs="Times New Roman"/>
                <w:b/>
                <w:bCs/>
                <w:lang w:val="en-GB" w:eastAsia="en-US"/>
              </w:rPr>
            </w:pPr>
            <w:r w:rsidRPr="0037604E">
              <w:rPr>
                <w:rFonts w:ascii="Cambria" w:eastAsia="Calibri" w:hAnsi="Cambria" w:cs="Times New Roman"/>
                <w:b/>
                <w:bCs/>
                <w:lang w:val="en-GB" w:eastAsia="en-US"/>
              </w:rPr>
              <w:t>Name of the Committee</w:t>
            </w:r>
          </w:p>
        </w:tc>
        <w:tc>
          <w:tcPr>
            <w:tcW w:w="6101" w:type="dxa"/>
            <w:gridSpan w:val="2"/>
            <w:shd w:val="clear" w:color="auto" w:fill="DBE5F1" w:themeFill="accent1" w:themeFillTint="33"/>
            <w:tcMar>
              <w:top w:w="0" w:type="dxa"/>
              <w:left w:w="108" w:type="dxa"/>
              <w:bottom w:w="0" w:type="dxa"/>
              <w:right w:w="108" w:type="dxa"/>
            </w:tcMar>
            <w:vAlign w:val="center"/>
            <w:hideMark/>
          </w:tcPr>
          <w:p w:rsidR="0037604E" w:rsidRPr="0037604E" w:rsidRDefault="0037604E" w:rsidP="0037604E">
            <w:pPr>
              <w:spacing w:after="0" w:line="240" w:lineRule="auto"/>
              <w:ind w:firstLine="0"/>
              <w:jc w:val="center"/>
              <w:rPr>
                <w:rFonts w:ascii="Cambria" w:eastAsia="Calibri" w:hAnsi="Cambria" w:cs="Times New Roman"/>
                <w:b/>
                <w:bCs/>
                <w:lang w:val="en-GB" w:eastAsia="en-US"/>
              </w:rPr>
            </w:pPr>
            <w:r w:rsidRPr="0037604E">
              <w:rPr>
                <w:rFonts w:ascii="Cambria" w:eastAsia="Calibri" w:hAnsi="Cambria" w:cs="Times New Roman"/>
                <w:b/>
                <w:sz w:val="24"/>
                <w:lang w:val="en-GB" w:eastAsia="en-GB"/>
              </w:rPr>
              <w:t>Members of the Committee</w:t>
            </w:r>
          </w:p>
        </w:tc>
      </w:tr>
      <w:tr w:rsidR="0037604E" w:rsidRPr="0037604E" w:rsidTr="0037604E">
        <w:trPr>
          <w:tblCellSpacing w:w="20" w:type="dxa"/>
          <w:jc w:val="center"/>
        </w:trPr>
        <w:tc>
          <w:tcPr>
            <w:tcW w:w="2800" w:type="dxa"/>
            <w:vMerge w:val="restart"/>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r w:rsidRPr="0037604E">
              <w:rPr>
                <w:rFonts w:ascii="Cambria" w:eastAsia="Calibri" w:hAnsi="Cambria" w:cs="Times New Roman"/>
                <w:lang w:val="en-GB" w:eastAsia="en-US"/>
              </w:rPr>
              <w:t>Nomination and Remuneration Advisory Committee</w:t>
            </w: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Sterian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non-executive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Cernov Radu </w:t>
            </w:r>
            <w:r w:rsidRPr="0037604E">
              <w:rPr>
                <w:rFonts w:ascii="Cambria" w:eastAsia="Calibri" w:hAnsi="Cambria" w:cs="Arial"/>
                <w:bCs/>
                <w:iCs/>
                <w:sz w:val="20"/>
                <w:szCs w:val="20"/>
                <w:lang w:val="en-GB" w:eastAsia="en-US"/>
              </w:rPr>
              <w:t>Ș</w:t>
            </w:r>
            <w:r w:rsidRPr="0037604E">
              <w:rPr>
                <w:rFonts w:ascii="Cambria" w:eastAsia="Calibri" w:hAnsi="Cambria" w:cs="Times New Roman"/>
                <w:bCs/>
                <w:iCs/>
                <w:sz w:val="20"/>
                <w:szCs w:val="20"/>
                <w:lang w:val="en-GB" w:eastAsia="en-US"/>
              </w:rPr>
              <w:t>tefan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-non-executive administrator, independent</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Iliescu Bogdan George</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val="restart"/>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r w:rsidRPr="0037604E">
              <w:rPr>
                <w:rFonts w:ascii="Cambria" w:eastAsia="Calibri" w:hAnsi="Cambria" w:cs="Times New Roman"/>
                <w:lang w:val="en-GB" w:eastAsia="en-US"/>
              </w:rPr>
              <w:t>Audit and Rating Advisory Committee</w:t>
            </w: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Iliescu Bogdan George</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President of the Audit and Rating Committee</w:t>
            </w:r>
          </w:p>
        </w:tc>
      </w:tr>
      <w:tr w:rsidR="0037604E" w:rsidRPr="0037604E" w:rsidTr="0037604E">
        <w:trPr>
          <w:tblCellSpacing w:w="20" w:type="dxa"/>
          <w:jc w:val="center"/>
        </w:trPr>
        <w:tc>
          <w:tcPr>
            <w:tcW w:w="2800" w:type="dxa"/>
            <w:vMerge/>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sz w:val="24"/>
                <w:szCs w:val="24"/>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Cernov Radu </w:t>
            </w:r>
            <w:r w:rsidRPr="0037604E">
              <w:rPr>
                <w:rFonts w:ascii="Cambria" w:eastAsia="Calibri" w:hAnsi="Cambria" w:cs="Arial"/>
                <w:bCs/>
                <w:iCs/>
                <w:sz w:val="20"/>
                <w:szCs w:val="20"/>
                <w:lang w:val="en-GB" w:eastAsia="en-US"/>
              </w:rPr>
              <w:t>Ș</w:t>
            </w:r>
            <w:r w:rsidRPr="0037604E">
              <w:rPr>
                <w:rFonts w:ascii="Cambria" w:eastAsia="Calibri" w:hAnsi="Cambria" w:cs="Times New Roman"/>
                <w:bCs/>
                <w:iCs/>
                <w:sz w:val="20"/>
                <w:szCs w:val="20"/>
                <w:lang w:val="en-GB" w:eastAsia="en-US"/>
              </w:rPr>
              <w:t>tefan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sz w:val="24"/>
                <w:szCs w:val="24"/>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Rizoiu Andrei</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val="restart"/>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r w:rsidRPr="0037604E">
              <w:rPr>
                <w:rFonts w:ascii="Cambria" w:eastAsia="Calibri" w:hAnsi="Cambria" w:cs="Times New Roman"/>
                <w:lang w:val="en-GB" w:eastAsia="en-US"/>
              </w:rPr>
              <w:t>NTS Safety and Security Advisory Committee</w:t>
            </w: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Sterian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non-executive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Văduva Petru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Rizoiu Andrei</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val="restart"/>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r w:rsidRPr="0037604E">
              <w:rPr>
                <w:rFonts w:ascii="Cambria" w:eastAsia="Calibri" w:hAnsi="Cambria" w:cs="Times New Roman"/>
                <w:lang w:val="en-GB" w:eastAsia="en-US"/>
              </w:rPr>
              <w:t>Strategy and Development Advisory Committee</w:t>
            </w: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Sterian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non-executive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Văduva Petru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Iliescu Bogdan George</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Rizoiu Andrei</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r w:rsidR="0037604E" w:rsidRPr="0037604E" w:rsidTr="0037604E">
        <w:trPr>
          <w:tblCellSpacing w:w="20" w:type="dxa"/>
          <w:jc w:val="center"/>
        </w:trPr>
        <w:tc>
          <w:tcPr>
            <w:tcW w:w="2800" w:type="dxa"/>
            <w:vMerge w:val="restart"/>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lang w:val="en-GB" w:eastAsia="en-US"/>
              </w:rPr>
            </w:pPr>
            <w:r w:rsidRPr="0037604E">
              <w:rPr>
                <w:rFonts w:ascii="Cambria" w:eastAsia="Calibri" w:hAnsi="Cambria" w:cs="Times New Roman"/>
                <w:lang w:val="en-GB" w:eastAsia="en-US"/>
              </w:rPr>
              <w:t xml:space="preserve">Regulatory and Public Authorities Relations Committee </w:t>
            </w: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Sterian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non-executive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sz w:val="24"/>
                <w:szCs w:val="24"/>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Văduva Petru Ion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xml:space="preserve">- executive administrator </w:t>
            </w:r>
          </w:p>
        </w:tc>
      </w:tr>
      <w:tr w:rsidR="0037604E" w:rsidRPr="0037604E" w:rsidTr="0037604E">
        <w:trPr>
          <w:tblCellSpacing w:w="20" w:type="dxa"/>
          <w:jc w:val="center"/>
        </w:trPr>
        <w:tc>
          <w:tcPr>
            <w:tcW w:w="2800" w:type="dxa"/>
            <w:vMerge/>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sz w:val="24"/>
                <w:szCs w:val="24"/>
                <w:lang w:val="en-GB" w:eastAsia="en-US"/>
              </w:rPr>
            </w:pPr>
          </w:p>
        </w:tc>
        <w:tc>
          <w:tcPr>
            <w:tcW w:w="2317" w:type="dxa"/>
            <w:tcMar>
              <w:top w:w="0" w:type="dxa"/>
              <w:left w:w="108" w:type="dxa"/>
              <w:bottom w:w="0" w:type="dxa"/>
              <w:right w:w="108" w:type="dxa"/>
            </w:tcMar>
            <w:hideMark/>
          </w:tcPr>
          <w:p w:rsidR="0037604E" w:rsidRPr="0037604E" w:rsidRDefault="0037604E" w:rsidP="0037604E">
            <w:pPr>
              <w:spacing w:after="0" w:line="240" w:lineRule="auto"/>
              <w:ind w:firstLine="0"/>
              <w:jc w:val="both"/>
              <w:rPr>
                <w:rFonts w:ascii="Cambria" w:eastAsia="Calibri" w:hAnsi="Cambria" w:cs="Times New Roman"/>
                <w:sz w:val="20"/>
                <w:szCs w:val="20"/>
                <w:lang w:val="en-GB" w:eastAsia="en-US"/>
              </w:rPr>
            </w:pPr>
            <w:r w:rsidRPr="0037604E">
              <w:rPr>
                <w:rFonts w:ascii="Cambria" w:eastAsia="Calibri" w:hAnsi="Cambria" w:cs="Times New Roman"/>
                <w:bCs/>
                <w:iCs/>
                <w:sz w:val="20"/>
                <w:szCs w:val="20"/>
                <w:lang w:val="en-GB" w:eastAsia="en-US"/>
              </w:rPr>
              <w:t xml:space="preserve">Cernov Radu </w:t>
            </w:r>
            <w:r w:rsidRPr="0037604E">
              <w:rPr>
                <w:rFonts w:ascii="Cambria" w:eastAsia="Calibri" w:hAnsi="Cambria" w:cs="Arial"/>
                <w:bCs/>
                <w:iCs/>
                <w:sz w:val="20"/>
                <w:szCs w:val="20"/>
                <w:lang w:val="en-GB" w:eastAsia="en-US"/>
              </w:rPr>
              <w:t>Ș</w:t>
            </w:r>
            <w:r w:rsidRPr="0037604E">
              <w:rPr>
                <w:rFonts w:ascii="Cambria" w:eastAsia="Calibri" w:hAnsi="Cambria" w:cs="Times New Roman"/>
                <w:bCs/>
                <w:iCs/>
                <w:sz w:val="20"/>
                <w:szCs w:val="20"/>
                <w:lang w:val="en-GB" w:eastAsia="en-US"/>
              </w:rPr>
              <w:t>tefan</w:t>
            </w:r>
          </w:p>
        </w:tc>
        <w:tc>
          <w:tcPr>
            <w:tcW w:w="3744" w:type="dxa"/>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eastAsia="en-US"/>
              </w:rPr>
            </w:pPr>
            <w:r w:rsidRPr="0037604E">
              <w:rPr>
                <w:rFonts w:ascii="Cambria" w:eastAsia="Calibri" w:hAnsi="Cambria" w:cs="Times New Roman"/>
                <w:bCs/>
                <w:iCs/>
                <w:sz w:val="20"/>
                <w:szCs w:val="20"/>
                <w:lang w:val="en-GB" w:eastAsia="en-US"/>
              </w:rPr>
              <w:t>- non-executive administrator, independent</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The activity performed in 2016 by all the five advisory committees within the Board of Administration based on the provisions of:</w:t>
      </w:r>
    </w:p>
    <w:p w:rsidR="0037604E" w:rsidRPr="0037604E" w:rsidRDefault="0037604E" w:rsidP="00FA6EB9">
      <w:pPr>
        <w:numPr>
          <w:ilvl w:val="0"/>
          <w:numId w:val="89"/>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Art. 140^2 of Law no. 31/1990 on companies, as subsequently amended and supplemented, republished; </w:t>
      </w:r>
    </w:p>
    <w:p w:rsidR="0037604E" w:rsidRPr="0037604E" w:rsidRDefault="0037604E" w:rsidP="00FA6EB9">
      <w:pPr>
        <w:numPr>
          <w:ilvl w:val="0"/>
          <w:numId w:val="89"/>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lastRenderedPageBreak/>
        <w:t>The BSE Corporate Governance Code;</w:t>
      </w:r>
    </w:p>
    <w:p w:rsidR="0037604E" w:rsidRPr="0037604E" w:rsidRDefault="0037604E" w:rsidP="00FA6EB9">
      <w:pPr>
        <w:numPr>
          <w:ilvl w:val="0"/>
          <w:numId w:val="89"/>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Art. 4 of the Decision of the Board of Administration no. 7 on 27.05.2013;</w:t>
      </w:r>
    </w:p>
    <w:p w:rsidR="0037604E" w:rsidRPr="0037604E" w:rsidRDefault="0037604E" w:rsidP="00FA6EB9">
      <w:pPr>
        <w:numPr>
          <w:ilvl w:val="0"/>
          <w:numId w:val="89"/>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Art. 9 of the Decision of the Board of Administration no. 13 on 29.07.2013;</w:t>
      </w:r>
    </w:p>
    <w:p w:rsidR="0037604E" w:rsidRPr="0037604E" w:rsidRDefault="0037604E" w:rsidP="00FA6EB9">
      <w:pPr>
        <w:numPr>
          <w:ilvl w:val="0"/>
          <w:numId w:val="89"/>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Art. 4 of the Decision of the Board of Administration no. 2 on 10.02.2014;</w:t>
      </w:r>
    </w:p>
    <w:p w:rsidR="0037604E" w:rsidRPr="0037604E" w:rsidRDefault="0037604E" w:rsidP="00FA6EB9">
      <w:pPr>
        <w:numPr>
          <w:ilvl w:val="0"/>
          <w:numId w:val="89"/>
        </w:numPr>
        <w:spacing w:after="0" w:line="240" w:lineRule="auto"/>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t>Art. 1 of the Decision of the Board of Administration no. 21 on 16.06.2014;</w:t>
      </w:r>
    </w:p>
    <w:p w:rsidR="0037604E" w:rsidRPr="0037604E" w:rsidRDefault="0037604E" w:rsidP="00FA6EB9">
      <w:pPr>
        <w:numPr>
          <w:ilvl w:val="0"/>
          <w:numId w:val="89"/>
        </w:numPr>
        <w:spacing w:after="0" w:line="240" w:lineRule="auto"/>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t xml:space="preserve">Art.10.1 of the Decision of the Board of Administration no. 43 on 19.11.2014 </w:t>
      </w:r>
      <w:r w:rsidRPr="0037604E">
        <w:rPr>
          <w:rFonts w:ascii="Cambria" w:eastAsia="Times New Roman" w:hAnsi="Cambria" w:cs="Arial"/>
          <w:color w:val="000000"/>
          <w:sz w:val="24"/>
          <w:szCs w:val="24"/>
          <w:lang w:val="en-GB"/>
        </w:rPr>
        <w:t>and</w:t>
      </w:r>
    </w:p>
    <w:p w:rsidR="0037604E" w:rsidRPr="0037604E" w:rsidRDefault="0037604E" w:rsidP="00FA6EB9">
      <w:pPr>
        <w:numPr>
          <w:ilvl w:val="0"/>
          <w:numId w:val="89"/>
        </w:numPr>
        <w:spacing w:after="0" w:line="240" w:lineRule="auto"/>
        <w:jc w:val="both"/>
        <w:rPr>
          <w:rFonts w:ascii="Cambria" w:eastAsia="Times New Roman" w:hAnsi="Cambria" w:cs="Times New Roman"/>
          <w:color w:val="000000"/>
          <w:sz w:val="24"/>
          <w:szCs w:val="24"/>
          <w:lang w:val="en-GB"/>
        </w:rPr>
      </w:pPr>
      <w:r w:rsidRPr="0037604E">
        <w:rPr>
          <w:rFonts w:ascii="Cambria" w:eastAsia="Times New Roman" w:hAnsi="Cambria" w:cs="Times New Roman"/>
          <w:color w:val="000000"/>
          <w:sz w:val="24"/>
          <w:szCs w:val="24"/>
          <w:lang w:val="en-GB"/>
        </w:rPr>
        <w:t xml:space="preserve">Art. 12 of the Decision of the Board of Administration no. 39 on 17.12.2015,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had the subject to monitor actions carried out by members of the advisory committees in accordance with the fields that have been designated and is embodied in the quarterly report of their activities, report outlining:</w:t>
      </w:r>
    </w:p>
    <w:p w:rsidR="0037604E" w:rsidRPr="0037604E" w:rsidRDefault="0037604E" w:rsidP="00FA6EB9">
      <w:pPr>
        <w:numPr>
          <w:ilvl w:val="0"/>
          <w:numId w:val="90"/>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The way the materials and documents of various organizational structures of Transgaz SA were consulted by the members of the Advisory Committees </w:t>
      </w:r>
    </w:p>
    <w:p w:rsidR="0037604E" w:rsidRPr="0037604E" w:rsidRDefault="0037604E" w:rsidP="00FA6EB9">
      <w:pPr>
        <w:numPr>
          <w:ilvl w:val="0"/>
          <w:numId w:val="90"/>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Analyses carried out by members of the Advisory Committees on the content of the submitted documents and materials;</w:t>
      </w:r>
    </w:p>
    <w:p w:rsidR="0037604E" w:rsidRPr="0037604E" w:rsidRDefault="0037604E" w:rsidP="00FA6EB9">
      <w:pPr>
        <w:numPr>
          <w:ilvl w:val="0"/>
          <w:numId w:val="90"/>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Proposals / actions / recommendations of the Advisory Committees members on the content of the materials and documents submitted for consideration and endorsement / approval of the Board and</w:t>
      </w:r>
    </w:p>
    <w:p w:rsidR="0037604E" w:rsidRPr="0037604E" w:rsidRDefault="0037604E" w:rsidP="00FA6EB9">
      <w:pPr>
        <w:numPr>
          <w:ilvl w:val="0"/>
          <w:numId w:val="90"/>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Documents by which the Board of Administration, in its plenum, decided on the content and issues addressed in the documents submitted for review / endorsement / approval.</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The way the activity report of the advisory committees established within the CA 2016 has been designed in such a way as to reflect precisely and in a comprehensive manner all the activities concerning analysis, consulting and the decisions making process regarding the company's activity.</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591"/>
        <w:gridCol w:w="4081"/>
        <w:gridCol w:w="1984"/>
        <w:gridCol w:w="2365"/>
      </w:tblGrid>
      <w:tr w:rsidR="0037604E" w:rsidRPr="0037604E" w:rsidTr="0037604E">
        <w:trPr>
          <w:tblHeader/>
          <w:tblCellSpacing w:w="20" w:type="dxa"/>
          <w:jc w:val="center"/>
        </w:trPr>
        <w:tc>
          <w:tcPr>
            <w:tcW w:w="532" w:type="dxa"/>
            <w:shd w:val="clear" w:color="auto" w:fill="DBE5F1"/>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Tag no.</w:t>
            </w:r>
          </w:p>
        </w:tc>
        <w:tc>
          <w:tcPr>
            <w:tcW w:w="4051" w:type="dxa"/>
            <w:shd w:val="clear" w:color="auto" w:fill="DBE5F1"/>
            <w:tcMar>
              <w:top w:w="0" w:type="dxa"/>
              <w:left w:w="108" w:type="dxa"/>
              <w:bottom w:w="0" w:type="dxa"/>
              <w:right w:w="108" w:type="dxa"/>
            </w:tcMar>
            <w:vAlign w:val="center"/>
            <w:hideMark/>
          </w:tcPr>
          <w:p w:rsidR="0037604E" w:rsidRPr="0037604E" w:rsidRDefault="0037604E" w:rsidP="0037604E">
            <w:pPr>
              <w:spacing w:after="0" w:line="240" w:lineRule="auto"/>
              <w:jc w:val="center"/>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Description</w:t>
            </w:r>
          </w:p>
        </w:tc>
        <w:tc>
          <w:tcPr>
            <w:tcW w:w="1945" w:type="dxa"/>
            <w:shd w:val="clear" w:color="auto" w:fill="DBE5F1"/>
            <w:tcMar>
              <w:top w:w="0" w:type="dxa"/>
              <w:left w:w="108" w:type="dxa"/>
              <w:bottom w:w="0" w:type="dxa"/>
              <w:right w:w="108" w:type="dxa"/>
            </w:tcMar>
            <w:vAlign w:val="center"/>
            <w:hideMark/>
          </w:tcPr>
          <w:p w:rsidR="0037604E" w:rsidRPr="0037604E" w:rsidRDefault="0037604E" w:rsidP="0037604E">
            <w:pPr>
              <w:spacing w:after="0" w:line="240" w:lineRule="auto"/>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Responsible</w:t>
            </w:r>
          </w:p>
        </w:tc>
        <w:tc>
          <w:tcPr>
            <w:tcW w:w="2309" w:type="dxa"/>
            <w:shd w:val="clear" w:color="auto" w:fill="DBE5F1"/>
            <w:tcMar>
              <w:top w:w="0" w:type="dxa"/>
              <w:left w:w="108" w:type="dxa"/>
              <w:bottom w:w="0" w:type="dxa"/>
              <w:right w:w="108" w:type="dxa"/>
            </w:tcMar>
            <w:vAlign w:val="center"/>
            <w:hideMark/>
          </w:tcPr>
          <w:p w:rsidR="0037604E" w:rsidRPr="0037604E" w:rsidRDefault="0037604E" w:rsidP="0037604E">
            <w:pPr>
              <w:spacing w:after="0" w:line="240" w:lineRule="auto"/>
              <w:ind w:firstLine="0"/>
              <w:jc w:val="center"/>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Componen</w:t>
            </w:r>
            <w:r w:rsidRPr="0037604E">
              <w:rPr>
                <w:rFonts w:ascii="Cambria" w:eastAsia="Times New Roman" w:hAnsi="Cambria" w:cs="Arial"/>
                <w:b/>
                <w:bCs/>
                <w:sz w:val="18"/>
                <w:szCs w:val="18"/>
                <w:lang w:val="en-GB"/>
              </w:rPr>
              <w:t xml:space="preserve">ce of the </w:t>
            </w:r>
            <w:r w:rsidRPr="0037604E">
              <w:rPr>
                <w:rFonts w:ascii="Cambria" w:eastAsia="Times New Roman" w:hAnsi="Cambria" w:cs="Times New Roman"/>
                <w:b/>
                <w:bCs/>
                <w:sz w:val="18"/>
                <w:szCs w:val="18"/>
                <w:lang w:val="en-GB"/>
              </w:rPr>
              <w:t xml:space="preserve"> Committee</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1.</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Nomination and Remuneration Advisory Committee in the period January-June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Nomination and Remuneration Advisory Committee</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Iliescu Bogdan George</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2.</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Advisory Committee for Strategy and Development in the period January-June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Advisory Committee for Strategy and Development</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Iliescu Bogdan George</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r w:rsidR="0037604E" w:rsidRPr="0037604E" w:rsidTr="0037604E">
        <w:trPr>
          <w:trHeight w:val="1235"/>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3.</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Regulatory Advisory Committee and relations with public authorities in the period January-June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Regulatory Advisory Committee and relations with public authorities</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4.</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Advisory Committee for NTS Safety and Security during January-June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Advisory Committee for NTS Safety and Security</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r w:rsidR="0037604E" w:rsidRPr="0037604E" w:rsidTr="0037604E">
        <w:trPr>
          <w:trHeight w:val="1044"/>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5.</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 xml:space="preserve">Activity Report of the Audit </w:t>
            </w:r>
            <w:r w:rsidRPr="0037604E">
              <w:rPr>
                <w:rFonts w:ascii="Cambria" w:eastAsia="Times New Roman" w:hAnsi="Cambria" w:cs="Arial"/>
                <w:sz w:val="20"/>
                <w:szCs w:val="20"/>
                <w:lang w:val="en-GB"/>
              </w:rPr>
              <w:t xml:space="preserve">and </w:t>
            </w:r>
            <w:r w:rsidRPr="0037604E">
              <w:rPr>
                <w:rFonts w:ascii="Cambria" w:eastAsia="Times New Roman" w:hAnsi="Cambria" w:cs="Times New Roman"/>
                <w:sz w:val="20"/>
                <w:szCs w:val="20"/>
                <w:lang w:val="en-GB"/>
              </w:rPr>
              <w:t>Rating Advisory Committee during January-June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Audit and Rating Advisory Committee</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Iliescu Bogdan George</w:t>
            </w:r>
          </w:p>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r w:rsidR="0037604E" w:rsidRPr="0037604E" w:rsidTr="0037604E">
        <w:trPr>
          <w:trHeight w:val="1044"/>
          <w:tblCellSpacing w:w="20" w:type="dxa"/>
          <w:jc w:val="center"/>
        </w:trPr>
        <w:tc>
          <w:tcPr>
            <w:tcW w:w="532" w:type="dxa"/>
            <w:tcMar>
              <w:top w:w="0" w:type="dxa"/>
              <w:left w:w="108" w:type="dxa"/>
              <w:bottom w:w="0" w:type="dxa"/>
              <w:right w:w="108" w:type="dxa"/>
            </w:tcMar>
          </w:tcPr>
          <w:p w:rsidR="0037604E" w:rsidRPr="0037604E" w:rsidRDefault="0037604E" w:rsidP="0037604E">
            <w:pPr>
              <w:spacing w:after="0" w:line="240" w:lineRule="auto"/>
              <w:ind w:firstLine="0"/>
              <w:rPr>
                <w:rFonts w:ascii="Cambria" w:eastAsia="Times New Roman" w:hAnsi="Cambria" w:cs="Times New Roman"/>
                <w:b/>
                <w:bCs/>
                <w:sz w:val="18"/>
                <w:szCs w:val="18"/>
                <w:lang w:val="en-GB"/>
              </w:rPr>
            </w:pPr>
            <w:r w:rsidRPr="0037604E">
              <w:rPr>
                <w:rFonts w:ascii="Cambria" w:eastAsia="Times New Roman" w:hAnsi="Cambria" w:cs="Times New Roman"/>
                <w:b/>
                <w:bCs/>
                <w:sz w:val="18"/>
                <w:szCs w:val="18"/>
                <w:lang w:val="en-GB"/>
              </w:rPr>
              <w:t>6.</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Nomination and Remuneration Committee during January-</w:t>
            </w:r>
            <w:r w:rsidRPr="0037604E">
              <w:rPr>
                <w:lang w:val="en-GB"/>
              </w:rPr>
              <w:t xml:space="preserve"> </w:t>
            </w:r>
            <w:r w:rsidRPr="0037604E">
              <w:rPr>
                <w:rFonts w:ascii="Cambria" w:eastAsia="Times New Roman" w:hAnsi="Cambria" w:cs="Times New Roman"/>
                <w:sz w:val="20"/>
                <w:szCs w:val="20"/>
                <w:lang w:val="en-GB"/>
              </w:rPr>
              <w:t>December 2016</w:t>
            </w:r>
          </w:p>
        </w:tc>
        <w:tc>
          <w:tcPr>
            <w:tcW w:w="1945" w:type="dxa"/>
            <w:tcMar>
              <w:top w:w="0" w:type="dxa"/>
              <w:left w:w="108" w:type="dxa"/>
              <w:bottom w:w="0" w:type="dxa"/>
              <w:right w:w="108" w:type="dxa"/>
            </w:tcMar>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Nomination and Remuneration Committee</w:t>
            </w:r>
          </w:p>
        </w:tc>
        <w:tc>
          <w:tcPr>
            <w:tcW w:w="2309"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Iliescu Bogdan George</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lastRenderedPageBreak/>
              <w:t>7.</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Advisory Committee for Strategy and Development in the period January-December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Advisory Committee for Strategy and Development</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Iliescu Bogdan George</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8.</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Regulatory Advisory Committee and relations with public authorities in the period January-December 2016</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Regulatory Advisory Committee and relations with public authorities</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tc>
      </w:tr>
      <w:tr w:rsidR="0037604E" w:rsidRPr="0037604E" w:rsidTr="0037604E">
        <w:trPr>
          <w:trHeight w:val="1235"/>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9.</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 Advisory Committee for NTS Safety and Security during January-December 2016</w:t>
            </w: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Advisory Committee for NTS Safety and Security</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Sterian Ion</w:t>
            </w:r>
          </w:p>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Văduva Petru Ion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r w:rsidR="0037604E" w:rsidRPr="0037604E" w:rsidTr="0037604E">
        <w:trPr>
          <w:tblCellSpacing w:w="20" w:type="dxa"/>
          <w:jc w:val="center"/>
        </w:trPr>
        <w:tc>
          <w:tcPr>
            <w:tcW w:w="532" w:type="dxa"/>
            <w:tcMar>
              <w:top w:w="0" w:type="dxa"/>
              <w:left w:w="108" w:type="dxa"/>
              <w:bottom w:w="0" w:type="dxa"/>
              <w:right w:w="108" w:type="dxa"/>
            </w:tcMar>
            <w:hideMark/>
          </w:tcPr>
          <w:p w:rsidR="0037604E" w:rsidRPr="0037604E" w:rsidRDefault="0037604E" w:rsidP="0037604E">
            <w:pPr>
              <w:spacing w:after="0" w:line="240" w:lineRule="auto"/>
              <w:ind w:firstLine="0"/>
              <w:rPr>
                <w:rFonts w:ascii="Cambria" w:eastAsia="Calibri" w:hAnsi="Cambria" w:cs="Times New Roman"/>
                <w:b/>
                <w:bCs/>
                <w:sz w:val="18"/>
                <w:szCs w:val="18"/>
                <w:lang w:val="en-GB"/>
              </w:rPr>
            </w:pPr>
            <w:r w:rsidRPr="0037604E">
              <w:rPr>
                <w:rFonts w:ascii="Cambria" w:eastAsia="Times New Roman" w:hAnsi="Cambria" w:cs="Times New Roman"/>
                <w:b/>
                <w:bCs/>
                <w:sz w:val="18"/>
                <w:szCs w:val="18"/>
                <w:lang w:val="en-GB"/>
              </w:rPr>
              <w:t>10.</w:t>
            </w:r>
          </w:p>
        </w:tc>
        <w:tc>
          <w:tcPr>
            <w:tcW w:w="4051" w:type="dxa"/>
            <w:tcMar>
              <w:top w:w="0" w:type="dxa"/>
              <w:left w:w="108" w:type="dxa"/>
              <w:bottom w:w="0" w:type="dxa"/>
              <w:right w:w="108" w:type="dxa"/>
            </w:tcMar>
            <w:vAlign w:val="center"/>
          </w:tcPr>
          <w:p w:rsidR="0037604E" w:rsidRPr="0037604E" w:rsidRDefault="0037604E" w:rsidP="0037604E">
            <w:pPr>
              <w:spacing w:after="0" w:line="240" w:lineRule="auto"/>
              <w:ind w:firstLine="0"/>
              <w:jc w:val="both"/>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Activity report of the</w:t>
            </w:r>
            <w:r w:rsidRPr="0037604E">
              <w:rPr>
                <w:lang w:val="en-GB"/>
              </w:rPr>
              <w:t xml:space="preserve"> </w:t>
            </w:r>
            <w:r w:rsidRPr="0037604E">
              <w:rPr>
                <w:rFonts w:ascii="Cambria" w:eastAsia="Times New Roman" w:hAnsi="Cambria" w:cs="Times New Roman"/>
                <w:sz w:val="20"/>
                <w:szCs w:val="20"/>
                <w:lang w:val="en-GB"/>
              </w:rPr>
              <w:t>Audit and Rating Advisory Committee during January December 2015</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p>
        </w:tc>
        <w:tc>
          <w:tcPr>
            <w:tcW w:w="1945" w:type="dxa"/>
            <w:tcMar>
              <w:top w:w="0" w:type="dxa"/>
              <w:left w:w="108" w:type="dxa"/>
              <w:bottom w:w="0" w:type="dxa"/>
              <w:right w:w="108" w:type="dxa"/>
            </w:tcMar>
            <w:vAlign w:val="center"/>
            <w:hideMark/>
          </w:tcPr>
          <w:p w:rsidR="0037604E" w:rsidRPr="0037604E" w:rsidRDefault="0037604E" w:rsidP="0037604E">
            <w:pPr>
              <w:spacing w:after="0" w:line="240" w:lineRule="auto"/>
              <w:ind w:firstLine="0"/>
              <w:rPr>
                <w:rFonts w:ascii="Cambria" w:eastAsia="Calibri" w:hAnsi="Cambria" w:cs="Times New Roman"/>
                <w:sz w:val="20"/>
                <w:szCs w:val="20"/>
                <w:lang w:val="en-GB"/>
              </w:rPr>
            </w:pPr>
            <w:r w:rsidRPr="0037604E">
              <w:rPr>
                <w:rFonts w:ascii="Cambria" w:eastAsia="Times New Roman" w:hAnsi="Cambria" w:cs="Times New Roman"/>
                <w:sz w:val="20"/>
                <w:szCs w:val="20"/>
                <w:lang w:val="en-GB"/>
              </w:rPr>
              <w:t>Audit and Rating Advisory Committee</w:t>
            </w:r>
          </w:p>
        </w:tc>
        <w:tc>
          <w:tcPr>
            <w:tcW w:w="2309" w:type="dxa"/>
            <w:tcMar>
              <w:top w:w="0" w:type="dxa"/>
              <w:left w:w="108" w:type="dxa"/>
              <w:bottom w:w="0" w:type="dxa"/>
              <w:right w:w="108" w:type="dxa"/>
            </w:tcMar>
            <w:vAlign w:val="center"/>
            <w:hideMark/>
          </w:tcPr>
          <w:p w:rsidR="0037604E" w:rsidRPr="0037604E" w:rsidRDefault="0037604E" w:rsidP="0037604E">
            <w:pPr>
              <w:spacing w:after="0" w:line="240" w:lineRule="auto"/>
              <w:ind w:firstLine="0"/>
              <w:jc w:val="both"/>
              <w:rPr>
                <w:rFonts w:ascii="Cambria" w:eastAsia="Times New Roman" w:hAnsi="Cambria" w:cs="Times New Roman"/>
                <w:bCs/>
                <w:iCs/>
                <w:sz w:val="20"/>
                <w:szCs w:val="20"/>
                <w:lang w:val="en-GB"/>
              </w:rPr>
            </w:pPr>
            <w:r w:rsidRPr="0037604E">
              <w:rPr>
                <w:rFonts w:ascii="Cambria" w:eastAsia="Times New Roman" w:hAnsi="Cambria" w:cs="Times New Roman"/>
                <w:bCs/>
                <w:iCs/>
                <w:sz w:val="20"/>
                <w:szCs w:val="20"/>
                <w:lang w:val="en-GB"/>
              </w:rPr>
              <w:t>Iliescu Bogdan George</w:t>
            </w:r>
          </w:p>
          <w:p w:rsidR="0037604E" w:rsidRPr="0037604E" w:rsidRDefault="0037604E" w:rsidP="0037604E">
            <w:pPr>
              <w:spacing w:after="0" w:line="240" w:lineRule="auto"/>
              <w:ind w:firstLine="0"/>
              <w:jc w:val="both"/>
              <w:rPr>
                <w:rFonts w:ascii="Cambria" w:eastAsia="Calibri" w:hAnsi="Cambria" w:cs="Times New Roman"/>
                <w:bCs/>
                <w:iCs/>
                <w:sz w:val="20"/>
                <w:szCs w:val="20"/>
                <w:lang w:val="en-GB"/>
              </w:rPr>
            </w:pPr>
            <w:r w:rsidRPr="0037604E">
              <w:rPr>
                <w:rFonts w:ascii="Cambria" w:eastAsia="Times New Roman" w:hAnsi="Cambria" w:cs="Times New Roman"/>
                <w:bCs/>
                <w:iCs/>
                <w:sz w:val="20"/>
                <w:szCs w:val="20"/>
                <w:lang w:val="en-GB"/>
              </w:rPr>
              <w:t xml:space="preserve">Cernov Radu </w:t>
            </w:r>
            <w:r w:rsidRPr="0037604E">
              <w:rPr>
                <w:rFonts w:ascii="Cambria" w:eastAsia="Times New Roman" w:hAnsi="Cambria" w:cs="Arial"/>
                <w:bCs/>
                <w:iCs/>
                <w:sz w:val="20"/>
                <w:szCs w:val="20"/>
                <w:lang w:val="en-GB"/>
              </w:rPr>
              <w:t>Ș</w:t>
            </w:r>
            <w:r w:rsidRPr="0037604E">
              <w:rPr>
                <w:rFonts w:ascii="Cambria" w:eastAsia="Times New Roman" w:hAnsi="Cambria" w:cs="Times New Roman"/>
                <w:bCs/>
                <w:iCs/>
                <w:sz w:val="20"/>
                <w:szCs w:val="20"/>
                <w:lang w:val="en-GB"/>
              </w:rPr>
              <w:t>tefan</w:t>
            </w:r>
          </w:p>
          <w:p w:rsidR="0037604E" w:rsidRPr="0037604E" w:rsidRDefault="0037604E" w:rsidP="0037604E">
            <w:pPr>
              <w:spacing w:after="0" w:line="240" w:lineRule="auto"/>
              <w:ind w:firstLine="0"/>
              <w:jc w:val="both"/>
              <w:rPr>
                <w:rFonts w:ascii="Cambria" w:eastAsia="Calibri" w:hAnsi="Cambria" w:cs="Times New Roman"/>
                <w:sz w:val="20"/>
                <w:szCs w:val="20"/>
                <w:lang w:val="en-GB"/>
              </w:rPr>
            </w:pPr>
            <w:r w:rsidRPr="0037604E">
              <w:rPr>
                <w:rFonts w:ascii="Cambria" w:eastAsia="Times New Roman" w:hAnsi="Cambria" w:cs="Times New Roman"/>
                <w:bCs/>
                <w:iCs/>
                <w:sz w:val="20"/>
                <w:szCs w:val="20"/>
                <w:lang w:val="en-GB"/>
              </w:rPr>
              <w:t>Rizoiu Andrei</w:t>
            </w:r>
            <w:r w:rsidRPr="0037604E">
              <w:rPr>
                <w:rFonts w:ascii="Cambria" w:eastAsia="Times New Roman" w:hAnsi="Cambria" w:cs="Times New Roman"/>
                <w:sz w:val="20"/>
                <w:szCs w:val="20"/>
                <w:lang w:val="en-GB"/>
              </w:rPr>
              <w:t xml:space="preserve"> </w:t>
            </w:r>
          </w:p>
        </w:tc>
      </w:tr>
    </w:tbl>
    <w:p w:rsidR="0037604E" w:rsidRPr="0037604E"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p>
    <w:p w:rsidR="0037604E" w:rsidRPr="0037604E" w:rsidRDefault="00D45179" w:rsidP="0037604E">
      <w:pPr>
        <w:keepNext/>
        <w:keepLines/>
        <w:spacing w:after="0" w:line="240" w:lineRule="auto"/>
        <w:ind w:firstLine="0"/>
        <w:jc w:val="both"/>
        <w:outlineLvl w:val="1"/>
        <w:rPr>
          <w:rFonts w:ascii="Cambria" w:eastAsia="Times New Roman" w:hAnsi="Cambria" w:cs="Times New Roman"/>
          <w:b/>
          <w:bCs/>
          <w:color w:val="002060"/>
          <w:sz w:val="24"/>
          <w:szCs w:val="24"/>
          <w:lang w:val="en-GB" w:eastAsia="ro-RO"/>
        </w:rPr>
      </w:pPr>
      <w:bookmarkStart w:id="127" w:name="_Toc446310872"/>
      <w:bookmarkStart w:id="128" w:name="_Toc445212614"/>
      <w:r>
        <w:rPr>
          <w:rFonts w:ascii="Cambria" w:eastAsia="Times New Roman" w:hAnsi="Cambria" w:cs="Times New Roman"/>
          <w:b/>
          <w:bCs/>
          <w:color w:val="002060"/>
          <w:sz w:val="24"/>
          <w:szCs w:val="24"/>
          <w:lang w:val="en-GB" w:eastAsia="ro-RO"/>
        </w:rPr>
        <w:t xml:space="preserve">Section B - </w:t>
      </w:r>
      <w:r w:rsidR="0037604E" w:rsidRPr="0037604E">
        <w:rPr>
          <w:rFonts w:ascii="Cambria" w:eastAsia="Times New Roman" w:hAnsi="Cambria" w:cs="Times New Roman"/>
          <w:b/>
          <w:bCs/>
          <w:color w:val="002060"/>
          <w:sz w:val="24"/>
          <w:szCs w:val="24"/>
          <w:lang w:val="en-GB" w:eastAsia="ro-RO"/>
        </w:rPr>
        <w:t>Information on risks and internal control</w:t>
      </w:r>
      <w:bookmarkEnd w:id="127"/>
      <w:r w:rsidR="0037604E" w:rsidRPr="0037604E">
        <w:rPr>
          <w:rFonts w:ascii="Cambria" w:eastAsia="Times New Roman" w:hAnsi="Cambria" w:cs="Times New Roman"/>
          <w:b/>
          <w:bCs/>
          <w:color w:val="002060"/>
          <w:sz w:val="24"/>
          <w:szCs w:val="24"/>
          <w:lang w:val="en-GB" w:eastAsia="ro-RO"/>
        </w:rPr>
        <w:t xml:space="preserve">  </w:t>
      </w:r>
      <w:bookmarkEnd w:id="128"/>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Within Transgaz an Audit Committee was initially established, but subsequent to the approval of the new structure of the Advisory Committees by BA decision No. 7 on 05.27.2013 the </w:t>
      </w:r>
      <w:r w:rsidRPr="0037604E">
        <w:rPr>
          <w:rFonts w:ascii="Cambria" w:eastAsia="Times New Roman" w:hAnsi="Cambria" w:cs="Times New Roman"/>
          <w:bCs/>
          <w:i/>
          <w:sz w:val="24"/>
          <w:szCs w:val="24"/>
          <w:lang w:val="en-GB" w:eastAsia="ro-RO"/>
        </w:rPr>
        <w:t>Audit and Rating Committee</w:t>
      </w:r>
      <w:r w:rsidRPr="0037604E">
        <w:rPr>
          <w:rFonts w:ascii="Cambria" w:eastAsia="Times New Roman" w:hAnsi="Cambria" w:cs="Times New Roman"/>
          <w:bCs/>
          <w:sz w:val="24"/>
          <w:szCs w:val="24"/>
          <w:lang w:val="en-GB" w:eastAsia="ro-RO"/>
        </w:rPr>
        <w:t xml:space="preserve"> was established for the regular examining of the compliance of the Rating for financial reporting, control and internal risk management system and company rating. The audit committee must be composed of at least three members and a majority of members must be independent. The Chairman of the audit committee should be an independent non-executive member. Most members, including the chairman, must be proven to be suitably qualified for the positions and responsibilities of the committee.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committee members assist and make recommendations to the Board of Administration regarding the establishment of the accounting and financial control and budgetary financial planning.</w:t>
      </w:r>
    </w:p>
    <w:p w:rsidR="0037604E" w:rsidRPr="0037604E" w:rsidRDefault="0037604E" w:rsidP="0037604E">
      <w:pPr>
        <w:tabs>
          <w:tab w:val="center" w:pos="4680"/>
          <w:tab w:val="right" w:pos="9360"/>
        </w:tabs>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tabs>
          <w:tab w:val="center" w:pos="4680"/>
          <w:tab w:val="right" w:pos="9360"/>
        </w:tabs>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Audit Committee conducts audit analyses and develops based on their audit reports, while verifying the compliance of the audit reports prepared by the audit plan approved at company level within the company there exists an Internal Audit department which is in direct subordination of the Board of Administration. It reports to the Audit and Rating Committee, quarterly, a summary of the internal audit work performed.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Committee supports the Board members in monitoring the reliability and completeness of the financial information provided by the company, in particular by reviewing the relevance and consistency of accounting standards applied by it.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Committee cooperates with the external financial audit of the company who shall provide a report which will describe all the existing relations between the latter on the one hand and the company and the group to which it belongs, on the other hand.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Audit Committee and Rating monitors the independence and fairness of the financial auditor, in particular by monitoring the rotation of partners committed to the company, </w:t>
      </w:r>
      <w:r w:rsidRPr="0037604E">
        <w:rPr>
          <w:rFonts w:ascii="Cambria" w:eastAsia="Times New Roman" w:hAnsi="Cambria" w:cs="Times New Roman"/>
          <w:bCs/>
          <w:sz w:val="24"/>
          <w:szCs w:val="24"/>
          <w:lang w:val="en-GB" w:eastAsia="ro-RO"/>
        </w:rPr>
        <w:lastRenderedPageBreak/>
        <w:t>in the audit firm and make recommendations to the Board on the selection, appointment, re-appointment, replacement of the financial auditor and the terms and conditions of its remuneration.</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
          <w:bCs/>
          <w:sz w:val="24"/>
          <w:szCs w:val="24"/>
          <w:lang w:val="en-GB" w:eastAsia="ro-RO"/>
        </w:rPr>
        <w:t>Conflict of interests</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The members of the Board of Administration must take decisions in the company’s exclusive interests and </w:t>
      </w:r>
      <w:r w:rsidRPr="0037604E">
        <w:rPr>
          <w:rFonts w:ascii="Cambria" w:eastAsia="Times New Roman" w:hAnsi="Cambria" w:cs="Times New Roman"/>
          <w:bCs/>
          <w:iCs/>
          <w:sz w:val="24"/>
          <w:szCs w:val="24"/>
          <w:lang w:val="en-GB" w:eastAsia="ro-RO"/>
        </w:rPr>
        <w:t xml:space="preserve">have the obligation to refrain from taking part in any deliberation or decision that creates a conflict between their personal interests and those of the company or any subsidiary controlled by the company. </w:t>
      </w:r>
      <w:r w:rsidRPr="0037604E">
        <w:rPr>
          <w:rFonts w:ascii="Cambria" w:eastAsia="Times New Roman" w:hAnsi="Cambria" w:cs="Times New Roman"/>
          <w:bCs/>
          <w:sz w:val="24"/>
          <w:szCs w:val="24"/>
          <w:lang w:val="en-GB" w:eastAsia="ro-RO"/>
        </w:rPr>
        <w:t xml:space="preserve"> Thus, in the meeting of the BA the </w:t>
      </w:r>
      <w:r w:rsidRPr="0037604E">
        <w:rPr>
          <w:rFonts w:ascii="Cambria" w:eastAsia="Times New Roman" w:hAnsi="Cambria" w:cs="Times New Roman"/>
          <w:bCs/>
          <w:i/>
          <w:sz w:val="24"/>
          <w:szCs w:val="24"/>
          <w:lang w:val="en-GB" w:eastAsia="ro-RO"/>
        </w:rPr>
        <w:t xml:space="preserve">Policy related to the management of conflicts of interests </w:t>
      </w:r>
      <w:r w:rsidRPr="0037604E">
        <w:rPr>
          <w:rFonts w:ascii="Cambria" w:eastAsia="Times New Roman" w:hAnsi="Cambria" w:cs="Times New Roman"/>
          <w:bCs/>
          <w:sz w:val="24"/>
          <w:szCs w:val="24"/>
          <w:lang w:val="en-GB" w:eastAsia="ro-RO"/>
        </w:rPr>
        <w:t xml:space="preserve">was endorsed in order to comply to the art A.2 of the Corporate governance code of the BSE </w:t>
      </w:r>
      <w:r w:rsidR="00D45179" w:rsidRPr="0037604E">
        <w:rPr>
          <w:rFonts w:ascii="Cambria" w:eastAsia="Times New Roman" w:hAnsi="Cambria" w:cs="Times New Roman"/>
          <w:bCs/>
          <w:sz w:val="24"/>
          <w:szCs w:val="24"/>
          <w:lang w:val="en-GB" w:eastAsia="ro-RO"/>
        </w:rPr>
        <w:t>and was</w:t>
      </w:r>
      <w:r w:rsidRPr="0037604E">
        <w:rPr>
          <w:rFonts w:asciiTheme="majorHAnsi" w:eastAsia="Times New Roman" w:hAnsiTheme="majorHAnsi" w:cs="DokChampa"/>
          <w:bCs/>
          <w:sz w:val="24"/>
          <w:szCs w:val="24"/>
          <w:lang w:val="ro-RO" w:eastAsia="ro-RO"/>
        </w:rPr>
        <w:t xml:space="preserve"> approved at Art. 2 of OGMS Resolution 4/23.06.2016.</w:t>
      </w:r>
      <w:r w:rsidRPr="0037604E">
        <w:rPr>
          <w:rFonts w:ascii="Cambria" w:eastAsia="Times New Roman" w:hAnsi="Cambria" w:cs="Times New Roman"/>
          <w:bCs/>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
          <w:bCs/>
          <w:sz w:val="24"/>
          <w:szCs w:val="24"/>
          <w:lang w:val="en-GB" w:eastAsia="ro-RO"/>
        </w:rPr>
        <w:t>Trade with the parties involved</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Each member of the Board of Administration must ensure that a direct or indirect conflict of interests with the company or a subsidiary controlled by the company is avoided, and in case such conflict arises, he/she has the obligation to refrain from deliberating or voting on the relevant issue, in accordance with the legal provisions.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For ensuring the procedural fairness of the transactions with the parties involved, the members of the Board of Administration must apply without limitation the following criteria:</w:t>
      </w:r>
    </w:p>
    <w:p w:rsidR="0037604E" w:rsidRPr="0037604E" w:rsidRDefault="0037604E" w:rsidP="00FA6EB9">
      <w:pPr>
        <w:numPr>
          <w:ilvl w:val="0"/>
          <w:numId w:val="67"/>
        </w:numPr>
        <w:spacing w:after="0" w:line="240" w:lineRule="auto"/>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maintaining of the Board of Administration’s or General Assembly of the Shareholders’ competence, as appropriate, for the approval of the most important transactions;</w:t>
      </w:r>
    </w:p>
    <w:p w:rsidR="0037604E" w:rsidRPr="0037604E" w:rsidRDefault="0037604E" w:rsidP="00FA6EB9">
      <w:pPr>
        <w:numPr>
          <w:ilvl w:val="0"/>
          <w:numId w:val="67"/>
        </w:numPr>
        <w:spacing w:after="0" w:line="240" w:lineRule="auto"/>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requiring of a prior opinion of the internal control body with regard to the most important transactions;</w:t>
      </w:r>
    </w:p>
    <w:p w:rsidR="0037604E" w:rsidRPr="0037604E" w:rsidRDefault="0037604E" w:rsidP="00FA6EB9">
      <w:pPr>
        <w:numPr>
          <w:ilvl w:val="0"/>
          <w:numId w:val="67"/>
        </w:numPr>
        <w:spacing w:after="0" w:line="240" w:lineRule="auto"/>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entrusting of the negotiations related to such transactions to one or several independent administrators or to the administrators who have no ties with the related parties;</w:t>
      </w:r>
    </w:p>
    <w:p w:rsidR="0037604E" w:rsidRPr="0037604E" w:rsidRDefault="0037604E" w:rsidP="00FA6EB9">
      <w:pPr>
        <w:numPr>
          <w:ilvl w:val="0"/>
          <w:numId w:val="63"/>
        </w:numPr>
        <w:spacing w:after="0" w:line="240" w:lineRule="auto"/>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recourse to independent experts.</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D45179"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bookmarkStart w:id="129" w:name="_Toc445212615"/>
      <w:bookmarkStart w:id="130" w:name="_Toc446310873"/>
      <w:r w:rsidRPr="00D45179">
        <w:rPr>
          <w:rFonts w:ascii="Cambria" w:eastAsia="Times New Roman" w:hAnsi="Cambria" w:cs="Times New Roman"/>
          <w:b/>
          <w:bCs/>
          <w:sz w:val="24"/>
          <w:szCs w:val="24"/>
          <w:lang w:val="en-GB" w:eastAsia="ro-RO"/>
        </w:rPr>
        <w:t>Section C – Information on remunera</w:t>
      </w:r>
      <w:bookmarkEnd w:id="129"/>
      <w:r w:rsidRPr="00D45179">
        <w:rPr>
          <w:rFonts w:ascii="Cambria" w:eastAsia="Times New Roman" w:hAnsi="Cambria" w:cs="Times New Roman"/>
          <w:b/>
          <w:bCs/>
          <w:sz w:val="24"/>
          <w:szCs w:val="24"/>
          <w:lang w:val="en-GB" w:eastAsia="ro-RO"/>
        </w:rPr>
        <w:t>tion</w:t>
      </w:r>
      <w:bookmarkEnd w:id="130"/>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company has a Nomination and Remuneration Committee which elaborates the remuneration policy for the administrators and managers created by the decision of the BA no. 7 on 27.05.2013.</w:t>
      </w:r>
    </w:p>
    <w:p w:rsidR="0037604E" w:rsidRPr="0037604E" w:rsidRDefault="0037604E" w:rsidP="0037604E">
      <w:pPr>
        <w:widowControl w:val="0"/>
        <w:spacing w:after="0" w:line="240" w:lineRule="auto"/>
        <w:ind w:firstLine="0"/>
        <w:jc w:val="both"/>
        <w:outlineLvl w:val="1"/>
        <w:rPr>
          <w:rFonts w:ascii="Cambria" w:eastAsia="Times New Roman" w:hAnsi="Cambria" w:cs="Times New Roman"/>
          <w:bCs/>
          <w:kern w:val="20"/>
          <w:sz w:val="24"/>
          <w:szCs w:val="24"/>
          <w:lang w:val="en-GB" w:eastAsia="ro-RO"/>
        </w:rPr>
      </w:pPr>
    </w:p>
    <w:p w:rsidR="0037604E" w:rsidRPr="0037604E" w:rsidRDefault="0037604E" w:rsidP="0037604E">
      <w:pPr>
        <w:widowControl w:val="0"/>
        <w:spacing w:after="0" w:line="240" w:lineRule="auto"/>
        <w:ind w:firstLine="0"/>
        <w:jc w:val="both"/>
        <w:outlineLvl w:val="1"/>
        <w:rPr>
          <w:rFonts w:ascii="Cambria" w:eastAsia="Times New Roman" w:hAnsi="Cambria" w:cs="Times New Roman"/>
          <w:bCs/>
          <w:kern w:val="20"/>
          <w:sz w:val="24"/>
          <w:szCs w:val="24"/>
          <w:lang w:val="en-GB" w:eastAsia="ro-RO"/>
        </w:rPr>
      </w:pPr>
      <w:bookmarkStart w:id="131" w:name="_Toc446310874"/>
      <w:bookmarkStart w:id="132" w:name="_Toc445212616"/>
      <w:r w:rsidRPr="0037604E">
        <w:rPr>
          <w:rFonts w:ascii="Cambria" w:eastAsia="Times New Roman" w:hAnsi="Cambria" w:cs="Times New Roman"/>
          <w:bCs/>
          <w:kern w:val="20"/>
          <w:sz w:val="24"/>
          <w:szCs w:val="24"/>
          <w:lang w:val="en-GB" w:eastAsia="ro-RO"/>
        </w:rPr>
        <w:t xml:space="preserve">The Committee shall submit proposals to the Board of Administration proposals regarding the remuneration of directors and administrators, ensuring that these proposals are consistent with the remuneration policy adopted by the company. </w:t>
      </w:r>
      <w:bookmarkEnd w:id="131"/>
    </w:p>
    <w:bookmarkEnd w:id="132"/>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remuneration of Board members consists of a fixed monthly allowance and a variable component based on performance indicators.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remuneration and other benefits offered to administrators and directors are recorded in the annual financial statements and annual report of the Nomination and Remuneration Committee.</w:t>
      </w:r>
    </w:p>
    <w:p w:rsidR="0037604E" w:rsidRPr="0037604E"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p>
    <w:p w:rsidR="0037604E" w:rsidRPr="00D45179"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bookmarkStart w:id="133" w:name="_Toc445212617"/>
      <w:bookmarkStart w:id="134" w:name="_Toc446310875"/>
      <w:r w:rsidRPr="00D45179">
        <w:rPr>
          <w:rFonts w:ascii="Cambria" w:eastAsia="Times New Roman" w:hAnsi="Cambria" w:cs="Times New Roman"/>
          <w:b/>
          <w:bCs/>
          <w:sz w:val="24"/>
          <w:szCs w:val="24"/>
          <w:lang w:val="en-GB" w:eastAsia="ro-RO"/>
        </w:rPr>
        <w:t>Section D – Informa</w:t>
      </w:r>
      <w:bookmarkEnd w:id="133"/>
      <w:r w:rsidRPr="00D45179">
        <w:rPr>
          <w:rFonts w:ascii="Cambria" w:eastAsia="Times New Roman" w:hAnsi="Cambria" w:cs="Times New Roman"/>
          <w:b/>
          <w:bCs/>
          <w:sz w:val="24"/>
          <w:szCs w:val="24"/>
          <w:lang w:val="en-GB" w:eastAsia="ro-RO"/>
        </w:rPr>
        <w:t>tion on shareholders</w:t>
      </w:r>
      <w:bookmarkEnd w:id="134"/>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All of the holders of financial instruments of the same type and class, issued by SNTGN TRANSGAZ SA, are equally treated, and the company uses its best endeavours to achieve effective, active and transparent communication for the equitable exercising of rights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All of the TRANSGAZ shareholders are equally treated. All shares issued give their holders equal rights; any modification of such rights is submitted by the affected shareholders for approval in the special assemblies of the relevant shareholders.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SNTGN TRANSGAZ SA uses its best endeavours to facilitate the participation of the shareholders in the general assemblies of the shareholders, the dialogue between the shareholders and the members of the Board of Administration and/or the management, and the full exercising of their rights.</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participation of the shareholders in the general assemblies is fully encouraged. If shareholders are not able to participate, they have the possibility to cast an absentee vote based on a special power of attorney or by correspondence.</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Considering the principles of transparency and fair information, the company has created a special link - Investor Relations - on its own website, where relevant information is made available and is permanently updated with regard to  procedures on General Assembly of the Shareholders access and participation, convening, agenda supplementation, Board of Administration replies to shareholders’ questions, current reports, financial statements of the company, the exercising of the voting rights in the General Assembly of the Shareholders, General Assembly agenda documents, special power of attorney templates, the financial calendar, the company’s corporate governance, etc..</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 xml:space="preserve">TRANSGAZ SA has established an organizational unit specialized in capital market activity administration, the </w:t>
      </w:r>
      <w:r w:rsidRPr="0037604E">
        <w:rPr>
          <w:rFonts w:ascii="Cambria" w:eastAsia="Times New Roman" w:hAnsi="Cambria" w:cs="Times New Roman"/>
          <w:bCs/>
          <w:i/>
          <w:sz w:val="24"/>
          <w:szCs w:val="24"/>
          <w:lang w:val="en-GB" w:eastAsia="ro-RO"/>
        </w:rPr>
        <w:t>Investors Relations Department</w:t>
      </w:r>
      <w:r w:rsidRPr="0037604E">
        <w:rPr>
          <w:rFonts w:ascii="Cambria" w:eastAsia="Times New Roman" w:hAnsi="Cambria" w:cs="Times New Roman"/>
          <w:bCs/>
          <w:sz w:val="24"/>
          <w:szCs w:val="24"/>
          <w:lang w:val="en-GB" w:eastAsia="ro-RO"/>
        </w:rPr>
        <w:t>,  dealing with the relationship with the investors and the shareholders. The staff of the department is permanently prepared / trained / instructed with regard to the company – shareholders relationship, the corporate governance principles, the management and the relationship with the clients.</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r w:rsidRPr="0037604E">
        <w:rPr>
          <w:rFonts w:ascii="Cambria" w:eastAsia="Times New Roman" w:hAnsi="Cambria" w:cs="Times New Roman"/>
          <w:b/>
          <w:bCs/>
          <w:sz w:val="24"/>
          <w:szCs w:val="24"/>
          <w:lang w:val="en-GB" w:eastAsia="ro-RO"/>
        </w:rPr>
        <w:t xml:space="preserve">Transparency </w:t>
      </w:r>
    </w:p>
    <w:p w:rsidR="0037604E" w:rsidRPr="0037604E" w:rsidRDefault="0037604E" w:rsidP="0037604E">
      <w:pPr>
        <w:spacing w:after="0" w:line="240" w:lineRule="auto"/>
        <w:ind w:firstLine="0"/>
        <w:jc w:val="both"/>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SNTGN TRANSGAZ SA periodically and continuously provides to the media and on the company’s website (</w:t>
      </w:r>
      <w:hyperlink r:id="rId95" w:history="1">
        <w:r w:rsidRPr="0037604E">
          <w:rPr>
            <w:rFonts w:ascii="Cambria" w:eastAsia="Times New Roman" w:hAnsi="Cambria" w:cs="Times New Roman"/>
            <w:bCs/>
            <w:color w:val="0000FF"/>
            <w:sz w:val="24"/>
            <w:szCs w:val="24"/>
            <w:u w:val="single"/>
            <w:lang w:val="en-GB" w:eastAsia="ro-RO"/>
          </w:rPr>
          <w:t>www.transgaz.ro</w:t>
        </w:r>
      </w:hyperlink>
      <w:r w:rsidRPr="0037604E">
        <w:rPr>
          <w:rFonts w:ascii="Cambria" w:eastAsia="Times New Roman" w:hAnsi="Cambria" w:cs="Times New Roman"/>
          <w:bCs/>
          <w:sz w:val="24"/>
          <w:szCs w:val="24"/>
          <w:lang w:val="en-GB" w:eastAsia="ro-RO"/>
        </w:rPr>
        <w:t>) reports on the important company events, including without limitation, the financial situation, the performance, the ownership and management.</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The company prepares and makes available relevant information periodically and continuously, meeting the requirements of the national accounting standards, the International Financial Reporting Standards and the environmental, social and corporate governance standards. Information is offered both in Romanian and in English.</w:t>
      </w: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bCs/>
          <w:sz w:val="24"/>
          <w:szCs w:val="24"/>
          <w:lang w:val="en-GB" w:eastAsia="ro-RO"/>
        </w:rPr>
        <w:t>The company holds meetings with the financial analysts, brokers, market specialists and investors twice a year, on the occasion of the presentation of the annual and semestrial financial statements, documents which are important for the investment decision.</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The general and specific strategic goals of SNTGN TRANSGAZ are aligned with the requirements of the new EU energy policy for a safe and secure energy supply, sustainable development and competitiveness.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Therefore, the implementation of the corporate governance principles and the development of the responsible and transparent business practices have become an increasing necessity in consolidating and applying the business strategies and policies of the companies.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Thus, by setting these rules, SNTGN TRANSGAZ SA intends to provide a sound company corporate governance framework.</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bookmarkStart w:id="135" w:name="_Toc445212618"/>
      <w:bookmarkStart w:id="136" w:name="_Toc446310876"/>
      <w:r w:rsidRPr="0037604E">
        <w:rPr>
          <w:rFonts w:ascii="Cambria" w:eastAsia="Times New Roman" w:hAnsi="Cambria" w:cs="Times New Roman"/>
          <w:b/>
          <w:bCs/>
          <w:sz w:val="24"/>
          <w:szCs w:val="24"/>
          <w:lang w:val="en-GB" w:eastAsia="ro-RO"/>
        </w:rPr>
        <w:t>Corporate Social Responsibility (CSR)</w:t>
      </w:r>
      <w:bookmarkEnd w:id="135"/>
      <w:bookmarkEnd w:id="136"/>
    </w:p>
    <w:p w:rsidR="0037604E" w:rsidRPr="0037604E" w:rsidRDefault="0037604E" w:rsidP="0037604E">
      <w:pPr>
        <w:keepNext/>
        <w:keepLines/>
        <w:spacing w:after="0" w:line="240" w:lineRule="auto"/>
        <w:ind w:firstLine="0"/>
        <w:jc w:val="both"/>
        <w:outlineLvl w:val="1"/>
        <w:rPr>
          <w:rFonts w:ascii="Cambria" w:eastAsia="Times New Roman" w:hAnsi="Cambria" w:cs="Times New Roman"/>
          <w:b/>
          <w:bCs/>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Cs/>
          <w:sz w:val="24"/>
          <w:szCs w:val="24"/>
          <w:lang w:val="en-GB" w:eastAsia="ro-RO"/>
        </w:rPr>
      </w:pPr>
      <w:r w:rsidRPr="0037604E">
        <w:rPr>
          <w:rFonts w:ascii="Cambria" w:eastAsia="Times New Roman" w:hAnsi="Cambria" w:cs="Times New Roman"/>
          <w:bCs/>
          <w:sz w:val="24"/>
          <w:szCs w:val="24"/>
          <w:lang w:val="en-GB" w:eastAsia="ro-RO"/>
        </w:rPr>
        <w:t>Corporate Social Responsibility is an aspect of corporate governance, through which, a series of socially responsible actions were initiated at the company level that can be quantified in terms of sustainability and sustainable performance.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SNTGN TRANSGAZ SA Mediaş,</w:t>
      </w:r>
      <w:r w:rsidRPr="0037604E">
        <w:rPr>
          <w:lang w:val="en-GB"/>
        </w:rPr>
        <w:t xml:space="preserve"> </w:t>
      </w:r>
      <w:r w:rsidRPr="0037604E">
        <w:rPr>
          <w:rFonts w:ascii="Cambria" w:eastAsia="Times New Roman" w:hAnsi="Cambria" w:cs="Times New Roman"/>
          <w:sz w:val="24"/>
          <w:szCs w:val="24"/>
          <w:lang w:val="en-GB" w:eastAsia="en-US"/>
        </w:rPr>
        <w:t>consistent with the principle of applying a responsible management in fulfilling its mission, aware of the importance of the fact that sometimes financial support for a good cause or for an important event is vital and therefore through the programs and social responsibility projects initiated it is actively involved in community life, thus demonstrating the status of "good citizen".</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The crucial role that Transgaz has in the energy field in Romania and Europe, is completed naturally with the desire to support the real needs of all those who contribute permanently to the smooth running of its business.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 xml:space="preserve">Part of TRANSGAZ’ strategy of sustainable development, </w:t>
      </w:r>
      <w:r w:rsidRPr="0037604E">
        <w:rPr>
          <w:rFonts w:ascii="Cambria" w:eastAsia="Times New Roman" w:hAnsi="Cambria" w:cs="Times New Roman"/>
          <w:i/>
          <w:sz w:val="24"/>
          <w:szCs w:val="24"/>
          <w:lang w:val="en-GB" w:eastAsia="en-US"/>
        </w:rPr>
        <w:t>the social responsibility policy</w:t>
      </w:r>
      <w:r w:rsidRPr="0037604E">
        <w:rPr>
          <w:rFonts w:ascii="Cambria" w:eastAsia="Times New Roman" w:hAnsi="Cambria" w:cs="Times New Roman"/>
          <w:sz w:val="24"/>
          <w:szCs w:val="24"/>
          <w:lang w:val="en-GB" w:eastAsia="en-US"/>
        </w:rPr>
        <w:t xml:space="preserve"> aims to increase permanently the accountability of the company to employees, shareholders, partners, community and environment impact and make efficient the social responsibility programs initiated for this purpose.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The commitment undertaken by the management of the company by "</w:t>
      </w:r>
      <w:r w:rsidRPr="0037604E">
        <w:rPr>
          <w:rFonts w:ascii="Cambria" w:eastAsia="Times New Roman" w:hAnsi="Cambria" w:cs="Times New Roman"/>
          <w:i/>
          <w:sz w:val="24"/>
          <w:szCs w:val="24"/>
          <w:lang w:val="en-GB" w:eastAsia="en-US"/>
        </w:rPr>
        <w:t>Policy Statement on integrated quality - environment management system</w:t>
      </w:r>
      <w:r w:rsidRPr="0037604E">
        <w:rPr>
          <w:rFonts w:ascii="Cambria" w:eastAsia="Times New Roman" w:hAnsi="Cambria" w:cs="Times New Roman"/>
          <w:sz w:val="24"/>
          <w:szCs w:val="24"/>
          <w:lang w:val="en-GB" w:eastAsia="en-US"/>
        </w:rPr>
        <w:t>" is a clear proof that TRANSGAZ empowers the importance of ensuring an organizational climate in which all stakeholders: employees, shareholders, customers, suppliers, community and environment can interact effectively and responsibly both economically and socially</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r w:rsidRPr="0037604E">
        <w:rPr>
          <w:rFonts w:ascii="Cambria" w:eastAsia="Times New Roman" w:hAnsi="Cambria" w:cs="Times New Roman"/>
          <w:sz w:val="24"/>
          <w:szCs w:val="24"/>
          <w:lang w:val="en-GB" w:eastAsia="en-US"/>
        </w:rPr>
        <w:t>Company policy regarding social responsibility is based on a set of principles that define the interaction between the Company on the one hand and employees, shareholders, partners, community and environment on the other.</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37604E" w:rsidRDefault="0037604E" w:rsidP="0037604E">
      <w:pPr>
        <w:spacing w:after="0" w:line="240" w:lineRule="auto"/>
        <w:ind w:right="-45" w:firstLine="0"/>
        <w:jc w:val="both"/>
        <w:rPr>
          <w:rFonts w:ascii="Cambria" w:eastAsia="Calibri" w:hAnsi="Cambria" w:cs="Times New Roman"/>
          <w:sz w:val="24"/>
          <w:szCs w:val="24"/>
          <w:lang w:val="en-GB" w:eastAsia="en-US"/>
        </w:rPr>
      </w:pPr>
      <w:r w:rsidRPr="0037604E">
        <w:rPr>
          <w:rFonts w:ascii="Cambria" w:eastAsia="Calibri" w:hAnsi="Cambria" w:cs="Times New Roman"/>
          <w:sz w:val="24"/>
          <w:szCs w:val="24"/>
          <w:lang w:val="en-GB" w:eastAsia="en-US"/>
        </w:rPr>
        <w:t xml:space="preserve">In full compliance with the principle of financial prudence and transparency, the communication actions and CSR proposed for 2016 have been rigorously designed in terms of structure and value and complied with the reporting requirements incumbent to Transgaz as issuer of securities and with the requirements related to the increase of the image and reputational capital of the company. Detailed information on social responsibility are available on Transgaz’ website at: </w:t>
      </w:r>
    </w:p>
    <w:p w:rsidR="0037604E" w:rsidRPr="0037604E" w:rsidRDefault="00BD6E82" w:rsidP="0037604E">
      <w:pPr>
        <w:spacing w:after="0" w:line="240" w:lineRule="auto"/>
        <w:ind w:right="-45" w:firstLine="0"/>
        <w:jc w:val="both"/>
        <w:rPr>
          <w:rFonts w:ascii="Cambria" w:eastAsia="Times New Roman" w:hAnsi="Cambria" w:cs="Times New Roman"/>
          <w:sz w:val="24"/>
          <w:szCs w:val="24"/>
          <w:lang w:val="en-GB" w:eastAsia="ro-RO"/>
        </w:rPr>
      </w:pPr>
      <w:hyperlink r:id="rId96" w:history="1">
        <w:r w:rsidR="0037604E" w:rsidRPr="0037604E">
          <w:rPr>
            <w:rFonts w:ascii="Cambria" w:eastAsia="Times New Roman" w:hAnsi="Cambria" w:cs="Times New Roman"/>
            <w:color w:val="0000FF"/>
            <w:sz w:val="24"/>
            <w:szCs w:val="24"/>
            <w:u w:val="single"/>
            <w:lang w:val="en-GB" w:eastAsia="ro-RO"/>
          </w:rPr>
          <w:t>http://www.transgaz.ro/responsabilitate-socială</w:t>
        </w:r>
      </w:hyperlink>
      <w:r w:rsidR="0037604E"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firstLine="0"/>
        <w:jc w:val="both"/>
        <w:rPr>
          <w:lang w:val="en-GB"/>
        </w:rPr>
      </w:pPr>
    </w:p>
    <w:p w:rsidR="0037604E" w:rsidRPr="0037604E" w:rsidRDefault="0037604E" w:rsidP="0037604E">
      <w:pPr>
        <w:spacing w:before="320" w:after="0" w:line="360" w:lineRule="auto"/>
        <w:ind w:firstLine="0"/>
        <w:outlineLvl w:val="1"/>
        <w:rPr>
          <w:rFonts w:asciiTheme="majorHAnsi" w:eastAsiaTheme="majorEastAsia" w:hAnsiTheme="majorHAnsi" w:cstheme="majorBidi"/>
          <w:b/>
          <w:bCs/>
          <w:iCs/>
          <w:sz w:val="28"/>
          <w:szCs w:val="28"/>
          <w:lang w:val="en-GB"/>
        </w:rPr>
      </w:pPr>
      <w:bookmarkStart w:id="137" w:name="_Toc414263642"/>
      <w:bookmarkStart w:id="138" w:name="_Toc446310877"/>
      <w:r w:rsidRPr="0037604E">
        <w:rPr>
          <w:rFonts w:asciiTheme="majorHAnsi" w:eastAsiaTheme="majorEastAsia" w:hAnsiTheme="majorHAnsi" w:cstheme="majorBidi"/>
          <w:b/>
          <w:bCs/>
          <w:iCs/>
          <w:sz w:val="28"/>
          <w:szCs w:val="28"/>
          <w:lang w:val="en-GB"/>
        </w:rPr>
        <w:t>3.4 Ana</w:t>
      </w:r>
      <w:bookmarkEnd w:id="137"/>
      <w:r w:rsidRPr="0037604E">
        <w:rPr>
          <w:rFonts w:asciiTheme="majorHAnsi" w:eastAsiaTheme="majorEastAsia" w:hAnsiTheme="majorHAnsi" w:cstheme="majorBidi"/>
          <w:b/>
          <w:bCs/>
          <w:iCs/>
          <w:sz w:val="28"/>
          <w:szCs w:val="28"/>
          <w:lang w:val="en-GB"/>
        </w:rPr>
        <w:t>lysis of the financial activity</w:t>
      </w:r>
      <w:bookmarkEnd w:id="138"/>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hd w:val="clear" w:color="auto" w:fill="DBE5F1" w:themeFill="accent1" w:themeFillTint="33"/>
        <w:spacing w:after="0" w:line="240" w:lineRule="auto"/>
        <w:ind w:firstLine="0"/>
        <w:outlineLvl w:val="2"/>
        <w:rPr>
          <w:rFonts w:ascii="Cambria" w:eastAsia="Times New Roman" w:hAnsi="Cambria" w:cstheme="majorBidi"/>
          <w:b/>
          <w:bCs/>
          <w:iCs/>
          <w:sz w:val="24"/>
          <w:szCs w:val="24"/>
          <w:lang w:val="en-GB" w:eastAsia="ro-RO"/>
        </w:rPr>
      </w:pPr>
      <w:bookmarkStart w:id="139" w:name="_Toc414263643"/>
      <w:bookmarkStart w:id="140" w:name="_Toc446310878"/>
      <w:r w:rsidRPr="0037604E">
        <w:rPr>
          <w:rFonts w:ascii="Cambria" w:eastAsia="Times New Roman" w:hAnsi="Cambria" w:cstheme="majorBidi"/>
          <w:b/>
          <w:bCs/>
          <w:iCs/>
          <w:sz w:val="24"/>
          <w:szCs w:val="24"/>
          <w:lang w:val="en-GB" w:eastAsia="ro-RO"/>
        </w:rPr>
        <w:t xml:space="preserve">3.4.1 </w:t>
      </w:r>
      <w:bookmarkEnd w:id="139"/>
      <w:r w:rsidRPr="0037604E">
        <w:rPr>
          <w:rFonts w:ascii="Cambria" w:eastAsia="Times New Roman" w:hAnsi="Cambria" w:cstheme="majorBidi"/>
          <w:b/>
          <w:bCs/>
          <w:iCs/>
          <w:sz w:val="24"/>
          <w:szCs w:val="24"/>
          <w:lang w:val="en-GB" w:eastAsia="ro-RO"/>
        </w:rPr>
        <w:t>Financial standing</w:t>
      </w:r>
      <w:bookmarkEnd w:id="140"/>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hAnsi="Cambria"/>
          <w:bCs/>
          <w:color w:val="000000"/>
          <w:sz w:val="24"/>
          <w:szCs w:val="24"/>
          <w:lang w:val="en-GB"/>
        </w:rPr>
      </w:pPr>
      <w:r w:rsidRPr="0037604E">
        <w:rPr>
          <w:rFonts w:ascii="Cambria" w:hAnsi="Cambria"/>
          <w:color w:val="000000"/>
          <w:sz w:val="24"/>
          <w:szCs w:val="24"/>
          <w:lang w:val="en-GB"/>
        </w:rPr>
        <w:t xml:space="preserve">According to article 1 of the Order of the Ministry of Public Finance no. </w:t>
      </w:r>
      <w:r w:rsidRPr="0037604E">
        <w:rPr>
          <w:rFonts w:ascii="Cambria" w:hAnsi="Cambria"/>
          <w:bCs/>
          <w:color w:val="000000"/>
          <w:sz w:val="24"/>
          <w:szCs w:val="24"/>
          <w:lang w:val="en-GB"/>
        </w:rPr>
        <w:t xml:space="preserve">881/25 June 2012 </w:t>
      </w:r>
      <w:r w:rsidRPr="0037604E">
        <w:rPr>
          <w:rFonts w:ascii="Cambria" w:hAnsi="Cambria"/>
          <w:bCs/>
          <w:i/>
          <w:color w:val="000000"/>
          <w:sz w:val="24"/>
          <w:szCs w:val="24"/>
          <w:lang w:val="en-GB"/>
        </w:rPr>
        <w:t xml:space="preserve">on the application of the International Financial Reporting Standards by companies having securities admitted to trading on a regulated market, </w:t>
      </w:r>
      <w:r w:rsidRPr="0037604E">
        <w:rPr>
          <w:rFonts w:ascii="Cambria" w:hAnsi="Cambria"/>
          <w:bCs/>
          <w:color w:val="000000"/>
          <w:sz w:val="24"/>
          <w:szCs w:val="24"/>
          <w:lang w:val="en-GB"/>
        </w:rPr>
        <w:t>starting with</w:t>
      </w:r>
      <w:r w:rsidRPr="0037604E">
        <w:rPr>
          <w:rFonts w:ascii="Cambria" w:hAnsi="Cambria"/>
          <w:bCs/>
          <w:i/>
          <w:color w:val="000000"/>
          <w:sz w:val="24"/>
          <w:szCs w:val="24"/>
          <w:lang w:val="en-GB"/>
        </w:rPr>
        <w:t xml:space="preserve"> </w:t>
      </w:r>
      <w:r w:rsidRPr="0037604E">
        <w:rPr>
          <w:rFonts w:ascii="Cambria" w:hAnsi="Cambria"/>
          <w:bCs/>
          <w:color w:val="000000"/>
          <w:sz w:val="24"/>
          <w:szCs w:val="24"/>
          <w:lang w:val="en-GB"/>
        </w:rPr>
        <w:t xml:space="preserve">the financial year 2012, the companies having securities admitted to trading on a regulated market are obliged to apply the International Financial Reporting Standards </w:t>
      </w:r>
      <w:r w:rsidRPr="0037604E">
        <w:rPr>
          <w:rFonts w:ascii="Cambria" w:hAnsi="Cambria"/>
          <w:bCs/>
          <w:i/>
          <w:color w:val="000000"/>
          <w:sz w:val="24"/>
          <w:szCs w:val="24"/>
          <w:lang w:val="en-GB"/>
        </w:rPr>
        <w:t xml:space="preserve">(IFRS) </w:t>
      </w:r>
      <w:r w:rsidRPr="0037604E">
        <w:rPr>
          <w:rFonts w:ascii="Cambria" w:hAnsi="Cambria"/>
          <w:bCs/>
          <w:color w:val="000000"/>
          <w:sz w:val="24"/>
          <w:szCs w:val="24"/>
          <w:lang w:val="en-GB"/>
        </w:rPr>
        <w:t>upon preparation of the individual annual financial statements.</w:t>
      </w:r>
    </w:p>
    <w:p w:rsidR="0037604E" w:rsidRPr="0037604E" w:rsidRDefault="0037604E" w:rsidP="0037604E">
      <w:pPr>
        <w:spacing w:after="0" w:line="240" w:lineRule="auto"/>
        <w:ind w:firstLine="0"/>
        <w:jc w:val="both"/>
        <w:rPr>
          <w:rFonts w:ascii="Cambria" w:eastAsia="Times New Roman" w:hAnsi="Cambria" w:cs="Times New Roman"/>
          <w:color w:val="000000"/>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As at 31.12.2016, the company’s financial standing is as follows:</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tbl>
      <w:tblPr>
        <w:tblW w:w="9809"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1989"/>
        <w:gridCol w:w="1099"/>
        <w:gridCol w:w="1228"/>
        <w:gridCol w:w="1268"/>
        <w:gridCol w:w="1278"/>
        <w:gridCol w:w="742"/>
        <w:gridCol w:w="742"/>
        <w:gridCol w:w="742"/>
        <w:gridCol w:w="696"/>
        <w:gridCol w:w="65"/>
      </w:tblGrid>
      <w:tr w:rsidR="009727A3" w:rsidRPr="0037604E" w:rsidTr="003C54A6">
        <w:trPr>
          <w:gridAfter w:val="1"/>
          <w:wAfter w:w="5" w:type="dxa"/>
          <w:trHeight w:val="690"/>
          <w:tblCellSpacing w:w="20" w:type="dxa"/>
          <w:jc w:val="center"/>
        </w:trPr>
        <w:tc>
          <w:tcPr>
            <w:tcW w:w="1919" w:type="dxa"/>
            <w:vMerge w:val="restart"/>
            <w:shd w:val="clear" w:color="auto" w:fill="DBE5F1" w:themeFill="accent1" w:themeFillTint="33"/>
            <w:noWrap/>
            <w:vAlign w:val="center"/>
            <w:hideMark/>
          </w:tcPr>
          <w:p w:rsidR="009727A3" w:rsidRPr="0037604E" w:rsidRDefault="009727A3" w:rsidP="0037604E">
            <w:pPr>
              <w:spacing w:after="0" w:line="240" w:lineRule="auto"/>
              <w:jc w:val="both"/>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Name of indicator</w:t>
            </w:r>
          </w:p>
        </w:tc>
        <w:tc>
          <w:tcPr>
            <w:tcW w:w="1059"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31.12.2016</w:t>
            </w:r>
          </w:p>
        </w:tc>
        <w:tc>
          <w:tcPr>
            <w:tcW w:w="1178" w:type="dxa"/>
            <w:shd w:val="clear" w:color="auto" w:fill="DBE5F1" w:themeFill="accent1" w:themeFillTint="33"/>
            <w:noWrap/>
            <w:vAlign w:val="center"/>
            <w:hideMark/>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31.12.2015</w:t>
            </w:r>
          </w:p>
        </w:tc>
        <w:tc>
          <w:tcPr>
            <w:tcW w:w="1218" w:type="dxa"/>
            <w:shd w:val="clear" w:color="auto" w:fill="DBE5F1" w:themeFill="accent1" w:themeFillTint="33"/>
            <w:noWrap/>
            <w:vAlign w:val="center"/>
            <w:hideMark/>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31.12.2014</w:t>
            </w:r>
          </w:p>
        </w:tc>
        <w:tc>
          <w:tcPr>
            <w:tcW w:w="1228" w:type="dxa"/>
            <w:shd w:val="clear" w:color="auto" w:fill="DBE5F1" w:themeFill="accent1" w:themeFillTint="33"/>
            <w:noWrap/>
            <w:vAlign w:val="center"/>
            <w:hideMark/>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31.12.2013</w:t>
            </w:r>
          </w:p>
        </w:tc>
        <w:tc>
          <w:tcPr>
            <w:tcW w:w="2882" w:type="dxa"/>
            <w:gridSpan w:val="4"/>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Dinamica (%)</w:t>
            </w:r>
          </w:p>
        </w:tc>
      </w:tr>
      <w:tr w:rsidR="009727A3" w:rsidRPr="0037604E" w:rsidTr="003C54A6">
        <w:trPr>
          <w:trHeight w:val="270"/>
          <w:tblCellSpacing w:w="20" w:type="dxa"/>
          <w:jc w:val="center"/>
        </w:trPr>
        <w:tc>
          <w:tcPr>
            <w:tcW w:w="1919" w:type="dxa"/>
            <w:vMerge/>
            <w:shd w:val="clear" w:color="auto" w:fill="DBE5F1" w:themeFill="accent1" w:themeFillTint="33"/>
            <w:vAlign w:val="center"/>
            <w:hideMark/>
          </w:tcPr>
          <w:p w:rsidR="009727A3" w:rsidRPr="0037604E" w:rsidRDefault="009727A3" w:rsidP="0037604E">
            <w:pPr>
              <w:spacing w:after="0" w:line="240" w:lineRule="auto"/>
              <w:rPr>
                <w:rFonts w:asciiTheme="majorHAnsi" w:eastAsia="Times New Roman" w:hAnsiTheme="majorHAnsi" w:cs="Arial"/>
                <w:b/>
                <w:bCs/>
                <w:sz w:val="16"/>
                <w:szCs w:val="16"/>
                <w:lang w:val="en-GB" w:eastAsia="ro-RO"/>
              </w:rPr>
            </w:pPr>
          </w:p>
        </w:tc>
        <w:tc>
          <w:tcPr>
            <w:tcW w:w="1059" w:type="dxa"/>
            <w:shd w:val="clear" w:color="auto" w:fill="DBE5F1" w:themeFill="accent1" w:themeFillTint="33"/>
            <w:vAlign w:val="center"/>
          </w:tcPr>
          <w:p w:rsidR="009727A3" w:rsidRPr="009809FF" w:rsidRDefault="009727A3" w:rsidP="009727A3">
            <w:pPr>
              <w:spacing w:after="0" w:line="240" w:lineRule="auto"/>
              <w:ind w:firstLine="0"/>
              <w:jc w:val="right"/>
              <w:rPr>
                <w:rFonts w:ascii="Cambria" w:eastAsia="Times New Roman" w:hAnsi="Cambria" w:cs="Times New Roman"/>
                <w:b/>
                <w:bCs/>
                <w:color w:val="000000"/>
                <w:sz w:val="16"/>
                <w:szCs w:val="16"/>
                <w:lang w:eastAsia="en-US"/>
              </w:rPr>
            </w:pPr>
            <w:r w:rsidRPr="0037604E">
              <w:rPr>
                <w:rFonts w:asciiTheme="majorHAnsi" w:eastAsia="Times New Roman" w:hAnsiTheme="majorHAnsi" w:cs="Arial"/>
                <w:b/>
                <w:bCs/>
                <w:sz w:val="16"/>
                <w:szCs w:val="16"/>
                <w:lang w:val="en-GB" w:eastAsia="ro-RO"/>
              </w:rPr>
              <w:t>RON thousand</w:t>
            </w:r>
          </w:p>
        </w:tc>
        <w:tc>
          <w:tcPr>
            <w:tcW w:w="1178" w:type="dxa"/>
            <w:shd w:val="clear" w:color="auto" w:fill="DBE5F1" w:themeFill="accent1" w:themeFillTint="33"/>
            <w:noWrap/>
            <w:vAlign w:val="center"/>
            <w:hideMark/>
          </w:tcPr>
          <w:p w:rsidR="009727A3" w:rsidRPr="0037604E" w:rsidRDefault="009727A3" w:rsidP="0037604E">
            <w:pPr>
              <w:spacing w:after="0" w:line="240" w:lineRule="auto"/>
              <w:ind w:firstLine="0"/>
              <w:jc w:val="center"/>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RON thousand</w:t>
            </w:r>
          </w:p>
        </w:tc>
        <w:tc>
          <w:tcPr>
            <w:tcW w:w="1218"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RON thousand</w:t>
            </w:r>
          </w:p>
        </w:tc>
        <w:tc>
          <w:tcPr>
            <w:tcW w:w="1228"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RON thousand</w:t>
            </w:r>
          </w:p>
        </w:tc>
        <w:tc>
          <w:tcPr>
            <w:tcW w:w="702"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 </w:t>
            </w:r>
          </w:p>
        </w:tc>
        <w:tc>
          <w:tcPr>
            <w:tcW w:w="702" w:type="dxa"/>
            <w:shd w:val="clear" w:color="auto" w:fill="DBE5F1" w:themeFill="accent1" w:themeFillTint="33"/>
            <w:vAlign w:val="center"/>
          </w:tcPr>
          <w:p w:rsidR="009727A3" w:rsidRPr="009809FF" w:rsidRDefault="009727A3" w:rsidP="001C15B8">
            <w:pPr>
              <w:spacing w:after="0" w:line="240" w:lineRule="auto"/>
              <w:ind w:firstLine="0"/>
              <w:rPr>
                <w:rFonts w:ascii="Calibri" w:eastAsia="Times New Roman" w:hAnsi="Calibri" w:cs="Times New Roman"/>
                <w:color w:val="000000"/>
                <w:sz w:val="16"/>
                <w:szCs w:val="16"/>
                <w:lang w:eastAsia="en-US"/>
              </w:rPr>
            </w:pPr>
            <w:r w:rsidRPr="009809FF">
              <w:rPr>
                <w:rFonts w:ascii="Calibri" w:eastAsia="Times New Roman" w:hAnsi="Calibri" w:cs="Times New Roman"/>
                <w:color w:val="000000"/>
                <w:sz w:val="16"/>
                <w:szCs w:val="16"/>
                <w:lang w:eastAsia="en-US"/>
              </w:rPr>
              <w:t> </w:t>
            </w:r>
          </w:p>
        </w:tc>
        <w:tc>
          <w:tcPr>
            <w:tcW w:w="702" w:type="dxa"/>
            <w:shd w:val="clear" w:color="auto" w:fill="DBE5F1" w:themeFill="accent1" w:themeFillTint="33"/>
            <w:vAlign w:val="center"/>
          </w:tcPr>
          <w:p w:rsidR="009727A3" w:rsidRPr="009809FF" w:rsidRDefault="009727A3" w:rsidP="001C15B8">
            <w:pPr>
              <w:spacing w:after="0" w:line="240" w:lineRule="auto"/>
              <w:ind w:firstLine="0"/>
              <w:rPr>
                <w:rFonts w:ascii="Calibri" w:eastAsia="Times New Roman" w:hAnsi="Calibri" w:cs="Times New Roman"/>
                <w:color w:val="000000"/>
                <w:sz w:val="16"/>
                <w:szCs w:val="16"/>
                <w:lang w:eastAsia="en-US"/>
              </w:rPr>
            </w:pPr>
            <w:r w:rsidRPr="009809FF">
              <w:rPr>
                <w:rFonts w:ascii="Calibri" w:eastAsia="Times New Roman" w:hAnsi="Calibri" w:cs="Times New Roman"/>
                <w:color w:val="000000"/>
                <w:sz w:val="16"/>
                <w:szCs w:val="16"/>
                <w:lang w:eastAsia="en-US"/>
              </w:rPr>
              <w:t> </w:t>
            </w:r>
          </w:p>
        </w:tc>
        <w:tc>
          <w:tcPr>
            <w:tcW w:w="701" w:type="dxa"/>
            <w:gridSpan w:val="2"/>
            <w:shd w:val="clear" w:color="auto" w:fill="DBE5F1" w:themeFill="accent1" w:themeFillTint="33"/>
            <w:vAlign w:val="center"/>
          </w:tcPr>
          <w:p w:rsidR="009727A3" w:rsidRPr="009809FF" w:rsidRDefault="009727A3" w:rsidP="001C15B8">
            <w:pPr>
              <w:spacing w:after="0" w:line="240" w:lineRule="auto"/>
              <w:ind w:firstLine="0"/>
              <w:rPr>
                <w:rFonts w:ascii="Calibri" w:eastAsia="Times New Roman" w:hAnsi="Calibri" w:cs="Times New Roman"/>
                <w:color w:val="000000"/>
                <w:sz w:val="16"/>
                <w:szCs w:val="16"/>
                <w:lang w:eastAsia="en-US"/>
              </w:rPr>
            </w:pPr>
            <w:r w:rsidRPr="009809FF">
              <w:rPr>
                <w:rFonts w:ascii="Calibri" w:eastAsia="Times New Roman" w:hAnsi="Calibri" w:cs="Times New Roman"/>
                <w:color w:val="000000"/>
                <w:sz w:val="16"/>
                <w:szCs w:val="16"/>
                <w:lang w:eastAsia="en-US"/>
              </w:rPr>
              <w:t> </w:t>
            </w:r>
          </w:p>
        </w:tc>
      </w:tr>
      <w:tr w:rsidR="009727A3" w:rsidRPr="0037604E" w:rsidTr="003C54A6">
        <w:trPr>
          <w:trHeight w:val="315"/>
          <w:tblCellSpacing w:w="20" w:type="dxa"/>
          <w:jc w:val="center"/>
        </w:trPr>
        <w:tc>
          <w:tcPr>
            <w:tcW w:w="1919"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0</w:t>
            </w:r>
          </w:p>
        </w:tc>
        <w:tc>
          <w:tcPr>
            <w:tcW w:w="1059"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w:t>
            </w:r>
          </w:p>
        </w:tc>
        <w:tc>
          <w:tcPr>
            <w:tcW w:w="1178"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2</w:t>
            </w:r>
          </w:p>
        </w:tc>
        <w:tc>
          <w:tcPr>
            <w:tcW w:w="1218"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3</w:t>
            </w:r>
          </w:p>
        </w:tc>
        <w:tc>
          <w:tcPr>
            <w:tcW w:w="1228" w:type="dxa"/>
            <w:shd w:val="clear" w:color="auto" w:fill="DBE5F1" w:themeFill="accent1" w:themeFillTint="33"/>
            <w:noWrap/>
            <w:vAlign w:val="center"/>
            <w:hideMark/>
          </w:tcPr>
          <w:p w:rsidR="009727A3" w:rsidRPr="0037604E" w:rsidRDefault="009727A3" w:rsidP="0037604E">
            <w:pPr>
              <w:spacing w:after="0" w:line="240" w:lineRule="auto"/>
              <w:jc w:val="center"/>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4</w:t>
            </w:r>
          </w:p>
        </w:tc>
        <w:tc>
          <w:tcPr>
            <w:tcW w:w="702"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5=1/2</w:t>
            </w:r>
          </w:p>
        </w:tc>
        <w:tc>
          <w:tcPr>
            <w:tcW w:w="702"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6=2/3</w:t>
            </w:r>
          </w:p>
        </w:tc>
        <w:tc>
          <w:tcPr>
            <w:tcW w:w="702" w:type="dxa"/>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7=3/4</w:t>
            </w:r>
          </w:p>
        </w:tc>
        <w:tc>
          <w:tcPr>
            <w:tcW w:w="701" w:type="dxa"/>
            <w:gridSpan w:val="2"/>
            <w:shd w:val="clear" w:color="auto" w:fill="DBE5F1" w:themeFill="accent1" w:themeFillTint="33"/>
            <w:vAlign w:val="center"/>
          </w:tcPr>
          <w:p w:rsidR="009727A3" w:rsidRPr="009809FF" w:rsidRDefault="009727A3" w:rsidP="001C15B8">
            <w:pPr>
              <w:spacing w:after="0" w:line="240" w:lineRule="auto"/>
              <w:ind w:firstLine="0"/>
              <w:jc w:val="center"/>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8=1/4</w:t>
            </w:r>
          </w:p>
        </w:tc>
      </w:tr>
      <w:tr w:rsidR="009727A3" w:rsidRPr="0037604E" w:rsidTr="003C54A6">
        <w:trPr>
          <w:trHeight w:val="227"/>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jc w:val="both"/>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Intangible assets</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2.583.473</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2.606.655</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2.534.880</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2.533.955</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99,11</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102,83</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100,04</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102,87</w:t>
            </w:r>
          </w:p>
        </w:tc>
      </w:tr>
      <w:tr w:rsidR="009727A3" w:rsidRPr="0037604E" w:rsidTr="003C54A6">
        <w:trPr>
          <w:trHeight w:val="227"/>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Tangible assets</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588.078</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627.740</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654.840</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694.971</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93,68</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95,86</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94,23</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90,33</w:t>
            </w:r>
          </w:p>
        </w:tc>
      </w:tr>
      <w:tr w:rsidR="009727A3" w:rsidRPr="0037604E" w:rsidTr="003C54A6">
        <w:trPr>
          <w:trHeight w:val="407"/>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Financial assets available for sale</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0</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0</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0</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5.953</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0,00</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0,00</w:t>
            </w:r>
          </w:p>
        </w:tc>
      </w:tr>
      <w:tr w:rsidR="003C54A6" w:rsidRPr="0037604E" w:rsidTr="003C54A6">
        <w:trPr>
          <w:trHeight w:val="290"/>
          <w:tblCellSpacing w:w="20" w:type="dxa"/>
          <w:jc w:val="center"/>
        </w:trPr>
        <w:tc>
          <w:tcPr>
            <w:tcW w:w="1919" w:type="dxa"/>
            <w:shd w:val="clear" w:color="auto" w:fill="auto"/>
            <w:noWrap/>
            <w:vAlign w:val="bottom"/>
            <w:hideMark/>
          </w:tcPr>
          <w:p w:rsidR="003C54A6" w:rsidRPr="0037604E" w:rsidRDefault="003C54A6"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Long term receivables</w:t>
            </w:r>
          </w:p>
        </w:tc>
        <w:tc>
          <w:tcPr>
            <w:tcW w:w="1059" w:type="dxa"/>
            <w:vAlign w:val="center"/>
          </w:tcPr>
          <w:p w:rsidR="003C54A6" w:rsidRPr="009809FF" w:rsidRDefault="003C54A6" w:rsidP="00F21009">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626.40</w:t>
            </w:r>
            <w:r>
              <w:rPr>
                <w:rFonts w:ascii="Cambria" w:eastAsia="Times New Roman" w:hAnsi="Cambria" w:cs="Times New Roman"/>
                <w:color w:val="000000"/>
                <w:sz w:val="16"/>
                <w:szCs w:val="16"/>
                <w:lang w:eastAsia="en-US"/>
              </w:rPr>
              <w:t>3</w:t>
            </w:r>
          </w:p>
        </w:tc>
        <w:tc>
          <w:tcPr>
            <w:tcW w:w="117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579.723</w:t>
            </w:r>
          </w:p>
        </w:tc>
        <w:tc>
          <w:tcPr>
            <w:tcW w:w="121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539.216</w:t>
            </w:r>
          </w:p>
        </w:tc>
        <w:tc>
          <w:tcPr>
            <w:tcW w:w="122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0</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108,05</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107,51</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x</w:t>
            </w:r>
          </w:p>
        </w:tc>
        <w:tc>
          <w:tcPr>
            <w:tcW w:w="701" w:type="dxa"/>
            <w:gridSpan w:val="2"/>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x</w:t>
            </w:r>
          </w:p>
        </w:tc>
      </w:tr>
      <w:tr w:rsidR="003C54A6" w:rsidRPr="0037604E" w:rsidTr="003C54A6">
        <w:trPr>
          <w:trHeight w:val="308"/>
          <w:tblCellSpacing w:w="20" w:type="dxa"/>
          <w:jc w:val="center"/>
        </w:trPr>
        <w:tc>
          <w:tcPr>
            <w:tcW w:w="1919" w:type="dxa"/>
            <w:shd w:val="clear" w:color="auto" w:fill="auto"/>
            <w:noWrap/>
            <w:vAlign w:val="center"/>
            <w:hideMark/>
          </w:tcPr>
          <w:p w:rsidR="003C54A6" w:rsidRPr="0037604E" w:rsidRDefault="003C54A6"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Fixed assets</w:t>
            </w:r>
          </w:p>
        </w:tc>
        <w:tc>
          <w:tcPr>
            <w:tcW w:w="1059" w:type="dxa"/>
            <w:vAlign w:val="center"/>
          </w:tcPr>
          <w:p w:rsidR="003C54A6" w:rsidRPr="009809FF" w:rsidRDefault="003C54A6" w:rsidP="00F21009">
            <w:pPr>
              <w:spacing w:after="0" w:line="240" w:lineRule="auto"/>
              <w:ind w:firstLine="0"/>
              <w:jc w:val="right"/>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3.797.95</w:t>
            </w:r>
            <w:r>
              <w:rPr>
                <w:rFonts w:ascii="Cambria" w:eastAsia="Times New Roman" w:hAnsi="Cambria" w:cs="Times New Roman"/>
                <w:b/>
                <w:bCs/>
                <w:color w:val="000000"/>
                <w:sz w:val="16"/>
                <w:szCs w:val="16"/>
                <w:lang w:eastAsia="en-US"/>
              </w:rPr>
              <w:t>4</w:t>
            </w:r>
          </w:p>
        </w:tc>
        <w:tc>
          <w:tcPr>
            <w:tcW w:w="117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3.814.118</w:t>
            </w:r>
          </w:p>
        </w:tc>
        <w:tc>
          <w:tcPr>
            <w:tcW w:w="121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3.728.936</w:t>
            </w:r>
          </w:p>
        </w:tc>
        <w:tc>
          <w:tcPr>
            <w:tcW w:w="122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3.234.879</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99,58</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102,28</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115,27</w:t>
            </w:r>
          </w:p>
        </w:tc>
        <w:tc>
          <w:tcPr>
            <w:tcW w:w="701" w:type="dxa"/>
            <w:gridSpan w:val="2"/>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117,91</w:t>
            </w:r>
          </w:p>
        </w:tc>
      </w:tr>
      <w:tr w:rsidR="009727A3" w:rsidRPr="0037604E" w:rsidTr="003C54A6">
        <w:trPr>
          <w:trHeight w:val="227"/>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inventories</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83.715</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73.992</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36.645</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34.054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113,14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201,92</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107,61</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217,27</w:t>
            </w:r>
          </w:p>
        </w:tc>
      </w:tr>
      <w:tr w:rsidR="003C54A6" w:rsidRPr="0037604E" w:rsidTr="003C54A6">
        <w:trPr>
          <w:trHeight w:val="245"/>
          <w:tblCellSpacing w:w="20" w:type="dxa"/>
          <w:jc w:val="center"/>
        </w:trPr>
        <w:tc>
          <w:tcPr>
            <w:tcW w:w="1919" w:type="dxa"/>
            <w:shd w:val="clear" w:color="auto" w:fill="auto"/>
            <w:noWrap/>
            <w:vAlign w:val="center"/>
            <w:hideMark/>
          </w:tcPr>
          <w:p w:rsidR="003C54A6" w:rsidRPr="0037604E" w:rsidRDefault="003C54A6"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Trade and other receivables</w:t>
            </w:r>
          </w:p>
        </w:tc>
        <w:tc>
          <w:tcPr>
            <w:tcW w:w="1059" w:type="dxa"/>
            <w:vAlign w:val="center"/>
          </w:tcPr>
          <w:p w:rsidR="003C54A6" w:rsidRPr="009809FF" w:rsidRDefault="003C54A6" w:rsidP="00F21009">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523.48</w:t>
            </w:r>
            <w:r>
              <w:rPr>
                <w:rFonts w:ascii="Cambria" w:eastAsia="Times New Roman" w:hAnsi="Cambria" w:cs="Times New Roman"/>
                <w:color w:val="000000"/>
                <w:sz w:val="16"/>
                <w:szCs w:val="16"/>
                <w:lang w:eastAsia="en-US"/>
              </w:rPr>
              <w:t>8</w:t>
            </w:r>
          </w:p>
        </w:tc>
        <w:tc>
          <w:tcPr>
            <w:tcW w:w="117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362.527</w:t>
            </w:r>
          </w:p>
        </w:tc>
        <w:tc>
          <w:tcPr>
            <w:tcW w:w="121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401.552</w:t>
            </w:r>
          </w:p>
        </w:tc>
        <w:tc>
          <w:tcPr>
            <w:tcW w:w="1228" w:type="dxa"/>
            <w:shd w:val="clear" w:color="auto" w:fill="auto"/>
            <w:noWrap/>
            <w:vAlign w:val="center"/>
            <w:hideMark/>
          </w:tcPr>
          <w:p w:rsidR="003C54A6" w:rsidRPr="0037604E" w:rsidRDefault="003C54A6"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398.893</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144,40</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90,28</w:t>
            </w:r>
          </w:p>
        </w:tc>
        <w:tc>
          <w:tcPr>
            <w:tcW w:w="702" w:type="dxa"/>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100,67</w:t>
            </w:r>
          </w:p>
        </w:tc>
        <w:tc>
          <w:tcPr>
            <w:tcW w:w="701" w:type="dxa"/>
            <w:gridSpan w:val="2"/>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90,88</w:t>
            </w:r>
          </w:p>
        </w:tc>
      </w:tr>
      <w:tr w:rsidR="009727A3" w:rsidRPr="0037604E" w:rsidTr="003C54A6">
        <w:trPr>
          <w:trHeight w:val="272"/>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Cash and bank accounts</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949.293</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700.798</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557.868</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267.262</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135,46</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125,62</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208,73</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262,21</w:t>
            </w:r>
          </w:p>
        </w:tc>
      </w:tr>
      <w:tr w:rsidR="003C54A6" w:rsidRPr="0037604E" w:rsidTr="003C54A6">
        <w:trPr>
          <w:trHeight w:val="227"/>
          <w:tblCellSpacing w:w="20" w:type="dxa"/>
          <w:jc w:val="center"/>
        </w:trPr>
        <w:tc>
          <w:tcPr>
            <w:tcW w:w="1919" w:type="dxa"/>
            <w:shd w:val="clear" w:color="auto" w:fill="auto"/>
            <w:noWrap/>
            <w:vAlign w:val="center"/>
            <w:hideMark/>
          </w:tcPr>
          <w:p w:rsidR="003C54A6" w:rsidRPr="0037604E" w:rsidRDefault="003C54A6"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Current assets –TOTAL</w:t>
            </w:r>
          </w:p>
        </w:tc>
        <w:tc>
          <w:tcPr>
            <w:tcW w:w="1059" w:type="dxa"/>
            <w:vAlign w:val="center"/>
          </w:tcPr>
          <w:p w:rsidR="003C54A6" w:rsidRPr="009809FF" w:rsidRDefault="003C54A6" w:rsidP="00F21009">
            <w:pPr>
              <w:spacing w:after="0" w:line="240" w:lineRule="auto"/>
              <w:ind w:firstLine="0"/>
              <w:jc w:val="right"/>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1.556.49</w:t>
            </w:r>
            <w:r>
              <w:rPr>
                <w:rFonts w:ascii="Cambria" w:eastAsia="Times New Roman" w:hAnsi="Cambria" w:cs="Times New Roman"/>
                <w:b/>
                <w:bCs/>
                <w:color w:val="000000"/>
                <w:sz w:val="16"/>
                <w:szCs w:val="16"/>
                <w:lang w:eastAsia="en-US"/>
              </w:rPr>
              <w:t>6</w:t>
            </w:r>
          </w:p>
        </w:tc>
        <w:tc>
          <w:tcPr>
            <w:tcW w:w="117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1.137.316</w:t>
            </w:r>
          </w:p>
        </w:tc>
        <w:tc>
          <w:tcPr>
            <w:tcW w:w="121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996.065</w:t>
            </w:r>
          </w:p>
        </w:tc>
        <w:tc>
          <w:tcPr>
            <w:tcW w:w="1228" w:type="dxa"/>
            <w:shd w:val="clear" w:color="auto" w:fill="D6E0F4"/>
            <w:noWrap/>
            <w:vAlign w:val="center"/>
            <w:hideMark/>
          </w:tcPr>
          <w:p w:rsidR="003C54A6" w:rsidRPr="0037604E" w:rsidRDefault="003C54A6"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700.209</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136,86</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114,18</w:t>
            </w:r>
          </w:p>
        </w:tc>
        <w:tc>
          <w:tcPr>
            <w:tcW w:w="702" w:type="dxa"/>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142,25</w:t>
            </w:r>
          </w:p>
        </w:tc>
        <w:tc>
          <w:tcPr>
            <w:tcW w:w="701" w:type="dxa"/>
            <w:gridSpan w:val="2"/>
            <w:shd w:val="clear" w:color="auto" w:fill="D6E0F4"/>
            <w:vAlign w:val="center"/>
          </w:tcPr>
          <w:p w:rsidR="003C54A6" w:rsidRPr="009809FF" w:rsidRDefault="003C54A6"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162,43</w:t>
            </w:r>
          </w:p>
        </w:tc>
      </w:tr>
      <w:tr w:rsidR="009727A3" w:rsidRPr="0037604E" w:rsidTr="003C54A6">
        <w:trPr>
          <w:trHeight w:val="227"/>
          <w:tblCellSpacing w:w="20" w:type="dxa"/>
          <w:jc w:val="center"/>
        </w:trPr>
        <w:tc>
          <w:tcPr>
            <w:tcW w:w="1919" w:type="dxa"/>
            <w:shd w:val="clear" w:color="auto" w:fill="auto"/>
            <w:noWrap/>
            <w:vAlign w:val="center"/>
          </w:tcPr>
          <w:p w:rsidR="009727A3" w:rsidRPr="0037604E" w:rsidRDefault="009727A3" w:rsidP="0037604E">
            <w:pPr>
              <w:spacing w:after="0" w:line="240" w:lineRule="auto"/>
              <w:ind w:firstLine="0"/>
              <w:rPr>
                <w:rFonts w:asciiTheme="majorHAnsi" w:eastAsia="Times New Roman" w:hAnsiTheme="majorHAnsi" w:cs="Arial"/>
                <w:bCs/>
                <w:sz w:val="16"/>
                <w:szCs w:val="16"/>
                <w:lang w:val="en-GB" w:eastAsia="ro-RO"/>
              </w:rPr>
            </w:pPr>
            <w:r w:rsidRPr="0037604E">
              <w:rPr>
                <w:rFonts w:asciiTheme="majorHAnsi" w:eastAsia="Times New Roman" w:hAnsiTheme="majorHAnsi" w:cs="Arial"/>
                <w:bCs/>
                <w:sz w:val="16"/>
                <w:szCs w:val="16"/>
                <w:lang w:val="en-GB" w:eastAsia="ro-RO"/>
              </w:rPr>
              <w:t>Debt payable within one year</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305.333</w:t>
            </w:r>
          </w:p>
        </w:tc>
        <w:tc>
          <w:tcPr>
            <w:tcW w:w="117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277.333</w:t>
            </w:r>
          </w:p>
        </w:tc>
        <w:tc>
          <w:tcPr>
            <w:tcW w:w="121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320.350</w:t>
            </w:r>
          </w:p>
        </w:tc>
        <w:tc>
          <w:tcPr>
            <w:tcW w:w="122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323.037</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110,10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86,57</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99,17</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85,85</w:t>
            </w:r>
          </w:p>
        </w:tc>
      </w:tr>
      <w:tr w:rsidR="009727A3" w:rsidRPr="0037604E" w:rsidTr="003C54A6">
        <w:trPr>
          <w:trHeight w:val="146"/>
          <w:tblCellSpacing w:w="20" w:type="dxa"/>
          <w:jc w:val="center"/>
        </w:trPr>
        <w:tc>
          <w:tcPr>
            <w:tcW w:w="1919" w:type="dxa"/>
            <w:shd w:val="clear" w:color="auto" w:fill="auto"/>
            <w:noWrap/>
            <w:vAlign w:val="center"/>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Cs/>
                <w:sz w:val="16"/>
                <w:szCs w:val="16"/>
                <w:lang w:val="en-GB" w:eastAsia="ro-RO"/>
              </w:rPr>
              <w:t>Long-term Debt</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1.211.416</w:t>
            </w:r>
          </w:p>
        </w:tc>
        <w:tc>
          <w:tcPr>
            <w:tcW w:w="117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1.104.863</w:t>
            </w:r>
          </w:p>
        </w:tc>
        <w:tc>
          <w:tcPr>
            <w:tcW w:w="121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1.077.684</w:t>
            </w:r>
          </w:p>
        </w:tc>
        <w:tc>
          <w:tcPr>
            <w:tcW w:w="1228" w:type="dxa"/>
            <w:shd w:val="clear" w:color="auto" w:fill="auto"/>
            <w:noWrap/>
            <w:vAlign w:val="center"/>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564.484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109,64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102,82</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190,91</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195,73</w:t>
            </w:r>
          </w:p>
        </w:tc>
      </w:tr>
      <w:tr w:rsidR="009727A3" w:rsidRPr="0037604E" w:rsidTr="003C54A6">
        <w:trPr>
          <w:trHeight w:val="290"/>
          <w:tblCellSpacing w:w="20" w:type="dxa"/>
          <w:jc w:val="center"/>
        </w:trPr>
        <w:tc>
          <w:tcPr>
            <w:tcW w:w="1919" w:type="dxa"/>
            <w:shd w:val="clear" w:color="auto" w:fill="DBE5F1" w:themeFill="accent1" w:themeFillTint="33"/>
            <w:noWrap/>
            <w:vAlign w:val="bottom"/>
            <w:hideMark/>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Total Debt</w:t>
            </w:r>
          </w:p>
        </w:tc>
        <w:tc>
          <w:tcPr>
            <w:tcW w:w="1059"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1.516.749</w:t>
            </w:r>
          </w:p>
        </w:tc>
        <w:tc>
          <w:tcPr>
            <w:tcW w:w="117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1.382.196</w:t>
            </w:r>
          </w:p>
        </w:tc>
        <w:tc>
          <w:tcPr>
            <w:tcW w:w="121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1.398.034</w:t>
            </w:r>
          </w:p>
        </w:tc>
        <w:tc>
          <w:tcPr>
            <w:tcW w:w="122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887.521</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109,73</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98,87</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157,52</w:t>
            </w:r>
          </w:p>
        </w:tc>
        <w:tc>
          <w:tcPr>
            <w:tcW w:w="701" w:type="dxa"/>
            <w:gridSpan w:val="2"/>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155,74</w:t>
            </w:r>
          </w:p>
        </w:tc>
      </w:tr>
      <w:tr w:rsidR="009727A3" w:rsidRPr="0037604E" w:rsidTr="003C54A6">
        <w:trPr>
          <w:trHeight w:val="300"/>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 xml:space="preserve">Equity </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 </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 </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 </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 </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 </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 </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 </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 </w:t>
            </w:r>
          </w:p>
        </w:tc>
      </w:tr>
      <w:tr w:rsidR="009727A3" w:rsidRPr="0037604E" w:rsidTr="003C54A6">
        <w:trPr>
          <w:trHeight w:val="315"/>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 xml:space="preserve">Share capital </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117.738</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117.738</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117.738</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117.738</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r>
      <w:tr w:rsidR="009727A3" w:rsidRPr="0037604E" w:rsidTr="003C54A6">
        <w:trPr>
          <w:trHeight w:val="407"/>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Hyperinflation adjusted share capital</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441.418</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441.418</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441.418</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441.418</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r>
      <w:tr w:rsidR="009727A3" w:rsidRPr="0037604E" w:rsidTr="003C54A6">
        <w:trPr>
          <w:trHeight w:val="315"/>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 xml:space="preserve">Capital premiums </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247.479</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247.479</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247.479</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247.479</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r>
      <w:tr w:rsidR="009727A3" w:rsidRPr="0037604E" w:rsidTr="003C54A6">
        <w:trPr>
          <w:trHeight w:val="270"/>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Other reserves</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1.265.797</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1.265.797</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1.265.797</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1.265.797</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100,00</w:t>
            </w:r>
          </w:p>
        </w:tc>
      </w:tr>
      <w:tr w:rsidR="009727A3" w:rsidRPr="0037604E" w:rsidTr="003C54A6">
        <w:trPr>
          <w:trHeight w:val="270"/>
          <w:tblCellSpacing w:w="20" w:type="dxa"/>
          <w:jc w:val="center"/>
        </w:trPr>
        <w:tc>
          <w:tcPr>
            <w:tcW w:w="1919" w:type="dxa"/>
            <w:shd w:val="clear" w:color="auto" w:fill="auto"/>
            <w:noWrap/>
            <w:vAlign w:val="center"/>
            <w:hideMark/>
          </w:tcPr>
          <w:p w:rsidR="009727A3" w:rsidRPr="0037604E" w:rsidRDefault="009727A3" w:rsidP="0037604E">
            <w:pPr>
              <w:spacing w:after="0" w:line="240" w:lineRule="auto"/>
              <w:ind w:firstLine="0"/>
              <w:jc w:val="both"/>
              <w:rPr>
                <w:rFonts w:asciiTheme="majorHAnsi" w:eastAsia="Times New Roman" w:hAnsiTheme="majorHAnsi" w:cs="Arial"/>
                <w:sz w:val="16"/>
                <w:szCs w:val="16"/>
                <w:lang w:val="en-GB" w:eastAsia="ro-RO"/>
              </w:rPr>
            </w:pPr>
            <w:r w:rsidRPr="0037604E">
              <w:rPr>
                <w:rFonts w:asciiTheme="majorHAnsi" w:eastAsia="Times New Roman" w:hAnsiTheme="majorHAnsi" w:cs="Arial"/>
                <w:sz w:val="16"/>
                <w:szCs w:val="16"/>
                <w:lang w:val="en-GB" w:eastAsia="ro-RO"/>
              </w:rPr>
              <w:t>Reported result</w:t>
            </w:r>
          </w:p>
        </w:tc>
        <w:tc>
          <w:tcPr>
            <w:tcW w:w="1059"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1.765.269</w:t>
            </w:r>
          </w:p>
        </w:tc>
        <w:tc>
          <w:tcPr>
            <w:tcW w:w="117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1.496.805</w:t>
            </w:r>
          </w:p>
        </w:tc>
        <w:tc>
          <w:tcPr>
            <w:tcW w:w="121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1.254.535</w:t>
            </w:r>
          </w:p>
        </w:tc>
        <w:tc>
          <w:tcPr>
            <w:tcW w:w="1228" w:type="dxa"/>
            <w:shd w:val="clear" w:color="auto" w:fill="auto"/>
            <w:noWrap/>
            <w:vAlign w:val="center"/>
            <w:hideMark/>
          </w:tcPr>
          <w:p w:rsidR="009727A3" w:rsidRPr="0037604E" w:rsidRDefault="009727A3" w:rsidP="0037604E">
            <w:pPr>
              <w:spacing w:after="0" w:line="240" w:lineRule="auto"/>
              <w:ind w:firstLine="0"/>
              <w:jc w:val="right"/>
              <w:rPr>
                <w:rFonts w:ascii="Cambria" w:eastAsia="Times New Roman" w:hAnsi="Cambria" w:cs="Arial"/>
                <w:sz w:val="20"/>
                <w:szCs w:val="20"/>
                <w:lang w:val="en-GB" w:eastAsia="ro-RO"/>
              </w:rPr>
            </w:pPr>
            <w:r w:rsidRPr="0037604E">
              <w:rPr>
                <w:rFonts w:ascii="Cambria" w:eastAsia="Times New Roman" w:hAnsi="Cambria" w:cs="Arial"/>
                <w:sz w:val="20"/>
                <w:szCs w:val="20"/>
                <w:lang w:val="en-GB" w:eastAsia="ro-RO"/>
              </w:rPr>
              <w:t>975.134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117,94</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119,31</w:t>
            </w:r>
          </w:p>
        </w:tc>
        <w:tc>
          <w:tcPr>
            <w:tcW w:w="702" w:type="dxa"/>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128,65</w:t>
            </w:r>
          </w:p>
        </w:tc>
        <w:tc>
          <w:tcPr>
            <w:tcW w:w="701" w:type="dxa"/>
            <w:gridSpan w:val="2"/>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153,50</w:t>
            </w:r>
          </w:p>
        </w:tc>
      </w:tr>
      <w:tr w:rsidR="009727A3" w:rsidRPr="0037604E" w:rsidTr="003C54A6">
        <w:trPr>
          <w:trHeight w:val="398"/>
          <w:tblCellSpacing w:w="20" w:type="dxa"/>
          <w:jc w:val="center"/>
        </w:trPr>
        <w:tc>
          <w:tcPr>
            <w:tcW w:w="1919" w:type="dxa"/>
            <w:shd w:val="clear" w:color="auto" w:fill="DBE5F1" w:themeFill="accent1" w:themeFillTint="33"/>
            <w:noWrap/>
            <w:vAlign w:val="center"/>
            <w:hideMark/>
          </w:tcPr>
          <w:p w:rsidR="009727A3" w:rsidRPr="0037604E" w:rsidRDefault="009727A3" w:rsidP="0037604E">
            <w:pPr>
              <w:spacing w:after="0" w:line="240" w:lineRule="auto"/>
              <w:ind w:firstLine="0"/>
              <w:jc w:val="both"/>
              <w:rPr>
                <w:rFonts w:asciiTheme="majorHAnsi" w:eastAsia="Times New Roman" w:hAnsiTheme="majorHAnsi" w:cs="Arial"/>
                <w:b/>
                <w:bCs/>
                <w:sz w:val="16"/>
                <w:szCs w:val="16"/>
                <w:lang w:val="en-GB" w:eastAsia="ro-RO"/>
              </w:rPr>
            </w:pPr>
            <w:r w:rsidRPr="0037604E">
              <w:rPr>
                <w:rFonts w:asciiTheme="majorHAnsi" w:eastAsia="Times New Roman" w:hAnsiTheme="majorHAnsi" w:cs="Arial"/>
                <w:b/>
                <w:bCs/>
                <w:sz w:val="16"/>
                <w:szCs w:val="16"/>
                <w:lang w:val="en-GB" w:eastAsia="ro-RO"/>
              </w:rPr>
              <w:t>Total equity and debt</w:t>
            </w:r>
          </w:p>
        </w:tc>
        <w:tc>
          <w:tcPr>
            <w:tcW w:w="1059"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b/>
                <w:bCs/>
                <w:color w:val="000000"/>
                <w:sz w:val="16"/>
                <w:szCs w:val="16"/>
                <w:lang w:eastAsia="en-US"/>
              </w:rPr>
            </w:pPr>
            <w:r w:rsidRPr="009809FF">
              <w:rPr>
                <w:rFonts w:ascii="Cambria" w:eastAsia="Times New Roman" w:hAnsi="Cambria" w:cs="Times New Roman"/>
                <w:b/>
                <w:bCs/>
                <w:color w:val="000000"/>
                <w:sz w:val="16"/>
                <w:szCs w:val="16"/>
                <w:lang w:eastAsia="en-US"/>
              </w:rPr>
              <w:t>5.354.450</w:t>
            </w:r>
          </w:p>
        </w:tc>
        <w:tc>
          <w:tcPr>
            <w:tcW w:w="117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4.951.434</w:t>
            </w:r>
          </w:p>
        </w:tc>
        <w:tc>
          <w:tcPr>
            <w:tcW w:w="121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4.725.001</w:t>
            </w:r>
          </w:p>
        </w:tc>
        <w:tc>
          <w:tcPr>
            <w:tcW w:w="1228" w:type="dxa"/>
            <w:shd w:val="clear" w:color="auto" w:fill="D6E0F4"/>
            <w:noWrap/>
            <w:vAlign w:val="center"/>
            <w:hideMark/>
          </w:tcPr>
          <w:p w:rsidR="009727A3" w:rsidRPr="0037604E" w:rsidRDefault="009727A3" w:rsidP="0037604E">
            <w:pPr>
              <w:spacing w:after="0" w:line="240" w:lineRule="auto"/>
              <w:ind w:firstLine="0"/>
              <w:jc w:val="right"/>
              <w:rPr>
                <w:rFonts w:ascii="Cambria" w:eastAsia="Times New Roman" w:hAnsi="Cambria" w:cs="Arial"/>
                <w:b/>
                <w:bCs/>
                <w:sz w:val="20"/>
                <w:szCs w:val="20"/>
                <w:lang w:val="en-GB" w:eastAsia="ro-RO"/>
              </w:rPr>
            </w:pPr>
            <w:r w:rsidRPr="0037604E">
              <w:rPr>
                <w:rFonts w:ascii="Cambria" w:eastAsia="Times New Roman" w:hAnsi="Cambria" w:cs="Arial"/>
                <w:b/>
                <w:bCs/>
                <w:sz w:val="20"/>
                <w:szCs w:val="20"/>
                <w:lang w:val="en-GB" w:eastAsia="ro-RO"/>
              </w:rPr>
              <w:t>3.935.088</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108,14</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104,79</w:t>
            </w:r>
          </w:p>
        </w:tc>
        <w:tc>
          <w:tcPr>
            <w:tcW w:w="702" w:type="dxa"/>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120,07</w:t>
            </w:r>
          </w:p>
        </w:tc>
        <w:tc>
          <w:tcPr>
            <w:tcW w:w="701" w:type="dxa"/>
            <w:gridSpan w:val="2"/>
            <w:shd w:val="clear" w:color="auto" w:fill="D6E0F4"/>
            <w:vAlign w:val="center"/>
          </w:tcPr>
          <w:p w:rsidR="009727A3" w:rsidRPr="009809FF" w:rsidRDefault="009727A3" w:rsidP="001C15B8">
            <w:pPr>
              <w:spacing w:after="0" w:line="240" w:lineRule="auto"/>
              <w:ind w:firstLine="0"/>
              <w:jc w:val="right"/>
              <w:rPr>
                <w:rFonts w:ascii="Cambria" w:eastAsia="Times New Roman" w:hAnsi="Cambria" w:cs="Times New Roman"/>
                <w:color w:val="000000"/>
                <w:sz w:val="16"/>
                <w:szCs w:val="16"/>
                <w:lang w:eastAsia="en-US"/>
              </w:rPr>
            </w:pPr>
            <w:r w:rsidRPr="009809FF">
              <w:rPr>
                <w:rFonts w:ascii="Cambria" w:eastAsia="Times New Roman" w:hAnsi="Cambria" w:cs="Times New Roman"/>
                <w:color w:val="000000"/>
                <w:sz w:val="16"/>
                <w:szCs w:val="16"/>
                <w:lang w:eastAsia="en-US"/>
              </w:rPr>
              <w:t>125,83</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E80C4A"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38</w:t>
      </w:r>
      <w:r w:rsidR="0037604E" w:rsidRPr="0037604E">
        <w:rPr>
          <w:rFonts w:ascii="Cambria" w:eastAsia="Times New Roman" w:hAnsi="Cambria" w:cs="Times New Roman"/>
          <w:b/>
          <w:i/>
          <w:sz w:val="16"/>
          <w:szCs w:val="16"/>
          <w:lang w:val="en-GB" w:eastAsia="ro-RO"/>
        </w:rPr>
        <w:t>- the company’s financial standing during 2013-2016</w:t>
      </w:r>
    </w:p>
    <w:p w:rsidR="0037604E" w:rsidRPr="0037604E"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37604E"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37604E"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D45179"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D45179">
        <w:rPr>
          <w:rFonts w:ascii="Cambria" w:eastAsia="Cambria" w:hAnsi="Cambria" w:cs="Cambria"/>
          <w:b/>
          <w:bCs/>
          <w:i/>
          <w:iCs/>
          <w:sz w:val="24"/>
          <w:szCs w:val="24"/>
          <w:lang w:val="en-GB"/>
        </w:rPr>
        <w:t>Intangible Assets</w:t>
      </w:r>
    </w:p>
    <w:p w:rsidR="0037604E" w:rsidRPr="00D45179" w:rsidRDefault="0037604E" w:rsidP="0037604E">
      <w:pPr>
        <w:spacing w:after="0" w:line="240" w:lineRule="auto"/>
        <w:ind w:firstLine="0"/>
        <w:jc w:val="both"/>
        <w:rPr>
          <w:rFonts w:ascii="Cambria" w:eastAsia="Times New Roman" w:hAnsi="Cambria" w:cs="Times New Roman"/>
          <w:i/>
          <w:sz w:val="24"/>
          <w:szCs w:val="24"/>
          <w:highlight w:val="yellow"/>
          <w:lang w:val="en-GB" w:eastAsia="ro-RO"/>
        </w:rPr>
      </w:pPr>
    </w:p>
    <w:p w:rsidR="0037604E" w:rsidRPr="00D45179"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highlight w:val="yellow"/>
          <w:lang w:val="en-GB" w:eastAsia="ro-RO"/>
        </w:rPr>
      </w:pPr>
      <w:r w:rsidRPr="00D45179">
        <w:rPr>
          <w:rFonts w:ascii="Cambria" w:eastAsia="Cambria" w:hAnsi="Cambria" w:cs="Cambria"/>
          <w:sz w:val="24"/>
          <w:szCs w:val="24"/>
          <w:lang w:val="en-GB"/>
        </w:rPr>
        <w:t xml:space="preserve">From 2010, in accordance with the EU approval process, the Company started to apply IFRIC 12 </w:t>
      </w:r>
      <w:r w:rsidRPr="00D45179">
        <w:rPr>
          <w:rFonts w:ascii="Cambria" w:eastAsia="Cambria" w:hAnsi="Cambria" w:cs="Cambria"/>
          <w:b/>
          <w:bCs/>
          <w:i/>
          <w:iCs/>
          <w:sz w:val="24"/>
          <w:szCs w:val="24"/>
          <w:lang w:val="en-GB"/>
        </w:rPr>
        <w:t>Service Concession Arrangements</w:t>
      </w:r>
      <w:r w:rsidRPr="00D45179">
        <w:rPr>
          <w:rFonts w:ascii="Cambria" w:eastAsia="Cambria" w:hAnsi="Cambria" w:cs="Cambria"/>
          <w:sz w:val="24"/>
          <w:szCs w:val="24"/>
          <w:lang w:val="en-GB"/>
        </w:rPr>
        <w:t>, adopted by the EU.  The scope of IFRIC 12 includes: the existing infrastructure at the time of signing the concession agreement and, also, modernization and improvement brought to the pipeline system, which are transferred to the regulatory authority at the end of the concession agreement.</w:t>
      </w:r>
    </w:p>
    <w:p w:rsidR="0037604E" w:rsidRPr="00D45179"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highlight w:val="yellow"/>
          <w:lang w:val="en-GB" w:eastAsia="en-GB"/>
        </w:rPr>
      </w:pPr>
    </w:p>
    <w:p w:rsidR="0037604E" w:rsidRPr="00D45179"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lang w:val="en-GB" w:eastAsia="ro-RO"/>
        </w:rPr>
      </w:pPr>
      <w:r w:rsidRPr="00D45179">
        <w:rPr>
          <w:rFonts w:ascii="Cambria" w:eastAsia="Cambria" w:hAnsi="Cambria" w:cs="Cambria"/>
          <w:sz w:val="24"/>
          <w:szCs w:val="24"/>
          <w:lang w:val="en-GB"/>
        </w:rPr>
        <w:t>The Company is entitled to charge the users of the public service and, consequently, an intangible asset was recognized for this right.</w:t>
      </w:r>
    </w:p>
    <w:p w:rsidR="0037604E" w:rsidRPr="00D45179"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lang w:val="en-GB" w:eastAsia="ro-RO"/>
        </w:rPr>
      </w:pPr>
    </w:p>
    <w:p w:rsidR="0037604E" w:rsidRPr="00D45179" w:rsidRDefault="0037604E" w:rsidP="0037604E">
      <w:pPr>
        <w:widowControl w:val="0"/>
        <w:tabs>
          <w:tab w:val="right" w:pos="8789"/>
        </w:tabs>
        <w:spacing w:after="200" w:line="240" w:lineRule="auto"/>
        <w:ind w:right="4" w:firstLine="0"/>
        <w:jc w:val="both"/>
        <w:rPr>
          <w:rFonts w:ascii="Cambria" w:eastAsia="Cambria" w:hAnsi="Cambria" w:cs="Cambria"/>
          <w:sz w:val="24"/>
          <w:szCs w:val="24"/>
          <w:lang w:val="en-GB"/>
        </w:rPr>
      </w:pPr>
      <w:r w:rsidRPr="00D45179">
        <w:rPr>
          <w:rFonts w:ascii="Cambria" w:eastAsia="Cambria" w:hAnsi="Cambria" w:cs="Cambria"/>
          <w:sz w:val="24"/>
          <w:szCs w:val="24"/>
          <w:lang w:val="en-GB"/>
        </w:rPr>
        <w:t xml:space="preserve">Due to the fact that the Service Concession Agreement ("SCA") had no commercial substance (i.e. nothing substantial has changed in the way the company operated assets; cash flows have changed only with the payment of royalties, but, on the other hand, the transmission tariff increased to cover the royalty), the intangible asset was measured at the remaining net value of derecognised assets (classified in the financial statements as tangible assets on the date of application of IFRIC 12). </w:t>
      </w:r>
    </w:p>
    <w:p w:rsidR="0037604E" w:rsidRPr="00D45179"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lang w:val="en-GB" w:eastAsia="ro-RO"/>
        </w:rPr>
      </w:pPr>
      <w:r w:rsidRPr="00D45179">
        <w:rPr>
          <w:rFonts w:ascii="Cambria" w:eastAsia="Cambria" w:hAnsi="Cambria" w:cs="Cambria"/>
          <w:sz w:val="24"/>
          <w:szCs w:val="24"/>
          <w:lang w:val="en-GB"/>
        </w:rPr>
        <w:t>Consequently, the Company has continued to recognize the asset, but recycled it as intangible asset. The company has tested the intangible assets recognized at the time without identifying impairment.</w:t>
      </w:r>
    </w:p>
    <w:p w:rsidR="0037604E" w:rsidRPr="0037604E" w:rsidRDefault="0037604E" w:rsidP="0037604E">
      <w:pPr>
        <w:widowControl w:val="0"/>
        <w:tabs>
          <w:tab w:val="right" w:pos="8789"/>
        </w:tabs>
        <w:spacing w:after="0" w:line="240" w:lineRule="auto"/>
        <w:ind w:right="4" w:firstLine="0"/>
        <w:jc w:val="both"/>
        <w:rPr>
          <w:rFonts w:ascii="Cambria" w:eastAsia="Times New Roman" w:hAnsi="Cambria" w:cs="Times New Roman"/>
          <w:color w:val="FF0000"/>
          <w:spacing w:val="-4"/>
          <w:sz w:val="24"/>
          <w:szCs w:val="24"/>
          <w:lang w:val="en-GB" w:eastAsia="ro-RO"/>
        </w:rPr>
      </w:pPr>
    </w:p>
    <w:p w:rsidR="0037604E" w:rsidRPr="00A325DA" w:rsidRDefault="0037604E" w:rsidP="0037604E">
      <w:pPr>
        <w:widowControl w:val="0"/>
        <w:tabs>
          <w:tab w:val="right" w:pos="8789"/>
        </w:tabs>
        <w:spacing w:after="0" w:line="240" w:lineRule="auto"/>
        <w:ind w:right="4" w:firstLine="0"/>
        <w:jc w:val="both"/>
        <w:rPr>
          <w:rFonts w:ascii="Cambria" w:eastAsia="Times New Roman" w:hAnsi="Cambria" w:cs="Times New Roman"/>
          <w:spacing w:val="-4"/>
          <w:sz w:val="24"/>
          <w:szCs w:val="24"/>
          <w:lang w:val="en-GB" w:eastAsia="ro-RO"/>
        </w:rPr>
      </w:pPr>
      <w:r w:rsidRPr="00A325DA">
        <w:rPr>
          <w:rFonts w:ascii="Cambria" w:eastAsia="Cambria" w:hAnsi="Cambria" w:cs="Cambria"/>
          <w:sz w:val="24"/>
          <w:szCs w:val="24"/>
          <w:lang w:val="en-GB"/>
        </w:rPr>
        <w:t>As they occur, costs of replacements are recorded as expenses, while the improvements of assets used within SCA are recognized at fair value.</w:t>
      </w:r>
      <w:r w:rsidRPr="00A325DA">
        <w:rPr>
          <w:rFonts w:ascii="Cambria" w:eastAsia="Times New Roman" w:hAnsi="Cambria" w:cs="Times New Roman"/>
          <w:spacing w:val="-4"/>
          <w:sz w:val="24"/>
          <w:szCs w:val="24"/>
          <w:lang w:val="en-GB" w:eastAsia="ro-RO"/>
        </w:rPr>
        <w:t xml:space="preserve"> </w:t>
      </w:r>
      <w:r w:rsidRPr="00A325DA">
        <w:rPr>
          <w:rFonts w:ascii="Cambria" w:eastAsia="Cambria" w:hAnsi="Cambria" w:cs="Cambria"/>
          <w:sz w:val="24"/>
          <w:szCs w:val="24"/>
          <w:lang w:val="en-GB"/>
        </w:rPr>
        <w:t>Intangible assets are depreciated to zero value during the remaining period of the concession agreement.</w:t>
      </w:r>
    </w:p>
    <w:p w:rsidR="0037604E" w:rsidRPr="0037604E" w:rsidRDefault="0037604E" w:rsidP="0037604E">
      <w:pPr>
        <w:spacing w:after="0" w:line="240" w:lineRule="auto"/>
        <w:ind w:firstLine="0"/>
        <w:jc w:val="both"/>
        <w:rPr>
          <w:rFonts w:ascii="Cambria" w:eastAsia="Times New Roman" w:hAnsi="Cambria" w:cs="Times New Roman"/>
          <w:color w:val="FF0000"/>
          <w:sz w:val="24"/>
          <w:szCs w:val="24"/>
          <w:highlight w:val="yellow"/>
          <w:lang w:val="en-GB" w:eastAsia="en-GB"/>
        </w:rPr>
      </w:pPr>
    </w:p>
    <w:p w:rsidR="0037604E" w:rsidRPr="00A325DA" w:rsidRDefault="00A325DA" w:rsidP="0037604E">
      <w:pPr>
        <w:spacing w:after="0" w:line="240" w:lineRule="auto"/>
        <w:ind w:firstLine="0"/>
        <w:jc w:val="both"/>
        <w:rPr>
          <w:rFonts w:ascii="Cambria" w:eastAsia="Times New Roman" w:hAnsi="Cambria" w:cs="Times New Roman"/>
          <w:sz w:val="24"/>
          <w:szCs w:val="24"/>
          <w:highlight w:val="yellow"/>
          <w:lang w:val="en-GB" w:eastAsia="en-GB"/>
        </w:rPr>
      </w:pPr>
      <w:r>
        <w:rPr>
          <w:rFonts w:ascii="Cambria" w:eastAsia="Cambria" w:hAnsi="Cambria" w:cs="Cambria"/>
          <w:b/>
          <w:sz w:val="24"/>
          <w:szCs w:val="24"/>
          <w:lang w:val="en-GB"/>
        </w:rPr>
        <w:t>Intangible assets have de</w:t>
      </w:r>
      <w:r w:rsidR="0037604E" w:rsidRPr="00A325DA">
        <w:rPr>
          <w:rFonts w:ascii="Cambria" w:eastAsia="Cambria" w:hAnsi="Cambria" w:cs="Cambria"/>
          <w:b/>
          <w:sz w:val="24"/>
          <w:szCs w:val="24"/>
          <w:lang w:val="en-GB"/>
        </w:rPr>
        <w:t xml:space="preserve">creased by RON </w:t>
      </w:r>
      <w:r w:rsidRPr="00A325DA">
        <w:rPr>
          <w:rFonts w:ascii="Cambria" w:eastAsia="Cambria" w:hAnsi="Cambria" w:cs="Cambria"/>
          <w:b/>
          <w:sz w:val="24"/>
          <w:szCs w:val="24"/>
          <w:lang w:val="en-GB"/>
        </w:rPr>
        <w:t xml:space="preserve">23.182 </w:t>
      </w:r>
      <w:r w:rsidR="0037604E" w:rsidRPr="00A325DA">
        <w:rPr>
          <w:rFonts w:ascii="Cambria" w:eastAsia="Cambria" w:hAnsi="Cambria" w:cs="Cambria"/>
          <w:b/>
          <w:sz w:val="24"/>
          <w:szCs w:val="24"/>
          <w:lang w:val="en-GB"/>
        </w:rPr>
        <w:t xml:space="preserve">thousand </w:t>
      </w:r>
      <w:r>
        <w:rPr>
          <w:rFonts w:ascii="Cambria" w:eastAsia="Cambria" w:hAnsi="Cambria" w:cs="Cambria"/>
          <w:sz w:val="24"/>
          <w:szCs w:val="24"/>
          <w:lang w:val="en-GB"/>
        </w:rPr>
        <w:t>compared to 31.12.2015</w:t>
      </w:r>
      <w:r w:rsidR="0037604E" w:rsidRPr="00A325DA">
        <w:rPr>
          <w:rFonts w:ascii="Cambria" w:eastAsia="Cambria" w:hAnsi="Cambria" w:cs="Cambria"/>
          <w:sz w:val="24"/>
          <w:szCs w:val="24"/>
          <w:lang w:val="en-GB"/>
        </w:rPr>
        <w:t>,</w:t>
      </w:r>
      <w:r w:rsidR="0037604E" w:rsidRPr="00A325DA">
        <w:rPr>
          <w:rFonts w:ascii="Century Gothic" w:eastAsia="Century Gothic" w:hAnsi="Century Gothic" w:cs="Century Gothic"/>
          <w:lang w:val="en-GB"/>
        </w:rPr>
        <w:t xml:space="preserve"> </w:t>
      </w:r>
      <w:r w:rsidR="0037604E" w:rsidRPr="00A325DA">
        <w:rPr>
          <w:rFonts w:ascii="Cambria" w:eastAsia="Cambria" w:hAnsi="Cambria" w:cs="Cambria"/>
          <w:sz w:val="24"/>
          <w:szCs w:val="24"/>
          <w:lang w:val="en-GB"/>
        </w:rPr>
        <w:t xml:space="preserve">mainly due to the developments of the national transmission system.  </w:t>
      </w:r>
    </w:p>
    <w:p w:rsidR="0037604E" w:rsidRPr="00A325DA" w:rsidRDefault="0037604E" w:rsidP="0037604E">
      <w:pPr>
        <w:spacing w:after="0" w:line="240" w:lineRule="auto"/>
        <w:ind w:firstLine="0"/>
        <w:jc w:val="both"/>
        <w:rPr>
          <w:rFonts w:ascii="Cambria" w:eastAsia="Cambria" w:hAnsi="Cambria" w:cs="Cambria"/>
          <w:b/>
          <w:bCs/>
          <w:i/>
          <w:iCs/>
          <w:sz w:val="24"/>
          <w:szCs w:val="24"/>
          <w:lang w:val="en-GB"/>
        </w:rPr>
      </w:pPr>
    </w:p>
    <w:p w:rsidR="0037604E" w:rsidRPr="00A325DA"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A325DA">
        <w:rPr>
          <w:rFonts w:ascii="Cambria" w:eastAsia="Cambria" w:hAnsi="Cambria" w:cs="Cambria"/>
          <w:b/>
          <w:bCs/>
          <w:i/>
          <w:iCs/>
          <w:sz w:val="24"/>
          <w:szCs w:val="24"/>
          <w:lang w:val="en-GB"/>
        </w:rPr>
        <w:t>Tangible Assets</w:t>
      </w:r>
    </w:p>
    <w:p w:rsidR="0037604E" w:rsidRPr="00A325DA"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A325DA" w:rsidRDefault="0037604E" w:rsidP="0037604E">
      <w:pPr>
        <w:spacing w:after="0" w:line="240" w:lineRule="auto"/>
        <w:ind w:firstLine="0"/>
        <w:jc w:val="both"/>
        <w:rPr>
          <w:rFonts w:ascii="Cambria" w:eastAsia="Times New Roman" w:hAnsi="Cambria" w:cs="Times New Roman"/>
          <w:sz w:val="24"/>
          <w:szCs w:val="24"/>
          <w:lang w:val="en-GB" w:eastAsia="ro-RO"/>
        </w:rPr>
      </w:pPr>
      <w:r w:rsidRPr="00A325DA">
        <w:rPr>
          <w:rFonts w:ascii="Cambria" w:eastAsia="Cambria" w:hAnsi="Cambria" w:cs="Cambria"/>
          <w:sz w:val="24"/>
          <w:szCs w:val="24"/>
          <w:lang w:val="en-GB"/>
        </w:rPr>
        <w:t>Tangible assets include auxiliary buildings of operating assets, office buildings, land, assets used for the transit activity, as well as objectives related to the national transmission system taken over free of charge</w:t>
      </w:r>
      <w:r w:rsidRPr="00A325DA">
        <w:rPr>
          <w:rFonts w:ascii="Cambria" w:eastAsia="Times New Roman" w:hAnsi="Cambria" w:cs="Times New Roman"/>
          <w:sz w:val="24"/>
          <w:szCs w:val="24"/>
          <w:lang w:val="en-GB" w:eastAsia="ro-RO"/>
        </w:rPr>
        <w:t xml:space="preserve">. </w:t>
      </w:r>
      <w:r w:rsidRPr="00A325DA">
        <w:rPr>
          <w:rFonts w:ascii="Cambria" w:eastAsia="Times New Roman" w:hAnsi="Cambria" w:cs="Times New Roman"/>
          <w:b/>
          <w:sz w:val="24"/>
          <w:szCs w:val="24"/>
          <w:lang w:val="en-GB" w:eastAsia="ro-RO"/>
        </w:rPr>
        <w:t>The value of tangible assets has decreased</w:t>
      </w:r>
      <w:r w:rsidRPr="00A325DA">
        <w:rPr>
          <w:rFonts w:ascii="Cambria" w:eastAsia="Times New Roman" w:hAnsi="Cambria" w:cs="Times New Roman"/>
          <w:sz w:val="24"/>
          <w:szCs w:val="24"/>
          <w:lang w:val="en-GB" w:eastAsia="ro-RO"/>
        </w:rPr>
        <w:t xml:space="preserve"> by RON </w:t>
      </w:r>
      <w:r w:rsidR="00A325DA" w:rsidRPr="00EC4F88">
        <w:rPr>
          <w:rFonts w:asciiTheme="majorHAnsi" w:eastAsia="Times New Roman" w:hAnsiTheme="majorHAnsi" w:cs="Times New Roman"/>
          <w:b/>
          <w:sz w:val="24"/>
          <w:szCs w:val="24"/>
          <w:lang w:val="ro-RO" w:eastAsia="ro-RO"/>
        </w:rPr>
        <w:t>39.662</w:t>
      </w:r>
      <w:r w:rsidR="00A325DA">
        <w:rPr>
          <w:rFonts w:asciiTheme="majorHAnsi" w:eastAsia="Times New Roman" w:hAnsiTheme="majorHAnsi" w:cs="Times New Roman"/>
          <w:b/>
          <w:sz w:val="24"/>
          <w:szCs w:val="24"/>
          <w:lang w:val="ro-RO" w:eastAsia="ro-RO"/>
        </w:rPr>
        <w:t xml:space="preserve"> thousand </w:t>
      </w:r>
      <w:r w:rsidRPr="00A325DA">
        <w:rPr>
          <w:rFonts w:ascii="Cambria" w:eastAsia="Times New Roman" w:hAnsi="Cambria" w:cs="Times New Roman"/>
          <w:sz w:val="24"/>
          <w:szCs w:val="24"/>
          <w:lang w:val="en-GB" w:eastAsia="ro-RO"/>
        </w:rPr>
        <w:t>as compared to</w:t>
      </w:r>
      <w:r w:rsidR="00A325DA">
        <w:rPr>
          <w:rFonts w:ascii="Cambria" w:eastAsia="Times New Roman" w:hAnsi="Cambria" w:cs="Times New Roman"/>
          <w:sz w:val="24"/>
          <w:szCs w:val="24"/>
          <w:lang w:val="en-GB" w:eastAsia="ro-RO"/>
        </w:rPr>
        <w:t xml:space="preserve"> 31.12. 2015</w:t>
      </w:r>
      <w:r w:rsidRPr="00A325DA">
        <w:rPr>
          <w:rFonts w:ascii="Cambria" w:eastAsia="Times New Roman" w:hAnsi="Cambria" w:cs="Times New Roman"/>
          <w:sz w:val="24"/>
          <w:szCs w:val="24"/>
          <w:lang w:val="en-GB" w:eastAsia="ro-RO"/>
        </w:rPr>
        <w:t>, mainly due to the fact that the tangible assets inflow were lower than the depreciation cost for tangible assets.</w:t>
      </w:r>
    </w:p>
    <w:p w:rsidR="0037604E" w:rsidRPr="00A325DA" w:rsidRDefault="0037604E" w:rsidP="0037604E">
      <w:pPr>
        <w:spacing w:after="0" w:line="240" w:lineRule="auto"/>
        <w:ind w:firstLine="0"/>
        <w:jc w:val="both"/>
        <w:rPr>
          <w:rFonts w:ascii="Cambria" w:eastAsia="Times New Roman" w:hAnsi="Cambria" w:cs="Times New Roman"/>
          <w:i/>
          <w:sz w:val="24"/>
          <w:szCs w:val="24"/>
          <w:highlight w:val="yellow"/>
          <w:lang w:val="en-GB" w:eastAsia="ro-RO"/>
        </w:rPr>
      </w:pPr>
    </w:p>
    <w:p w:rsidR="0037604E" w:rsidRPr="00A325DA"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A325DA">
        <w:rPr>
          <w:rFonts w:ascii="Cambria" w:eastAsia="Cambria" w:hAnsi="Cambria" w:cs="Cambria"/>
          <w:b/>
          <w:bCs/>
          <w:i/>
          <w:iCs/>
          <w:sz w:val="24"/>
          <w:szCs w:val="24"/>
          <w:lang w:val="en-GB"/>
        </w:rPr>
        <w:t>Financial fixed assets</w:t>
      </w:r>
    </w:p>
    <w:p w:rsidR="0037604E" w:rsidRPr="00A325DA"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sz w:val="24"/>
          <w:szCs w:val="24"/>
          <w:lang w:val="en-GB" w:eastAsia="ro-RO"/>
        </w:rPr>
      </w:pPr>
    </w:p>
    <w:p w:rsidR="0037604E" w:rsidRPr="00A325DA"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sz w:val="24"/>
          <w:szCs w:val="24"/>
          <w:lang w:val="en-GB" w:eastAsia="ro-RO"/>
        </w:rPr>
      </w:pPr>
      <w:r w:rsidRPr="00A325DA">
        <w:rPr>
          <w:rFonts w:ascii="Cambria" w:eastAsia="Times New Roman" w:hAnsi="Cambria" w:cs="Times New Roman"/>
          <w:b/>
          <w:sz w:val="24"/>
          <w:szCs w:val="24"/>
          <w:lang w:val="en-GB" w:eastAsia="ro-RO"/>
        </w:rPr>
        <w:t>At the en</w:t>
      </w:r>
      <w:r w:rsidR="00A325DA">
        <w:rPr>
          <w:rFonts w:ascii="Cambria" w:eastAsia="Times New Roman" w:hAnsi="Cambria" w:cs="Times New Roman"/>
          <w:b/>
          <w:sz w:val="24"/>
          <w:szCs w:val="24"/>
          <w:lang w:val="en-GB" w:eastAsia="ro-RO"/>
        </w:rPr>
        <w:t>d of 2016</w:t>
      </w:r>
      <w:r w:rsidRPr="00A325DA">
        <w:rPr>
          <w:rFonts w:ascii="Cambria" w:eastAsia="Times New Roman" w:hAnsi="Cambria" w:cs="Times New Roman"/>
          <w:b/>
          <w:sz w:val="24"/>
          <w:szCs w:val="24"/>
          <w:lang w:val="en-GB" w:eastAsia="ro-RO"/>
        </w:rPr>
        <w:t xml:space="preserve"> the value of the financial fixed assets in the company’s balance sheet was zero</w:t>
      </w:r>
      <w:r w:rsidRPr="00A325DA">
        <w:rPr>
          <w:rFonts w:ascii="Cambria" w:eastAsia="Times New Roman" w:hAnsi="Cambria" w:cs="Times New Roman"/>
          <w:sz w:val="24"/>
          <w:szCs w:val="24"/>
          <w:lang w:val="en-GB" w:eastAsia="ro-RO"/>
        </w:rPr>
        <w:t xml:space="preserve">, a value determined by the 100% provisioning of all shareholding interest. </w:t>
      </w:r>
    </w:p>
    <w:p w:rsidR="0037604E" w:rsidRPr="0037604E"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color w:val="FF0000"/>
          <w:sz w:val="24"/>
          <w:szCs w:val="24"/>
          <w:lang w:val="en-GB" w:eastAsia="ro-RO"/>
        </w:rPr>
      </w:pPr>
    </w:p>
    <w:p w:rsidR="0037604E" w:rsidRPr="00A325DA"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sz w:val="24"/>
          <w:szCs w:val="24"/>
          <w:lang w:val="en-GB" w:eastAsia="ro-RO"/>
        </w:rPr>
      </w:pPr>
      <w:r w:rsidRPr="00A325DA">
        <w:rPr>
          <w:rFonts w:ascii="Cambria" w:eastAsia="Times New Roman" w:hAnsi="Cambria" w:cs="Times New Roman"/>
          <w:sz w:val="24"/>
          <w:szCs w:val="24"/>
          <w:lang w:val="en-GB" w:eastAsia="ro-RO"/>
        </w:rPr>
        <w:t xml:space="preserve">The highest share of the financial fixed assets is represented by Transgaz’ shareholding in Nabucco Gas Pipeline International GmbH Vienna (NIC) share capital, a company currently in liquidation following the shareholders decision to close out the company.   </w:t>
      </w:r>
    </w:p>
    <w:p w:rsidR="0037604E" w:rsidRPr="00A325DA"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sz w:val="24"/>
          <w:szCs w:val="24"/>
          <w:lang w:val="en-GB" w:eastAsia="ro-RO"/>
        </w:rPr>
      </w:pPr>
    </w:p>
    <w:p w:rsidR="0037604E" w:rsidRPr="00A325DA" w:rsidRDefault="0037604E" w:rsidP="0037604E">
      <w:pPr>
        <w:tabs>
          <w:tab w:val="left" w:pos="858"/>
          <w:tab w:val="left" w:pos="1436"/>
          <w:tab w:val="left" w:pos="1996"/>
          <w:tab w:val="left" w:pos="2573"/>
          <w:tab w:val="left" w:pos="3150"/>
          <w:tab w:val="left" w:pos="4288"/>
          <w:tab w:val="left" w:pos="5426"/>
          <w:tab w:val="left" w:pos="6564"/>
          <w:tab w:val="decimal" w:pos="8647"/>
        </w:tabs>
        <w:spacing w:after="0" w:line="240" w:lineRule="auto"/>
        <w:ind w:firstLine="0"/>
        <w:jc w:val="both"/>
        <w:rPr>
          <w:rFonts w:ascii="Cambria" w:eastAsia="Times New Roman" w:hAnsi="Cambria" w:cs="Times New Roman"/>
          <w:sz w:val="24"/>
          <w:szCs w:val="24"/>
          <w:lang w:val="en-GB" w:eastAsia="en-US"/>
        </w:rPr>
      </w:pPr>
      <w:r w:rsidRPr="00A325DA">
        <w:rPr>
          <w:rFonts w:ascii="Cambria" w:eastAsia="Times New Roman" w:hAnsi="Cambria" w:cs="Times New Roman"/>
          <w:sz w:val="24"/>
          <w:szCs w:val="24"/>
          <w:lang w:val="en-GB" w:eastAsia="ro-RO"/>
        </w:rPr>
        <w:lastRenderedPageBreak/>
        <w:t xml:space="preserve">Although there is a chance the company may have an inflow of additional amounts from NIC liquidation, due to the high uncertainty of such inflow the company’s investment of RON </w:t>
      </w:r>
      <w:r w:rsidRPr="00A325DA">
        <w:rPr>
          <w:rFonts w:ascii="Cambria" w:eastAsia="Times New Roman" w:hAnsi="Cambria" w:cs="Times New Roman"/>
          <w:sz w:val="24"/>
          <w:szCs w:val="24"/>
          <w:lang w:val="en-GB" w:eastAsia="en-US"/>
        </w:rPr>
        <w:t xml:space="preserve">138,544,435 in NIC has been fully provisioned as at </w:t>
      </w:r>
      <w:r w:rsidR="003C54A6">
        <w:rPr>
          <w:rFonts w:ascii="Cambria" w:eastAsia="Times New Roman" w:hAnsi="Cambria" w:cs="Times New Roman"/>
          <w:sz w:val="24"/>
          <w:szCs w:val="24"/>
          <w:lang w:val="en-GB" w:eastAsia="en-US"/>
        </w:rPr>
        <w:t>31</w:t>
      </w:r>
      <w:r w:rsidR="003C54A6" w:rsidRPr="00A325DA">
        <w:rPr>
          <w:rFonts w:ascii="Cambria" w:eastAsia="Times New Roman" w:hAnsi="Cambria" w:cs="Times New Roman"/>
          <w:sz w:val="24"/>
          <w:szCs w:val="24"/>
          <w:lang w:val="en-GB" w:eastAsia="en-US"/>
        </w:rPr>
        <w:t xml:space="preserve"> </w:t>
      </w:r>
      <w:r w:rsidRPr="00A325DA">
        <w:rPr>
          <w:rFonts w:ascii="Cambria" w:eastAsia="Times New Roman" w:hAnsi="Cambria" w:cs="Times New Roman"/>
          <w:sz w:val="24"/>
          <w:szCs w:val="24"/>
          <w:lang w:val="en-GB" w:eastAsia="en-US"/>
        </w:rPr>
        <w:t>December 2015</w:t>
      </w:r>
      <w:r w:rsidR="003C54A6">
        <w:rPr>
          <w:rFonts w:ascii="Cambria" w:eastAsia="Times New Roman" w:hAnsi="Cambria" w:cs="Times New Roman"/>
          <w:sz w:val="24"/>
          <w:szCs w:val="24"/>
          <w:lang w:val="en-GB" w:eastAsia="en-US"/>
        </w:rPr>
        <w:t xml:space="preserve"> remaining unchanged at </w:t>
      </w:r>
      <w:r w:rsidR="00A325DA">
        <w:rPr>
          <w:rFonts w:ascii="Cambria" w:eastAsia="Times New Roman" w:hAnsi="Cambria" w:cs="Times New Roman"/>
          <w:sz w:val="24"/>
          <w:szCs w:val="24"/>
          <w:lang w:val="en-GB" w:eastAsia="en-US"/>
        </w:rPr>
        <w:t xml:space="preserve"> </w:t>
      </w:r>
      <w:r w:rsidR="003C54A6">
        <w:rPr>
          <w:rFonts w:ascii="Cambria" w:eastAsia="Times New Roman" w:hAnsi="Cambria" w:cs="Times New Roman"/>
          <w:sz w:val="24"/>
          <w:szCs w:val="24"/>
          <w:lang w:val="en-GB" w:eastAsia="en-US"/>
        </w:rPr>
        <w:t>31</w:t>
      </w:r>
      <w:r w:rsidR="003C54A6" w:rsidRPr="00A325DA">
        <w:rPr>
          <w:rFonts w:ascii="Cambria" w:eastAsia="Times New Roman" w:hAnsi="Cambria" w:cs="Times New Roman"/>
          <w:sz w:val="24"/>
          <w:szCs w:val="24"/>
          <w:lang w:val="en-GB" w:eastAsia="en-US"/>
        </w:rPr>
        <w:t xml:space="preserve"> December 2015</w:t>
      </w:r>
      <w:r w:rsidR="003C54A6">
        <w:rPr>
          <w:rFonts w:ascii="Cambria" w:eastAsia="Times New Roman" w:hAnsi="Cambria" w:cs="Times New Roman"/>
          <w:sz w:val="24"/>
          <w:szCs w:val="24"/>
          <w:lang w:val="en-GB" w:eastAsia="en-US"/>
        </w:rPr>
        <w:t xml:space="preserve"> </w:t>
      </w:r>
      <w:r w:rsidR="00A325DA">
        <w:rPr>
          <w:rFonts w:ascii="Cambria" w:eastAsia="Times New Roman" w:hAnsi="Cambria" w:cs="Times New Roman"/>
          <w:sz w:val="24"/>
          <w:szCs w:val="24"/>
          <w:lang w:val="en-GB" w:eastAsia="en-US"/>
        </w:rPr>
        <w:t xml:space="preserve">and </w:t>
      </w:r>
      <w:r w:rsidR="003C54A6">
        <w:rPr>
          <w:rFonts w:ascii="Cambria" w:eastAsia="Times New Roman" w:hAnsi="Cambria" w:cs="Times New Roman"/>
          <w:sz w:val="24"/>
          <w:szCs w:val="24"/>
          <w:lang w:val="en-GB" w:eastAsia="en-US"/>
        </w:rPr>
        <w:t>31</w:t>
      </w:r>
      <w:r w:rsidR="003C54A6" w:rsidRPr="00A325DA">
        <w:rPr>
          <w:rFonts w:ascii="Cambria" w:eastAsia="Times New Roman" w:hAnsi="Cambria" w:cs="Times New Roman"/>
          <w:sz w:val="24"/>
          <w:szCs w:val="24"/>
          <w:lang w:val="en-GB" w:eastAsia="en-US"/>
        </w:rPr>
        <w:t xml:space="preserve"> December</w:t>
      </w:r>
      <w:r w:rsidR="003C54A6">
        <w:rPr>
          <w:rFonts w:ascii="Cambria" w:eastAsia="Times New Roman" w:hAnsi="Cambria" w:cs="Times New Roman"/>
          <w:sz w:val="24"/>
          <w:szCs w:val="24"/>
          <w:lang w:val="en-GB" w:eastAsia="en-US"/>
        </w:rPr>
        <w:t xml:space="preserve"> </w:t>
      </w:r>
      <w:r w:rsidR="00A325DA">
        <w:rPr>
          <w:rFonts w:ascii="Cambria" w:eastAsia="Times New Roman" w:hAnsi="Cambria" w:cs="Times New Roman"/>
          <w:sz w:val="24"/>
          <w:szCs w:val="24"/>
          <w:lang w:val="en-GB" w:eastAsia="en-US"/>
        </w:rPr>
        <w:t>2016</w:t>
      </w:r>
      <w:r w:rsidRPr="00A325DA">
        <w:rPr>
          <w:rFonts w:ascii="Cambria" w:eastAsia="Times New Roman" w:hAnsi="Cambria" w:cs="Times New Roman"/>
          <w:sz w:val="24"/>
          <w:szCs w:val="24"/>
          <w:lang w:val="en-GB" w:eastAsia="en-US"/>
        </w:rPr>
        <w:t xml:space="preserve">. </w:t>
      </w:r>
    </w:p>
    <w:p w:rsidR="0037604E" w:rsidRPr="0037604E" w:rsidRDefault="0037604E" w:rsidP="0037604E">
      <w:pPr>
        <w:spacing w:after="0" w:line="240" w:lineRule="auto"/>
        <w:ind w:firstLine="0"/>
        <w:jc w:val="both"/>
        <w:rPr>
          <w:rFonts w:ascii="Cambria" w:eastAsia="Times New Roman" w:hAnsi="Cambria" w:cs="Times New Roman"/>
          <w:i/>
          <w:color w:val="FF0000"/>
          <w:sz w:val="24"/>
          <w:szCs w:val="24"/>
          <w:highlight w:val="yellow"/>
          <w:lang w:val="en-GB" w:eastAsia="ro-RO"/>
        </w:rPr>
      </w:pPr>
    </w:p>
    <w:p w:rsidR="0037604E" w:rsidRPr="00A325DA" w:rsidRDefault="0037604E" w:rsidP="0037604E">
      <w:pPr>
        <w:spacing w:after="0" w:line="240" w:lineRule="auto"/>
        <w:ind w:firstLine="0"/>
        <w:jc w:val="both"/>
        <w:rPr>
          <w:rFonts w:ascii="Cambria" w:eastAsia="Times New Roman" w:hAnsi="Cambria" w:cs="Times New Roman"/>
          <w:b/>
          <w:sz w:val="24"/>
          <w:szCs w:val="24"/>
          <w:lang w:val="en-GB" w:eastAsia="ro-RO"/>
        </w:rPr>
      </w:pPr>
      <w:r w:rsidRPr="00A325DA">
        <w:rPr>
          <w:rFonts w:ascii="Cambria" w:eastAsia="Times New Roman" w:hAnsi="Cambria" w:cs="Times New Roman"/>
          <w:b/>
          <w:sz w:val="24"/>
          <w:szCs w:val="24"/>
          <w:lang w:val="en-GB" w:eastAsia="ro-RO"/>
        </w:rPr>
        <w:t>Trade receivables and other receivables related to property</w:t>
      </w:r>
    </w:p>
    <w:p w:rsidR="0037604E" w:rsidRPr="00A325DA"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A325DA" w:rsidRDefault="0037604E" w:rsidP="0037604E">
      <w:pPr>
        <w:spacing w:after="0" w:line="240" w:lineRule="auto"/>
        <w:ind w:firstLine="0"/>
        <w:jc w:val="both"/>
        <w:rPr>
          <w:rFonts w:ascii="Cambria" w:eastAsia="Times New Roman" w:hAnsi="Cambria" w:cs="Times New Roman"/>
          <w:sz w:val="24"/>
          <w:szCs w:val="24"/>
          <w:lang w:val="en-GB" w:eastAsia="ro-RO"/>
        </w:rPr>
      </w:pPr>
      <w:r w:rsidRPr="00A325DA">
        <w:rPr>
          <w:rFonts w:ascii="Cambria" w:eastAsia="Times New Roman" w:hAnsi="Cambria" w:cs="Times New Roman"/>
          <w:b/>
          <w:sz w:val="24"/>
          <w:szCs w:val="24"/>
          <w:lang w:val="en-GB" w:eastAsia="ro-RO"/>
        </w:rPr>
        <w:t>Increasing the claim to the</w:t>
      </w:r>
      <w:r w:rsidR="00D4632F">
        <w:rPr>
          <w:rFonts w:ascii="Cambria" w:eastAsia="Times New Roman" w:hAnsi="Cambria" w:cs="Times New Roman"/>
          <w:b/>
          <w:sz w:val="24"/>
          <w:szCs w:val="24"/>
          <w:lang w:val="en-GB" w:eastAsia="ro-RO"/>
        </w:rPr>
        <w:t xml:space="preserve"> NAMR 31 December 2016</w:t>
      </w:r>
      <w:r w:rsidRPr="00A325DA">
        <w:rPr>
          <w:rFonts w:ascii="Cambria" w:eastAsia="Times New Roman" w:hAnsi="Cambria" w:cs="Times New Roman"/>
          <w:b/>
          <w:sz w:val="24"/>
          <w:szCs w:val="24"/>
          <w:lang w:val="en-GB" w:eastAsia="ro-RO"/>
        </w:rPr>
        <w:t xml:space="preserve"> to the amount of RON </w:t>
      </w:r>
      <w:r w:rsidR="00D4632F" w:rsidRPr="00D4632F">
        <w:rPr>
          <w:rFonts w:ascii="Cambria" w:eastAsia="Times New Roman" w:hAnsi="Cambria" w:cs="Times New Roman"/>
          <w:b/>
          <w:sz w:val="24"/>
          <w:szCs w:val="24"/>
          <w:lang w:val="en-GB" w:eastAsia="ro-RO"/>
        </w:rPr>
        <w:t xml:space="preserve">46.680 </w:t>
      </w:r>
      <w:r w:rsidRPr="00A325DA">
        <w:rPr>
          <w:rFonts w:ascii="Cambria" w:eastAsia="Times New Roman" w:hAnsi="Cambria" w:cs="Times New Roman"/>
          <w:b/>
          <w:sz w:val="24"/>
          <w:szCs w:val="24"/>
          <w:lang w:val="en-GB" w:eastAsia="ro-RO"/>
        </w:rPr>
        <w:t>thousand</w:t>
      </w:r>
      <w:r w:rsidRPr="00A325DA">
        <w:rPr>
          <w:rFonts w:ascii="Cambria" w:eastAsia="Times New Roman" w:hAnsi="Cambria" w:cs="Times New Roman"/>
          <w:sz w:val="24"/>
          <w:szCs w:val="24"/>
          <w:lang w:val="en-GB" w:eastAsia="ro-RO"/>
        </w:rPr>
        <w:t xml:space="preserve">, calculated with the entry into force of Law 127 of 5 October 2014 which states that in case of termination of the concession agreement for any reason, or upon termination, the investment of national transmission system operator shall be transferred to the national transmission system owner or another conceding on payment of compensation equal to the regulated depreciated established by ANRE. The company recognized a receivable starting with 2014 and the principal amount remaining regulated revenue in advance. The advance income is recognized in the income statement over the remaining life of the concession agreement. The increase of </w:t>
      </w:r>
      <w:r w:rsidR="00D4632F" w:rsidRPr="00D4632F">
        <w:rPr>
          <w:rFonts w:ascii="Cambria" w:eastAsia="Times New Roman" w:hAnsi="Cambria" w:cs="Times New Roman"/>
          <w:sz w:val="24"/>
          <w:szCs w:val="24"/>
          <w:lang w:val="en-GB" w:eastAsia="ro-RO"/>
        </w:rPr>
        <w:t xml:space="preserve">46.680 </w:t>
      </w:r>
      <w:r w:rsidRPr="00A325DA">
        <w:rPr>
          <w:rFonts w:ascii="Cambria" w:eastAsia="Times New Roman" w:hAnsi="Cambria" w:cs="Times New Roman"/>
          <w:sz w:val="24"/>
          <w:szCs w:val="24"/>
          <w:lang w:val="en-GB" w:eastAsia="ro-RO"/>
        </w:rPr>
        <w:t>thousa</w:t>
      </w:r>
      <w:r w:rsidR="00D4632F">
        <w:rPr>
          <w:rFonts w:ascii="Cambria" w:eastAsia="Times New Roman" w:hAnsi="Cambria" w:cs="Times New Roman"/>
          <w:sz w:val="24"/>
          <w:szCs w:val="24"/>
          <w:lang w:val="en-GB" w:eastAsia="ro-RO"/>
        </w:rPr>
        <w:t>nd compared to December 31, 201</w:t>
      </w:r>
      <w:r w:rsidR="00A01513">
        <w:rPr>
          <w:rFonts w:ascii="Cambria" w:eastAsia="Times New Roman" w:hAnsi="Cambria" w:cs="Times New Roman"/>
          <w:sz w:val="24"/>
          <w:szCs w:val="24"/>
          <w:lang w:val="en-GB" w:eastAsia="ro-RO"/>
        </w:rPr>
        <w:t>5</w:t>
      </w:r>
      <w:r w:rsidRPr="00A325DA">
        <w:rPr>
          <w:rFonts w:ascii="Cambria" w:eastAsia="Times New Roman" w:hAnsi="Cambria" w:cs="Times New Roman"/>
          <w:sz w:val="24"/>
          <w:szCs w:val="24"/>
          <w:lang w:val="en-GB" w:eastAsia="ro-RO"/>
        </w:rPr>
        <w:t xml:space="preserve"> is primarily driven by updating the claim by changes made in the regulated asset base</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D4632F"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D4632F">
        <w:rPr>
          <w:rFonts w:ascii="Cambria" w:eastAsia="Times New Roman" w:hAnsi="Cambria" w:cs="Times New Roman"/>
          <w:b/>
          <w:i/>
          <w:sz w:val="24"/>
          <w:szCs w:val="24"/>
          <w:lang w:val="en-GB" w:eastAsia="ro-RO"/>
        </w:rPr>
        <w:t>Inventories</w:t>
      </w:r>
    </w:p>
    <w:p w:rsidR="0037604E" w:rsidRDefault="0037604E" w:rsidP="0037604E">
      <w:pPr>
        <w:spacing w:after="0" w:line="240" w:lineRule="auto"/>
        <w:ind w:firstLine="0"/>
        <w:jc w:val="both"/>
        <w:rPr>
          <w:rFonts w:ascii="Cambria" w:eastAsia="Times New Roman" w:hAnsi="Cambria" w:cs="Times New Roman"/>
          <w:b/>
          <w:i/>
          <w:color w:val="FF0000"/>
          <w:sz w:val="24"/>
          <w:szCs w:val="24"/>
          <w:highlight w:val="yellow"/>
          <w:lang w:val="en-GB" w:eastAsia="ro-RO"/>
        </w:rPr>
      </w:pPr>
    </w:p>
    <w:p w:rsidR="00D4632F" w:rsidRPr="00D4632F" w:rsidRDefault="00D4632F" w:rsidP="0037604E">
      <w:pPr>
        <w:spacing w:after="0" w:line="240" w:lineRule="auto"/>
        <w:ind w:firstLine="0"/>
        <w:jc w:val="both"/>
        <w:rPr>
          <w:rFonts w:ascii="Cambria" w:eastAsia="Times New Roman" w:hAnsi="Cambria" w:cs="Times New Roman"/>
          <w:sz w:val="24"/>
          <w:szCs w:val="24"/>
          <w:highlight w:val="yellow"/>
          <w:lang w:val="en-GB" w:eastAsia="ro-RO"/>
        </w:rPr>
      </w:pPr>
      <w:r>
        <w:rPr>
          <w:rFonts w:ascii="Cambria" w:eastAsia="Times New Roman" w:hAnsi="Cambria" w:cs="Times New Roman"/>
          <w:sz w:val="24"/>
          <w:szCs w:val="24"/>
          <w:lang w:val="en-GB" w:eastAsia="ro-RO"/>
        </w:rPr>
        <w:t xml:space="preserve">As at </w:t>
      </w:r>
      <w:r w:rsidRPr="00D4632F">
        <w:rPr>
          <w:rFonts w:ascii="Cambria" w:eastAsia="Times New Roman" w:hAnsi="Cambria" w:cs="Times New Roman"/>
          <w:sz w:val="24"/>
          <w:szCs w:val="24"/>
          <w:lang w:val="en-GB" w:eastAsia="ro-RO"/>
        </w:rPr>
        <w:t xml:space="preserve">December 31, 2016 stocks increased by </w:t>
      </w:r>
      <w:r w:rsidRPr="00D4632F">
        <w:rPr>
          <w:rFonts w:ascii="Cambria" w:eastAsia="Times New Roman" w:hAnsi="Cambria" w:cs="Times New Roman"/>
          <w:b/>
          <w:sz w:val="24"/>
          <w:szCs w:val="24"/>
          <w:lang w:val="en-GB" w:eastAsia="ro-RO"/>
        </w:rPr>
        <w:t>RON 9.723</w:t>
      </w:r>
      <w:r w:rsidRPr="00D4632F">
        <w:rPr>
          <w:rFonts w:ascii="Cambria" w:eastAsia="Times New Roman" w:hAnsi="Cambria" w:cs="Times New Roman"/>
          <w:sz w:val="24"/>
          <w:szCs w:val="24"/>
          <w:lang w:val="en-GB" w:eastAsia="ro-RO"/>
        </w:rPr>
        <w:t xml:space="preserve"> thousand compared to 31 December 2015, mainly on account of </w:t>
      </w:r>
      <w:r>
        <w:rPr>
          <w:rFonts w:ascii="Cambria" w:eastAsia="Times New Roman" w:hAnsi="Cambria" w:cs="Times New Roman"/>
          <w:sz w:val="24"/>
          <w:szCs w:val="24"/>
          <w:lang w:val="en-GB" w:eastAsia="ro-RO"/>
        </w:rPr>
        <w:t xml:space="preserve">the </w:t>
      </w:r>
      <w:r w:rsidRPr="00D4632F">
        <w:rPr>
          <w:rFonts w:ascii="Cambria" w:eastAsia="Times New Roman" w:hAnsi="Cambria" w:cs="Times New Roman"/>
          <w:sz w:val="24"/>
          <w:szCs w:val="24"/>
          <w:lang w:val="en-GB" w:eastAsia="ro-RO"/>
        </w:rPr>
        <w:t xml:space="preserve">increase in the stock of natural gas used for balancing NTS </w:t>
      </w:r>
      <w:r>
        <w:rPr>
          <w:rFonts w:ascii="Cambria" w:eastAsia="Times New Roman" w:hAnsi="Cambria" w:cs="Times New Roman"/>
          <w:sz w:val="24"/>
          <w:szCs w:val="24"/>
          <w:lang w:val="en-GB" w:eastAsia="ro-RO"/>
        </w:rPr>
        <w:t>The balancing activity carried out</w:t>
      </w:r>
      <w:r w:rsidRPr="00D4632F">
        <w:rPr>
          <w:rFonts w:ascii="Cambria" w:eastAsia="Times New Roman" w:hAnsi="Cambria" w:cs="Times New Roman"/>
          <w:sz w:val="24"/>
          <w:szCs w:val="24"/>
          <w:lang w:val="en-GB" w:eastAsia="ro-RO"/>
        </w:rPr>
        <w:t xml:space="preserve"> from 1 December 2015 is regulated by ANRE Order no. 160/2015 "</w:t>
      </w:r>
      <w:r>
        <w:rPr>
          <w:rFonts w:ascii="Cambria" w:eastAsia="Times New Roman" w:hAnsi="Cambria" w:cs="Times New Roman"/>
          <w:sz w:val="24"/>
          <w:szCs w:val="24"/>
          <w:lang w:val="en-GB" w:eastAsia="ro-RO"/>
        </w:rPr>
        <w:t xml:space="preserve"> A</w:t>
      </w:r>
      <w:r w:rsidRPr="00D4632F">
        <w:rPr>
          <w:rFonts w:ascii="Cambria" w:eastAsia="Times New Roman" w:hAnsi="Cambria" w:cs="Times New Roman"/>
          <w:sz w:val="24"/>
          <w:szCs w:val="24"/>
          <w:lang w:val="en-GB" w:eastAsia="ro-RO"/>
        </w:rPr>
        <w:t>mendment</w:t>
      </w:r>
      <w:r>
        <w:rPr>
          <w:rFonts w:ascii="Cambria" w:eastAsia="Times New Roman" w:hAnsi="Cambria" w:cs="Times New Roman"/>
          <w:sz w:val="24"/>
          <w:szCs w:val="24"/>
          <w:lang w:val="en-GB" w:eastAsia="ro-RO"/>
        </w:rPr>
        <w:t xml:space="preserve"> and supplementing</w:t>
      </w:r>
      <w:r w:rsidRPr="00D4632F">
        <w:rPr>
          <w:rFonts w:ascii="Cambria" w:eastAsia="Times New Roman" w:hAnsi="Cambria" w:cs="Times New Roman"/>
          <w:sz w:val="24"/>
          <w:szCs w:val="24"/>
          <w:lang w:val="en-GB" w:eastAsia="ro-RO"/>
        </w:rPr>
        <w:t xml:space="preserve"> </w:t>
      </w:r>
      <w:r>
        <w:rPr>
          <w:rFonts w:ascii="Cambria" w:eastAsia="Times New Roman" w:hAnsi="Cambria" w:cs="Times New Roman"/>
          <w:sz w:val="24"/>
          <w:szCs w:val="24"/>
          <w:lang w:val="en-GB" w:eastAsia="ro-RO"/>
        </w:rPr>
        <w:t>of the Network Code of</w:t>
      </w:r>
      <w:r w:rsidRPr="00D4632F">
        <w:rPr>
          <w:rFonts w:ascii="Cambria" w:eastAsia="Times New Roman" w:hAnsi="Cambria" w:cs="Times New Roman"/>
          <w:sz w:val="24"/>
          <w:szCs w:val="24"/>
          <w:lang w:val="en-GB" w:eastAsia="ro-RO"/>
        </w:rPr>
        <w:t xml:space="preserve"> the National </w:t>
      </w:r>
      <w:r>
        <w:rPr>
          <w:rFonts w:ascii="Cambria" w:eastAsia="Times New Roman" w:hAnsi="Cambria" w:cs="Times New Roman"/>
          <w:sz w:val="24"/>
          <w:szCs w:val="24"/>
          <w:lang w:val="en-GB" w:eastAsia="ro-RO"/>
        </w:rPr>
        <w:t>G</w:t>
      </w:r>
      <w:r w:rsidRPr="00D4632F">
        <w:rPr>
          <w:rFonts w:ascii="Cambria" w:eastAsia="Times New Roman" w:hAnsi="Cambria" w:cs="Times New Roman"/>
          <w:sz w:val="24"/>
          <w:szCs w:val="24"/>
          <w:lang w:val="en-GB" w:eastAsia="ro-RO"/>
        </w:rPr>
        <w:t>as Transmission System, approved by Order of the President of the National Energy</w:t>
      </w:r>
      <w:r>
        <w:rPr>
          <w:rFonts w:ascii="Cambria" w:eastAsia="Times New Roman" w:hAnsi="Cambria" w:cs="Times New Roman"/>
          <w:sz w:val="24"/>
          <w:szCs w:val="24"/>
          <w:lang w:val="en-GB" w:eastAsia="ro-RO"/>
        </w:rPr>
        <w:t xml:space="preserve"> Regulatory no. 16/2013 ", establishing</w:t>
      </w:r>
      <w:r w:rsidRPr="00D4632F">
        <w:rPr>
          <w:rFonts w:ascii="Cambria" w:eastAsia="Times New Roman" w:hAnsi="Cambria" w:cs="Times New Roman"/>
          <w:sz w:val="24"/>
          <w:szCs w:val="24"/>
          <w:lang w:val="en-GB" w:eastAsia="ro-RO"/>
        </w:rPr>
        <w:t xml:space="preserve"> the obligation of </w:t>
      </w:r>
      <w:r>
        <w:rPr>
          <w:rFonts w:ascii="Cambria" w:eastAsia="Times New Roman" w:hAnsi="Cambria" w:cs="Times New Roman"/>
          <w:sz w:val="24"/>
          <w:szCs w:val="24"/>
          <w:lang w:val="en-GB" w:eastAsia="ro-RO"/>
        </w:rPr>
        <w:t xml:space="preserve">the company </w:t>
      </w:r>
      <w:r w:rsidRPr="00D4632F">
        <w:rPr>
          <w:rFonts w:ascii="Cambria" w:eastAsia="Times New Roman" w:hAnsi="Cambria" w:cs="Times New Roman"/>
          <w:sz w:val="24"/>
          <w:szCs w:val="24"/>
          <w:lang w:val="en-GB" w:eastAsia="ro-RO"/>
        </w:rPr>
        <w:t xml:space="preserve">to ensure the balancing activity </w:t>
      </w:r>
      <w:r>
        <w:rPr>
          <w:rFonts w:ascii="Cambria" w:eastAsia="Times New Roman" w:hAnsi="Cambria" w:cs="Times New Roman"/>
          <w:sz w:val="24"/>
          <w:szCs w:val="24"/>
          <w:lang w:val="en-GB" w:eastAsia="ro-RO"/>
        </w:rPr>
        <w:t xml:space="preserve">related to </w:t>
      </w:r>
      <w:r w:rsidRPr="00D4632F">
        <w:rPr>
          <w:rFonts w:ascii="Cambria" w:eastAsia="Times New Roman" w:hAnsi="Cambria" w:cs="Times New Roman"/>
          <w:sz w:val="24"/>
          <w:szCs w:val="24"/>
          <w:lang w:val="en-GB" w:eastAsia="ro-RO"/>
        </w:rPr>
        <w:t>the national</w:t>
      </w:r>
      <w:r>
        <w:rPr>
          <w:rFonts w:ascii="Cambria" w:eastAsia="Times New Roman" w:hAnsi="Cambria" w:cs="Times New Roman"/>
          <w:sz w:val="24"/>
          <w:szCs w:val="24"/>
          <w:lang w:val="en-GB" w:eastAsia="ro-RO"/>
        </w:rPr>
        <w:t xml:space="preserve"> gas transmission</w:t>
      </w:r>
      <w:r w:rsidRPr="00D4632F">
        <w:rPr>
          <w:rFonts w:ascii="Cambria" w:eastAsia="Times New Roman" w:hAnsi="Cambria" w:cs="Times New Roman"/>
          <w:sz w:val="24"/>
          <w:szCs w:val="24"/>
          <w:lang w:val="en-GB" w:eastAsia="ro-RO"/>
        </w:rPr>
        <w:t xml:space="preserve"> system, as operator of the transmission system.</w:t>
      </w:r>
    </w:p>
    <w:p w:rsidR="0037604E" w:rsidRPr="0037604E" w:rsidRDefault="0037604E" w:rsidP="0037604E">
      <w:pPr>
        <w:spacing w:after="0" w:line="240" w:lineRule="auto"/>
        <w:ind w:firstLine="0"/>
        <w:jc w:val="both"/>
        <w:rPr>
          <w:rFonts w:ascii="Cambria" w:eastAsia="Times New Roman" w:hAnsi="Cambria" w:cs="Times New Roman"/>
          <w:b/>
          <w:i/>
          <w:color w:val="FF0000"/>
          <w:sz w:val="24"/>
          <w:szCs w:val="24"/>
          <w:lang w:val="en-GB" w:eastAsia="ro-RO"/>
        </w:rPr>
      </w:pPr>
    </w:p>
    <w:p w:rsidR="0037604E" w:rsidRPr="00D4632F"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D4632F">
        <w:rPr>
          <w:rFonts w:ascii="Cambria" w:eastAsia="Times New Roman" w:hAnsi="Cambria" w:cs="Times New Roman"/>
          <w:b/>
          <w:i/>
          <w:sz w:val="24"/>
          <w:szCs w:val="24"/>
          <w:lang w:val="en-GB" w:eastAsia="ro-RO"/>
        </w:rPr>
        <w:t>Trade receivables and other receivables</w:t>
      </w:r>
    </w:p>
    <w:p w:rsidR="0037604E" w:rsidRPr="00D4632F"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D4632F" w:rsidRDefault="00D4632F" w:rsidP="0037604E">
      <w:pPr>
        <w:spacing w:after="0" w:line="240" w:lineRule="auto"/>
        <w:ind w:firstLine="0"/>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t>As at 31 December 2016</w:t>
      </w:r>
      <w:r w:rsidR="0037604E" w:rsidRPr="00D4632F">
        <w:rPr>
          <w:rFonts w:ascii="Cambria" w:eastAsia="Times New Roman" w:hAnsi="Cambria" w:cs="Times New Roman"/>
          <w:sz w:val="24"/>
          <w:szCs w:val="24"/>
          <w:lang w:val="en-GB" w:eastAsia="ro-RO"/>
        </w:rPr>
        <w:t xml:space="preserve"> the balance figure of the trade receivab</w:t>
      </w:r>
      <w:r>
        <w:rPr>
          <w:rFonts w:ascii="Cambria" w:eastAsia="Times New Roman" w:hAnsi="Cambria" w:cs="Times New Roman"/>
          <w:sz w:val="24"/>
          <w:szCs w:val="24"/>
          <w:lang w:val="en-GB" w:eastAsia="ro-RO"/>
        </w:rPr>
        <w:t xml:space="preserve">les and other receivables </w:t>
      </w:r>
      <w:r w:rsidRPr="00BF70ED">
        <w:rPr>
          <w:rFonts w:ascii="Cambria" w:eastAsia="Times New Roman" w:hAnsi="Cambria" w:cs="Times New Roman"/>
          <w:b/>
          <w:sz w:val="24"/>
          <w:szCs w:val="24"/>
          <w:lang w:val="en-GB" w:eastAsia="ro-RO"/>
        </w:rPr>
        <w:t>has in</w:t>
      </w:r>
      <w:r w:rsidR="0037604E" w:rsidRPr="00BF70ED">
        <w:rPr>
          <w:rFonts w:ascii="Cambria" w:eastAsia="Times New Roman" w:hAnsi="Cambria" w:cs="Times New Roman"/>
          <w:b/>
          <w:sz w:val="24"/>
          <w:szCs w:val="24"/>
          <w:lang w:val="en-GB" w:eastAsia="ro-RO"/>
        </w:rPr>
        <w:t>creased by RON</w:t>
      </w:r>
      <w:r w:rsidR="0037604E" w:rsidRPr="00D4632F">
        <w:rPr>
          <w:rFonts w:ascii="Cambria" w:eastAsia="Times New Roman" w:hAnsi="Cambria" w:cs="Times New Roman"/>
          <w:sz w:val="24"/>
          <w:szCs w:val="24"/>
          <w:lang w:val="en-GB" w:eastAsia="ro-RO"/>
        </w:rPr>
        <w:t xml:space="preserve"> </w:t>
      </w:r>
      <w:r w:rsidRPr="00D4632F">
        <w:rPr>
          <w:rFonts w:ascii="Cambria" w:eastAsia="Times New Roman" w:hAnsi="Cambria" w:cs="Times New Roman"/>
          <w:b/>
          <w:sz w:val="24"/>
          <w:szCs w:val="24"/>
          <w:lang w:val="en-GB" w:eastAsia="ro-RO"/>
        </w:rPr>
        <w:t>160.961 thousand</w:t>
      </w:r>
      <w:r w:rsidRPr="00D4632F">
        <w:rPr>
          <w:rFonts w:ascii="Cambria" w:eastAsia="Times New Roman" w:hAnsi="Cambria" w:cs="Times New Roman"/>
          <w:sz w:val="24"/>
          <w:szCs w:val="24"/>
          <w:lang w:val="en-GB" w:eastAsia="ro-RO"/>
        </w:rPr>
        <w:t xml:space="preserve"> </w:t>
      </w:r>
      <w:r w:rsidR="002E5197">
        <w:rPr>
          <w:rFonts w:ascii="Cambria" w:eastAsia="Times New Roman" w:hAnsi="Cambria" w:cs="Times New Roman"/>
          <w:sz w:val="24"/>
          <w:szCs w:val="24"/>
          <w:lang w:val="en-GB" w:eastAsia="ro-RO"/>
        </w:rPr>
        <w:t>as compared to 31 December 2015</w:t>
      </w:r>
      <w:r w:rsidR="0037604E" w:rsidRPr="00D4632F">
        <w:rPr>
          <w:rFonts w:ascii="Cambria" w:eastAsia="Times New Roman" w:hAnsi="Cambria" w:cs="Times New Roman"/>
          <w:sz w:val="24"/>
          <w:szCs w:val="24"/>
          <w:lang w:val="en-GB" w:eastAsia="ro-RO"/>
        </w:rPr>
        <w:t>, mainly due to the following factors:</w:t>
      </w:r>
    </w:p>
    <w:p w:rsidR="0037604E" w:rsidRPr="00D4632F"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D4632F" w:rsidRDefault="0037604E" w:rsidP="00FA6EB9">
      <w:pPr>
        <w:numPr>
          <w:ilvl w:val="0"/>
          <w:numId w:val="65"/>
        </w:numPr>
        <w:spacing w:after="0" w:line="240" w:lineRule="auto"/>
        <w:contextualSpacing/>
        <w:jc w:val="both"/>
        <w:rPr>
          <w:rFonts w:ascii="Cambria" w:eastAsia="Times New Roman" w:hAnsi="Cambria" w:cs="Times New Roman"/>
          <w:sz w:val="24"/>
          <w:szCs w:val="24"/>
          <w:lang w:val="en-GB" w:eastAsia="ro-RO"/>
        </w:rPr>
      </w:pPr>
      <w:r w:rsidRPr="00D4632F">
        <w:rPr>
          <w:rFonts w:ascii="Cambria" w:eastAsia="Times New Roman" w:hAnsi="Cambria" w:cs="Times New Roman"/>
          <w:sz w:val="24"/>
          <w:szCs w:val="24"/>
          <w:lang w:val="en-GB" w:eastAsia="ro-RO"/>
        </w:rPr>
        <w:t xml:space="preserve">increase in the balance of accounts receivable by RON </w:t>
      </w:r>
      <w:r w:rsidR="002E5197" w:rsidRPr="002E5197">
        <w:rPr>
          <w:rFonts w:ascii="Cambria" w:eastAsia="Times New Roman" w:hAnsi="Cambria" w:cs="Times New Roman"/>
          <w:b/>
          <w:sz w:val="24"/>
          <w:szCs w:val="24"/>
          <w:lang w:val="en-GB" w:eastAsia="ro-RO"/>
        </w:rPr>
        <w:t xml:space="preserve">319.838 </w:t>
      </w:r>
      <w:r w:rsidRPr="00D4632F">
        <w:rPr>
          <w:rFonts w:ascii="Cambria" w:eastAsia="Times New Roman" w:hAnsi="Cambria" w:cs="Times New Roman"/>
          <w:sz w:val="24"/>
          <w:szCs w:val="24"/>
          <w:lang w:val="en-GB" w:eastAsia="ro-RO"/>
        </w:rPr>
        <w:t xml:space="preserve">thousand is mainly driven by the increase of claims resulting from the </w:t>
      </w:r>
      <w:r w:rsidR="002E5197">
        <w:rPr>
          <w:rFonts w:ascii="Cambria" w:eastAsia="Times New Roman" w:hAnsi="Cambria" w:cs="Times New Roman"/>
          <w:sz w:val="24"/>
          <w:szCs w:val="24"/>
          <w:lang w:val="en-GB" w:eastAsia="ro-RO"/>
        </w:rPr>
        <w:t>activity</w:t>
      </w:r>
      <w:r w:rsidRPr="00D4632F">
        <w:rPr>
          <w:rFonts w:ascii="Cambria" w:eastAsia="Times New Roman" w:hAnsi="Cambria" w:cs="Times New Roman"/>
          <w:sz w:val="24"/>
          <w:szCs w:val="24"/>
          <w:lang w:val="en-GB" w:eastAsia="ro-RO"/>
        </w:rPr>
        <w:t xml:space="preserve"> of international transit</w:t>
      </w:r>
      <w:r w:rsidR="002E5197">
        <w:rPr>
          <w:rFonts w:ascii="Cambria" w:eastAsia="Times New Roman" w:hAnsi="Cambria" w:cs="Times New Roman"/>
          <w:sz w:val="24"/>
          <w:szCs w:val="24"/>
          <w:lang w:val="en-GB" w:eastAsia="ro-RO"/>
        </w:rPr>
        <w:t xml:space="preserve"> and transmission</w:t>
      </w:r>
      <w:r w:rsidRPr="00D4632F">
        <w:rPr>
          <w:rFonts w:ascii="Cambria" w:eastAsia="Times New Roman" w:hAnsi="Cambria" w:cs="Times New Roman"/>
          <w:sz w:val="24"/>
          <w:szCs w:val="24"/>
          <w:lang w:val="en-GB" w:eastAsia="ro-RO"/>
        </w:rPr>
        <w:t xml:space="preserve"> (due to the indexation fee for</w:t>
      </w:r>
      <w:r w:rsidR="002E5197">
        <w:rPr>
          <w:rFonts w:ascii="Cambria" w:eastAsia="Times New Roman" w:hAnsi="Cambria" w:cs="Times New Roman"/>
          <w:sz w:val="24"/>
          <w:szCs w:val="24"/>
          <w:lang w:val="en-GB" w:eastAsia="ro-RO"/>
        </w:rPr>
        <w:t xml:space="preserve"> domestic and</w:t>
      </w:r>
      <w:r w:rsidRPr="00D4632F">
        <w:rPr>
          <w:rFonts w:ascii="Cambria" w:eastAsia="Times New Roman" w:hAnsi="Cambria" w:cs="Times New Roman"/>
          <w:sz w:val="24"/>
          <w:szCs w:val="24"/>
          <w:lang w:val="en-GB" w:eastAsia="ro-RO"/>
        </w:rPr>
        <w:t xml:space="preserve"> international transmission) and the increase of the balance of uncollect</w:t>
      </w:r>
      <w:r w:rsidR="002E5197">
        <w:rPr>
          <w:rFonts w:ascii="Cambria" w:eastAsia="Times New Roman" w:hAnsi="Cambria" w:cs="Times New Roman"/>
          <w:sz w:val="24"/>
          <w:szCs w:val="24"/>
          <w:lang w:val="en-GB" w:eastAsia="ro-RO"/>
        </w:rPr>
        <w:t>ible accounts receivable in 2016 compared to 2015;</w:t>
      </w:r>
    </w:p>
    <w:p w:rsidR="0037604E" w:rsidRPr="00D4632F" w:rsidRDefault="002E5197"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Pr>
          <w:rFonts w:ascii="Cambria" w:eastAsia="Times New Roman" w:hAnsi="Cambria" w:cs="Times New Roman"/>
          <w:b/>
          <w:sz w:val="24"/>
          <w:szCs w:val="24"/>
          <w:lang w:val="en-GB" w:eastAsia="ro-RO"/>
        </w:rPr>
        <w:t>de</w:t>
      </w:r>
      <w:r w:rsidR="0037604E" w:rsidRPr="00D4632F">
        <w:rPr>
          <w:rFonts w:ascii="Cambria" w:eastAsia="Times New Roman" w:hAnsi="Cambria" w:cs="Times New Roman"/>
          <w:b/>
          <w:sz w:val="24"/>
          <w:szCs w:val="24"/>
          <w:lang w:val="en-GB" w:eastAsia="ro-RO"/>
        </w:rPr>
        <w:t xml:space="preserve">crease of the balance of various debtors amounting to RON </w:t>
      </w:r>
      <w:r w:rsidRPr="002E5197">
        <w:rPr>
          <w:rFonts w:ascii="Cambria" w:eastAsia="Times New Roman" w:hAnsi="Cambria" w:cs="Times New Roman"/>
          <w:b/>
          <w:sz w:val="24"/>
          <w:szCs w:val="24"/>
          <w:lang w:val="en-GB" w:eastAsia="ro-RO"/>
        </w:rPr>
        <w:t>115</w:t>
      </w:r>
      <w:r>
        <w:rPr>
          <w:rFonts w:ascii="Cambria" w:eastAsia="Times New Roman" w:hAnsi="Cambria" w:cs="Times New Roman"/>
          <w:b/>
          <w:sz w:val="24"/>
          <w:szCs w:val="24"/>
          <w:lang w:val="en-GB" w:eastAsia="ro-RO"/>
        </w:rPr>
        <w:t xml:space="preserve"> thousand;</w:t>
      </w:r>
    </w:p>
    <w:p w:rsidR="0037604E" w:rsidRPr="00D4632F" w:rsidRDefault="0037604E"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sidRPr="00D4632F">
        <w:rPr>
          <w:rFonts w:ascii="Cambria" w:eastAsia="Times New Roman" w:hAnsi="Cambria" w:cs="Times New Roman"/>
          <w:b/>
          <w:sz w:val="24"/>
          <w:szCs w:val="24"/>
          <w:lang w:val="en-GB" w:eastAsia="ro-RO"/>
        </w:rPr>
        <w:t xml:space="preserve">decrease in advances to suppliers </w:t>
      </w:r>
      <w:r w:rsidR="002E5197" w:rsidRPr="00D4632F">
        <w:rPr>
          <w:rFonts w:ascii="Cambria" w:eastAsia="Times New Roman" w:hAnsi="Cambria" w:cs="Times New Roman"/>
          <w:b/>
          <w:sz w:val="24"/>
          <w:szCs w:val="24"/>
          <w:lang w:val="en-GB" w:eastAsia="ro-RO"/>
        </w:rPr>
        <w:t>RON</w:t>
      </w:r>
      <w:r w:rsidR="002E5197" w:rsidRPr="002E5197">
        <w:rPr>
          <w:rFonts w:ascii="Cambria" w:eastAsia="Times New Roman" w:hAnsi="Cambria" w:cs="Times New Roman"/>
          <w:b/>
          <w:sz w:val="24"/>
          <w:szCs w:val="24"/>
          <w:lang w:val="en-GB" w:eastAsia="ro-RO"/>
        </w:rPr>
        <w:t xml:space="preserve"> 915</w:t>
      </w:r>
      <w:r w:rsidR="002E5197">
        <w:rPr>
          <w:rFonts w:ascii="Cambria" w:eastAsia="Times New Roman" w:hAnsi="Cambria" w:cs="Times New Roman"/>
          <w:b/>
          <w:sz w:val="24"/>
          <w:szCs w:val="24"/>
          <w:lang w:val="en-GB" w:eastAsia="ro-RO"/>
        </w:rPr>
        <w:t xml:space="preserve"> </w:t>
      </w:r>
      <w:r w:rsidRPr="00D4632F">
        <w:rPr>
          <w:rFonts w:ascii="Cambria" w:eastAsia="Times New Roman" w:hAnsi="Cambria" w:cs="Times New Roman"/>
          <w:b/>
          <w:sz w:val="24"/>
          <w:szCs w:val="24"/>
          <w:lang w:val="en-GB" w:eastAsia="ro-RO"/>
        </w:rPr>
        <w:t>thousand;</w:t>
      </w:r>
    </w:p>
    <w:p w:rsidR="0037604E" w:rsidRPr="00D4632F" w:rsidRDefault="002E5197" w:rsidP="00FA6EB9">
      <w:pPr>
        <w:numPr>
          <w:ilvl w:val="0"/>
          <w:numId w:val="65"/>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b/>
          <w:sz w:val="24"/>
          <w:szCs w:val="24"/>
          <w:lang w:val="en-GB" w:eastAsia="ro-RO"/>
        </w:rPr>
        <w:t>distribution of</w:t>
      </w:r>
      <w:r w:rsidR="0037604E" w:rsidRPr="00D4632F">
        <w:rPr>
          <w:rFonts w:ascii="Cambria" w:eastAsia="Times New Roman" w:hAnsi="Cambria" w:cs="Times New Roman"/>
          <w:b/>
          <w:sz w:val="24"/>
          <w:szCs w:val="24"/>
          <w:lang w:val="en-GB" w:eastAsia="ro-RO"/>
        </w:rPr>
        <w:t xml:space="preserve"> grants receivable amounted to </w:t>
      </w:r>
      <w:r w:rsidRPr="002E5197">
        <w:rPr>
          <w:rFonts w:ascii="Cambria" w:eastAsia="Times New Roman" w:hAnsi="Cambria" w:cs="Times New Roman"/>
          <w:b/>
          <w:sz w:val="24"/>
          <w:szCs w:val="24"/>
          <w:lang w:val="en-GB" w:eastAsia="ro-RO"/>
        </w:rPr>
        <w:t xml:space="preserve">RON 19.703 </w:t>
      </w:r>
      <w:r w:rsidR="0037604E" w:rsidRPr="00D4632F">
        <w:rPr>
          <w:rFonts w:ascii="Cambria" w:eastAsia="Times New Roman" w:hAnsi="Cambria" w:cs="Times New Roman"/>
          <w:b/>
          <w:sz w:val="24"/>
          <w:szCs w:val="24"/>
          <w:lang w:val="en-GB" w:eastAsia="ro-RO"/>
        </w:rPr>
        <w:t>thousand</w:t>
      </w:r>
      <w:r w:rsidR="0037604E" w:rsidRPr="00D4632F">
        <w:rPr>
          <w:rFonts w:ascii="Cambria" w:eastAsia="Times New Roman" w:hAnsi="Cambria" w:cs="Times New Roman"/>
          <w:sz w:val="24"/>
          <w:szCs w:val="24"/>
          <w:lang w:val="en-GB" w:eastAsia="ro-RO"/>
        </w:rPr>
        <w:t>;</w:t>
      </w:r>
    </w:p>
    <w:p w:rsidR="0037604E" w:rsidRPr="00D4632F" w:rsidRDefault="0037604E"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sidRPr="00D4632F">
        <w:rPr>
          <w:rFonts w:ascii="Cambria" w:eastAsia="Times New Roman" w:hAnsi="Cambria" w:cs="Times New Roman"/>
          <w:sz w:val="24"/>
          <w:szCs w:val="24"/>
          <w:lang w:val="en-GB" w:eastAsia="ro-RO"/>
        </w:rPr>
        <w:t xml:space="preserve"> </w:t>
      </w:r>
      <w:r w:rsidR="002E5197">
        <w:rPr>
          <w:rFonts w:ascii="Cambria" w:eastAsia="Times New Roman" w:hAnsi="Cambria" w:cs="Times New Roman"/>
          <w:b/>
          <w:sz w:val="24"/>
          <w:szCs w:val="24"/>
          <w:lang w:val="en-GB" w:eastAsia="ro-RO"/>
        </w:rPr>
        <w:t>balances de</w:t>
      </w:r>
      <w:r w:rsidRPr="00D4632F">
        <w:rPr>
          <w:rFonts w:ascii="Cambria" w:eastAsia="Times New Roman" w:hAnsi="Cambria" w:cs="Times New Roman"/>
          <w:b/>
          <w:sz w:val="24"/>
          <w:szCs w:val="24"/>
          <w:lang w:val="en-GB" w:eastAsia="ro-RO"/>
        </w:rPr>
        <w:t xml:space="preserve">creased advance expenditure amounted to </w:t>
      </w:r>
      <w:r w:rsidR="002E5197" w:rsidRPr="00D4632F">
        <w:rPr>
          <w:rFonts w:ascii="Cambria" w:eastAsia="Times New Roman" w:hAnsi="Cambria" w:cs="Times New Roman"/>
          <w:b/>
          <w:sz w:val="24"/>
          <w:szCs w:val="24"/>
          <w:lang w:val="en-GB" w:eastAsia="ro-RO"/>
        </w:rPr>
        <w:t>RON</w:t>
      </w:r>
      <w:r w:rsidR="002E5197" w:rsidRPr="007F1120">
        <w:rPr>
          <w:rFonts w:asciiTheme="majorHAnsi" w:eastAsia="Times New Roman" w:hAnsiTheme="majorHAnsi" w:cs="Times New Roman"/>
          <w:b/>
          <w:bCs/>
          <w:sz w:val="24"/>
          <w:szCs w:val="24"/>
          <w:lang w:eastAsia="ro-RO"/>
        </w:rPr>
        <w:t xml:space="preserve"> 2.558 </w:t>
      </w:r>
      <w:r w:rsidRPr="00D4632F">
        <w:rPr>
          <w:rFonts w:ascii="Cambria" w:eastAsia="Times New Roman" w:hAnsi="Cambria" w:cs="Times New Roman"/>
          <w:b/>
          <w:sz w:val="24"/>
          <w:szCs w:val="24"/>
          <w:lang w:val="en-GB" w:eastAsia="ro-RO"/>
        </w:rPr>
        <w:t xml:space="preserve"> thousand;</w:t>
      </w:r>
    </w:p>
    <w:p w:rsidR="0037604E" w:rsidRPr="00D4632F" w:rsidRDefault="0037604E"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sidRPr="00D4632F">
        <w:rPr>
          <w:rFonts w:ascii="Cambria" w:eastAsia="Times New Roman" w:hAnsi="Cambria" w:cs="Times New Roman"/>
          <w:b/>
          <w:sz w:val="24"/>
          <w:szCs w:val="24"/>
          <w:lang w:val="en-GB" w:eastAsia="ro-RO"/>
        </w:rPr>
        <w:t xml:space="preserve"> </w:t>
      </w:r>
      <w:r w:rsidR="002E5197">
        <w:rPr>
          <w:rFonts w:ascii="Cambria" w:eastAsia="Times New Roman" w:hAnsi="Cambria" w:cs="Times New Roman"/>
          <w:b/>
          <w:sz w:val="24"/>
          <w:szCs w:val="24"/>
          <w:lang w:val="en-GB" w:eastAsia="ro-RO"/>
        </w:rPr>
        <w:t xml:space="preserve">Reduction of the </w:t>
      </w:r>
      <w:r w:rsidRPr="00D4632F">
        <w:rPr>
          <w:rFonts w:ascii="Cambria" w:eastAsia="Times New Roman" w:hAnsi="Cambria" w:cs="Times New Roman"/>
          <w:b/>
          <w:sz w:val="24"/>
          <w:szCs w:val="24"/>
          <w:lang w:val="en-GB" w:eastAsia="ro-RO"/>
        </w:rPr>
        <w:t xml:space="preserve">recoverable VAT registration in the amount of </w:t>
      </w:r>
      <w:r w:rsidR="002E5197" w:rsidRPr="00D4632F">
        <w:rPr>
          <w:rFonts w:ascii="Cambria" w:eastAsia="Times New Roman" w:hAnsi="Cambria" w:cs="Times New Roman"/>
          <w:b/>
          <w:sz w:val="24"/>
          <w:szCs w:val="24"/>
          <w:lang w:val="en-GB" w:eastAsia="ro-RO"/>
        </w:rPr>
        <w:t>RON</w:t>
      </w:r>
      <w:r w:rsidR="002E5197" w:rsidRPr="007F1120">
        <w:rPr>
          <w:rFonts w:asciiTheme="majorHAnsi" w:eastAsia="Times New Roman" w:hAnsiTheme="majorHAnsi" w:cs="Times New Roman"/>
          <w:b/>
          <w:bCs/>
          <w:sz w:val="24"/>
          <w:szCs w:val="24"/>
          <w:lang w:eastAsia="ro-RO"/>
        </w:rPr>
        <w:t xml:space="preserve"> 2.558 </w:t>
      </w:r>
      <w:r w:rsidRPr="00D4632F">
        <w:rPr>
          <w:rFonts w:ascii="Cambria" w:eastAsia="Times New Roman" w:hAnsi="Cambria" w:cs="Times New Roman"/>
          <w:b/>
          <w:sz w:val="24"/>
          <w:szCs w:val="24"/>
          <w:lang w:val="en-GB" w:eastAsia="ro-RO"/>
        </w:rPr>
        <w:t>thousand;</w:t>
      </w:r>
    </w:p>
    <w:p w:rsidR="0037604E" w:rsidRDefault="002E5197"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Pr>
          <w:rFonts w:ascii="Cambria" w:eastAsia="Times New Roman" w:hAnsi="Cambria" w:cs="Times New Roman"/>
          <w:b/>
          <w:sz w:val="24"/>
          <w:szCs w:val="24"/>
          <w:lang w:val="en-GB" w:eastAsia="ro-RO"/>
        </w:rPr>
        <w:t>VAT decrease due in balance by</w:t>
      </w:r>
      <w:r w:rsidR="0037604E" w:rsidRPr="00D4632F">
        <w:rPr>
          <w:rFonts w:ascii="Cambria" w:eastAsia="Times New Roman" w:hAnsi="Cambria" w:cs="Times New Roman"/>
          <w:b/>
          <w:sz w:val="24"/>
          <w:szCs w:val="24"/>
          <w:lang w:val="en-GB" w:eastAsia="ro-RO"/>
        </w:rPr>
        <w:t xml:space="preserve"> </w:t>
      </w:r>
      <w:r w:rsidRPr="00D4632F">
        <w:rPr>
          <w:rFonts w:ascii="Cambria" w:eastAsia="Times New Roman" w:hAnsi="Cambria" w:cs="Times New Roman"/>
          <w:b/>
          <w:sz w:val="24"/>
          <w:szCs w:val="24"/>
          <w:lang w:val="en-GB" w:eastAsia="ro-RO"/>
        </w:rPr>
        <w:t>RON</w:t>
      </w:r>
      <w:r w:rsidRPr="002E5197">
        <w:rPr>
          <w:rFonts w:ascii="Cambria" w:eastAsia="Times New Roman" w:hAnsi="Cambria" w:cs="Times New Roman"/>
          <w:b/>
          <w:sz w:val="24"/>
          <w:szCs w:val="24"/>
          <w:lang w:val="en-GB" w:eastAsia="ro-RO"/>
        </w:rPr>
        <w:t xml:space="preserve"> 7.671 </w:t>
      </w:r>
      <w:r w:rsidRPr="00D4632F">
        <w:rPr>
          <w:rFonts w:ascii="Cambria" w:eastAsia="Times New Roman" w:hAnsi="Cambria" w:cs="Times New Roman"/>
          <w:b/>
          <w:sz w:val="24"/>
          <w:szCs w:val="24"/>
          <w:lang w:val="en-GB" w:eastAsia="ro-RO"/>
        </w:rPr>
        <w:t>thousand</w:t>
      </w:r>
      <w:r w:rsidR="0037604E" w:rsidRPr="00D4632F">
        <w:rPr>
          <w:rFonts w:ascii="Cambria" w:eastAsia="Times New Roman" w:hAnsi="Cambria" w:cs="Times New Roman"/>
          <w:b/>
          <w:sz w:val="24"/>
          <w:szCs w:val="24"/>
          <w:lang w:val="en-GB" w:eastAsia="ro-RO"/>
        </w:rPr>
        <w:t>;</w:t>
      </w:r>
    </w:p>
    <w:p w:rsidR="00E07026" w:rsidRPr="00D4632F" w:rsidRDefault="00E07026"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Pr>
          <w:rFonts w:ascii="Cambria" w:eastAsia="Times New Roman" w:hAnsi="Cambria" w:cs="Times New Roman"/>
          <w:b/>
          <w:sz w:val="24"/>
          <w:szCs w:val="24"/>
          <w:lang w:val="en-GB" w:eastAsia="ro-RO"/>
        </w:rPr>
        <w:t xml:space="preserve">Registration of a claim to the state budget amounting to RON  </w:t>
      </w:r>
      <w:r w:rsidRPr="00E07026">
        <w:rPr>
          <w:rFonts w:ascii="Cambria" w:eastAsia="Times New Roman" w:hAnsi="Cambria" w:cs="Times New Roman"/>
          <w:b/>
          <w:sz w:val="24"/>
          <w:szCs w:val="24"/>
          <w:lang w:val="en-GB" w:eastAsia="ro-RO"/>
        </w:rPr>
        <w:t xml:space="preserve">25.409 </w:t>
      </w:r>
      <w:r w:rsidRPr="00D4632F">
        <w:rPr>
          <w:rFonts w:ascii="Cambria" w:eastAsia="Times New Roman" w:hAnsi="Cambria" w:cs="Times New Roman"/>
          <w:b/>
          <w:sz w:val="24"/>
          <w:szCs w:val="24"/>
          <w:lang w:val="en-GB" w:eastAsia="ro-RO"/>
        </w:rPr>
        <w:t>thousand;</w:t>
      </w:r>
    </w:p>
    <w:p w:rsidR="0037604E" w:rsidRDefault="0037604E"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sidRPr="00D4632F">
        <w:rPr>
          <w:rFonts w:ascii="Cambria" w:eastAsia="Times New Roman" w:hAnsi="Cambria" w:cs="Times New Roman"/>
          <w:b/>
          <w:sz w:val="24"/>
          <w:szCs w:val="24"/>
          <w:lang w:val="en-GB" w:eastAsia="ro-RO"/>
        </w:rPr>
        <w:lastRenderedPageBreak/>
        <w:t xml:space="preserve">higher provisions for impairment of trade receivables and other receivables by </w:t>
      </w:r>
      <w:r w:rsidR="00E07026" w:rsidRPr="00D4632F">
        <w:rPr>
          <w:rFonts w:ascii="Cambria" w:eastAsia="Times New Roman" w:hAnsi="Cambria" w:cs="Times New Roman"/>
          <w:b/>
          <w:sz w:val="24"/>
          <w:szCs w:val="24"/>
          <w:lang w:val="en-GB" w:eastAsia="ro-RO"/>
        </w:rPr>
        <w:t>RON</w:t>
      </w:r>
      <w:r w:rsidR="00E07026" w:rsidRPr="00E07026">
        <w:rPr>
          <w:rFonts w:ascii="Cambria" w:eastAsia="Times New Roman" w:hAnsi="Cambria" w:cs="Times New Roman"/>
          <w:b/>
          <w:sz w:val="24"/>
          <w:szCs w:val="24"/>
          <w:lang w:val="en-GB" w:eastAsia="ro-RO"/>
        </w:rPr>
        <w:t xml:space="preserve"> 99.420 </w:t>
      </w:r>
      <w:r w:rsidRPr="00D4632F">
        <w:rPr>
          <w:rFonts w:ascii="Cambria" w:eastAsia="Times New Roman" w:hAnsi="Cambria" w:cs="Times New Roman"/>
          <w:b/>
          <w:sz w:val="24"/>
          <w:szCs w:val="24"/>
          <w:lang w:val="en-GB" w:eastAsia="ro-RO"/>
        </w:rPr>
        <w:t>thousand;</w:t>
      </w:r>
    </w:p>
    <w:p w:rsidR="00E07026" w:rsidRPr="00D4632F" w:rsidRDefault="00E07026" w:rsidP="00FA6EB9">
      <w:pPr>
        <w:numPr>
          <w:ilvl w:val="0"/>
          <w:numId w:val="65"/>
        </w:numPr>
        <w:spacing w:after="0" w:line="240" w:lineRule="auto"/>
        <w:contextualSpacing/>
        <w:jc w:val="both"/>
        <w:rPr>
          <w:rFonts w:ascii="Cambria" w:eastAsia="Times New Roman" w:hAnsi="Cambria" w:cs="Times New Roman"/>
          <w:b/>
          <w:sz w:val="24"/>
          <w:szCs w:val="24"/>
          <w:lang w:val="en-GB" w:eastAsia="ro-RO"/>
        </w:rPr>
      </w:pPr>
      <w:r w:rsidRPr="00D4632F">
        <w:rPr>
          <w:rFonts w:ascii="Cambria" w:eastAsia="Times New Roman" w:hAnsi="Cambria" w:cs="Times New Roman"/>
          <w:b/>
          <w:sz w:val="24"/>
          <w:szCs w:val="24"/>
          <w:lang w:val="en-GB" w:eastAsia="ro-RO"/>
        </w:rPr>
        <w:t>decrease in</w:t>
      </w:r>
      <w:r>
        <w:rPr>
          <w:rFonts w:ascii="Cambria" w:eastAsia="Times New Roman" w:hAnsi="Cambria" w:cs="Times New Roman"/>
          <w:b/>
          <w:sz w:val="24"/>
          <w:szCs w:val="24"/>
          <w:lang w:val="en-GB" w:eastAsia="ro-RO"/>
        </w:rPr>
        <w:t xml:space="preserve"> the balance of fixed </w:t>
      </w:r>
      <w:r w:rsidRPr="00D4632F">
        <w:rPr>
          <w:rFonts w:ascii="Cambria" w:eastAsia="Times New Roman" w:hAnsi="Cambria" w:cs="Times New Roman"/>
          <w:b/>
          <w:sz w:val="24"/>
          <w:szCs w:val="24"/>
          <w:lang w:val="en-GB" w:eastAsia="ro-RO"/>
        </w:rPr>
        <w:t>receivables</w:t>
      </w:r>
      <w:r>
        <w:rPr>
          <w:rFonts w:ascii="Cambria" w:eastAsia="Times New Roman" w:hAnsi="Cambria" w:cs="Times New Roman"/>
          <w:b/>
          <w:sz w:val="24"/>
          <w:szCs w:val="24"/>
          <w:lang w:val="en-GB" w:eastAsia="ro-RO"/>
        </w:rPr>
        <w:t xml:space="preserve"> by </w:t>
      </w:r>
      <w:r w:rsidRPr="00D4632F">
        <w:rPr>
          <w:rFonts w:ascii="Cambria" w:eastAsia="Times New Roman" w:hAnsi="Cambria" w:cs="Times New Roman"/>
          <w:b/>
          <w:sz w:val="24"/>
          <w:szCs w:val="24"/>
          <w:lang w:val="en-GB" w:eastAsia="ro-RO"/>
        </w:rPr>
        <w:t>RON</w:t>
      </w:r>
      <w:r>
        <w:rPr>
          <w:rFonts w:ascii="Cambria" w:eastAsia="Times New Roman" w:hAnsi="Cambria" w:cs="Times New Roman"/>
          <w:b/>
          <w:sz w:val="24"/>
          <w:szCs w:val="24"/>
          <w:lang w:val="en-GB" w:eastAsia="ro-RO"/>
        </w:rPr>
        <w:t xml:space="preserve"> </w:t>
      </w:r>
      <w:r w:rsidRPr="00E07026">
        <w:rPr>
          <w:rFonts w:ascii="Cambria" w:eastAsia="Times New Roman" w:hAnsi="Cambria" w:cs="Times New Roman"/>
          <w:b/>
          <w:sz w:val="24"/>
          <w:szCs w:val="24"/>
          <w:lang w:val="en-GB" w:eastAsia="ro-RO"/>
        </w:rPr>
        <w:t xml:space="preserve">51.646 </w:t>
      </w:r>
      <w:r w:rsidRPr="00D4632F">
        <w:rPr>
          <w:rFonts w:ascii="Cambria" w:eastAsia="Times New Roman" w:hAnsi="Cambria" w:cs="Times New Roman"/>
          <w:b/>
          <w:sz w:val="24"/>
          <w:szCs w:val="24"/>
          <w:lang w:val="en-GB" w:eastAsia="ro-RO"/>
        </w:rPr>
        <w:t>thousand;</w:t>
      </w:r>
    </w:p>
    <w:p w:rsidR="0037604E" w:rsidRPr="00D4632F" w:rsidRDefault="0037604E" w:rsidP="00FA6EB9">
      <w:pPr>
        <w:numPr>
          <w:ilvl w:val="0"/>
          <w:numId w:val="65"/>
        </w:numPr>
        <w:spacing w:after="0" w:line="240" w:lineRule="auto"/>
        <w:contextualSpacing/>
        <w:jc w:val="both"/>
        <w:rPr>
          <w:rFonts w:ascii="Cambria" w:eastAsia="Times New Roman" w:hAnsi="Cambria" w:cs="Times New Roman"/>
          <w:sz w:val="24"/>
          <w:szCs w:val="24"/>
          <w:lang w:val="en-GB" w:eastAsia="ro-RO"/>
        </w:rPr>
      </w:pPr>
      <w:r w:rsidRPr="00D4632F">
        <w:rPr>
          <w:rFonts w:ascii="Cambria" w:eastAsia="Times New Roman" w:hAnsi="Cambria" w:cs="Times New Roman"/>
          <w:b/>
          <w:sz w:val="24"/>
          <w:szCs w:val="24"/>
          <w:lang w:val="en-GB" w:eastAsia="ro-RO"/>
        </w:rPr>
        <w:t xml:space="preserve">Increase in the balance of other receivables by </w:t>
      </w:r>
      <w:r w:rsidR="00E07026" w:rsidRPr="00E07026">
        <w:rPr>
          <w:rFonts w:ascii="Cambria" w:eastAsia="Times New Roman" w:hAnsi="Cambria" w:cs="Times New Roman"/>
          <w:b/>
          <w:sz w:val="24"/>
          <w:szCs w:val="24"/>
          <w:lang w:val="en-GB" w:eastAsia="ro-RO"/>
        </w:rPr>
        <w:t xml:space="preserve">RON 2.259 </w:t>
      </w:r>
      <w:r w:rsidRPr="00D4632F">
        <w:rPr>
          <w:rFonts w:ascii="Cambria" w:eastAsia="Times New Roman" w:hAnsi="Cambria" w:cs="Times New Roman"/>
          <w:b/>
          <w:sz w:val="24"/>
          <w:szCs w:val="24"/>
          <w:lang w:val="en-GB" w:eastAsia="ro-RO"/>
        </w:rPr>
        <w:t>thousand</w:t>
      </w:r>
      <w:r w:rsidRPr="00D4632F">
        <w:rPr>
          <w:rFonts w:ascii="Cambria" w:eastAsia="Times New Roman" w:hAnsi="Cambria" w:cs="Times New Roman"/>
          <w:sz w:val="24"/>
          <w:szCs w:val="24"/>
          <w:lang w:val="en-GB" w:eastAsia="ro-RO"/>
        </w:rPr>
        <w:t xml:space="preserve"> mainly on account of guarantees granted for investment works and other contracts in progress.</w:t>
      </w:r>
    </w:p>
    <w:p w:rsidR="0037604E" w:rsidRPr="0037604E" w:rsidRDefault="0037604E" w:rsidP="0037604E">
      <w:pPr>
        <w:spacing w:after="0" w:line="240" w:lineRule="auto"/>
        <w:ind w:left="720" w:firstLine="0"/>
        <w:contextualSpacing/>
        <w:jc w:val="both"/>
        <w:rPr>
          <w:rFonts w:ascii="Cambria" w:eastAsia="Times New Roman" w:hAnsi="Cambria" w:cs="Times New Roman"/>
          <w:sz w:val="24"/>
          <w:szCs w:val="24"/>
          <w:lang w:val="en-GB" w:eastAsia="ro-RO"/>
        </w:rPr>
      </w:pPr>
    </w:p>
    <w:p w:rsidR="0037604E" w:rsidRPr="00E07026"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E07026">
        <w:rPr>
          <w:rFonts w:ascii="Cambria" w:eastAsia="Cambria" w:hAnsi="Cambria" w:cs="Cambria"/>
          <w:b/>
          <w:bCs/>
          <w:i/>
          <w:iCs/>
          <w:sz w:val="24"/>
          <w:szCs w:val="24"/>
          <w:lang w:val="en-GB"/>
        </w:rPr>
        <w:t>Cash at bank and in hand</w:t>
      </w:r>
    </w:p>
    <w:p w:rsidR="0037604E" w:rsidRPr="00E07026"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E07026" w:rsidRDefault="0037604E" w:rsidP="0037604E">
      <w:pPr>
        <w:spacing w:after="0" w:line="240" w:lineRule="auto"/>
        <w:ind w:firstLine="0"/>
        <w:jc w:val="both"/>
        <w:rPr>
          <w:rFonts w:ascii="Cambria" w:eastAsia="Times New Roman" w:hAnsi="Cambria" w:cs="Times New Roman"/>
          <w:i/>
          <w:sz w:val="24"/>
          <w:szCs w:val="24"/>
          <w:highlight w:val="yellow"/>
          <w:lang w:val="en-GB" w:eastAsia="ro-RO"/>
        </w:rPr>
      </w:pPr>
      <w:r w:rsidRPr="00E07026">
        <w:rPr>
          <w:rFonts w:ascii="Cambria" w:eastAsia="Times New Roman" w:hAnsi="Cambria" w:cs="Times New Roman"/>
          <w:sz w:val="24"/>
          <w:szCs w:val="24"/>
          <w:lang w:val="en-GB" w:eastAsia="ro-RO"/>
        </w:rPr>
        <w:t>As</w:t>
      </w:r>
      <w:r w:rsidR="00E07026">
        <w:rPr>
          <w:rFonts w:ascii="Cambria" w:eastAsia="Times New Roman" w:hAnsi="Cambria" w:cs="Times New Roman"/>
          <w:sz w:val="24"/>
          <w:szCs w:val="24"/>
          <w:lang w:val="en-GB" w:eastAsia="ro-RO"/>
        </w:rPr>
        <w:t xml:space="preserve"> at 31 December 2016</w:t>
      </w:r>
      <w:r w:rsidRPr="00E07026">
        <w:rPr>
          <w:rFonts w:ascii="Cambria" w:eastAsia="Times New Roman" w:hAnsi="Cambria" w:cs="Times New Roman"/>
          <w:sz w:val="24"/>
          <w:szCs w:val="24"/>
          <w:lang w:val="en-GB" w:eastAsia="ro-RO"/>
        </w:rPr>
        <w:t xml:space="preserve"> </w:t>
      </w:r>
      <w:r w:rsidRPr="00E07026">
        <w:rPr>
          <w:rFonts w:ascii="Cambria" w:eastAsia="Cambria" w:hAnsi="Cambria" w:cs="Cambria"/>
          <w:sz w:val="24"/>
          <w:szCs w:val="24"/>
          <w:lang w:val="en-GB"/>
        </w:rPr>
        <w:t xml:space="preserve">the company's cash increased by RON </w:t>
      </w:r>
      <w:r w:rsidR="00E07026" w:rsidRPr="00E07026">
        <w:rPr>
          <w:rFonts w:ascii="Cambria" w:eastAsia="Times New Roman" w:hAnsi="Cambria" w:cs="Times New Roman"/>
          <w:sz w:val="24"/>
          <w:szCs w:val="24"/>
          <w:lang w:val="en-GB" w:eastAsia="ro-RO"/>
        </w:rPr>
        <w:t>248.495</w:t>
      </w:r>
      <w:r w:rsidR="00E07026">
        <w:rPr>
          <w:rFonts w:ascii="Cambria" w:eastAsia="Times New Roman" w:hAnsi="Cambria" w:cs="Times New Roman"/>
          <w:sz w:val="24"/>
          <w:szCs w:val="24"/>
          <w:lang w:val="en-GB" w:eastAsia="ro-RO"/>
        </w:rPr>
        <w:t xml:space="preserve"> thousand as compared to the end of 2016</w:t>
      </w:r>
      <w:r w:rsidRPr="00E07026">
        <w:rPr>
          <w:rFonts w:ascii="Cambria" w:eastAsia="Times New Roman" w:hAnsi="Cambria" w:cs="Times New Roman"/>
          <w:sz w:val="24"/>
          <w:szCs w:val="24"/>
          <w:lang w:val="en-GB" w:eastAsia="ro-RO"/>
        </w:rPr>
        <w:t xml:space="preserve">, due to the </w:t>
      </w:r>
      <w:r w:rsidRPr="00E07026">
        <w:rPr>
          <w:rFonts w:ascii="Cambria" w:eastAsia="Cambria" w:hAnsi="Cambria" w:cs="Cambria"/>
          <w:sz w:val="24"/>
          <w:szCs w:val="24"/>
          <w:lang w:val="en-GB"/>
        </w:rPr>
        <w:t xml:space="preserve">fact that the holdings in bank accounts and cash increased by </w:t>
      </w:r>
      <w:r w:rsidR="00E07026" w:rsidRPr="00E07026">
        <w:rPr>
          <w:rFonts w:ascii="Cambria" w:eastAsia="Cambria" w:hAnsi="Cambria" w:cs="Cambria"/>
          <w:sz w:val="24"/>
          <w:szCs w:val="24"/>
          <w:lang w:val="en-GB"/>
        </w:rPr>
        <w:t>RON 35.977</w:t>
      </w:r>
      <w:r w:rsidR="00E07026">
        <w:rPr>
          <w:rFonts w:ascii="Cambria" w:eastAsia="Cambria" w:hAnsi="Cambria" w:cs="Cambria"/>
          <w:sz w:val="24"/>
          <w:szCs w:val="24"/>
          <w:lang w:val="en-GB"/>
        </w:rPr>
        <w:t xml:space="preserve"> </w:t>
      </w:r>
      <w:r w:rsidRPr="00E07026">
        <w:rPr>
          <w:rFonts w:ascii="Cambria" w:eastAsia="Cambria" w:hAnsi="Cambria" w:cs="Cambria"/>
          <w:sz w:val="24"/>
          <w:szCs w:val="24"/>
          <w:lang w:val="en-GB"/>
        </w:rPr>
        <w:t>thousands and the ones in the bank deposits decreased by</w:t>
      </w:r>
      <w:r w:rsidR="00E07026">
        <w:rPr>
          <w:rFonts w:ascii="Cambria" w:eastAsia="Cambria" w:hAnsi="Cambria" w:cs="Cambria"/>
          <w:sz w:val="24"/>
          <w:szCs w:val="24"/>
          <w:lang w:val="en-GB"/>
        </w:rPr>
        <w:t xml:space="preserve"> </w:t>
      </w:r>
      <w:r w:rsidR="00E07026" w:rsidRPr="00E07026">
        <w:rPr>
          <w:rFonts w:ascii="Cambria" w:eastAsia="Times New Roman" w:hAnsi="Cambria" w:cs="Times New Roman"/>
          <w:sz w:val="24"/>
          <w:szCs w:val="24"/>
          <w:lang w:val="en-GB" w:eastAsia="ro-RO"/>
        </w:rPr>
        <w:t xml:space="preserve">RON </w:t>
      </w:r>
      <w:r w:rsidR="00E07026" w:rsidRPr="00E07026">
        <w:rPr>
          <w:rFonts w:ascii="Cambria" w:eastAsia="Cambria" w:hAnsi="Cambria" w:cs="Cambria"/>
          <w:sz w:val="24"/>
          <w:szCs w:val="24"/>
          <w:lang w:val="en-GB"/>
        </w:rPr>
        <w:t xml:space="preserve">212.524 </w:t>
      </w:r>
      <w:r w:rsidRPr="00E07026">
        <w:rPr>
          <w:rFonts w:ascii="Cambria" w:eastAsia="Times New Roman" w:hAnsi="Cambria" w:cs="Times New Roman"/>
          <w:sz w:val="24"/>
          <w:szCs w:val="24"/>
          <w:lang w:val="en-GB" w:eastAsia="ro-RO"/>
        </w:rPr>
        <w:t>thousand in the equivalent cash accounts a decrease is also</w:t>
      </w:r>
      <w:r w:rsidR="008614DB">
        <w:rPr>
          <w:rFonts w:ascii="Cambria" w:eastAsia="Times New Roman" w:hAnsi="Cambria" w:cs="Times New Roman"/>
          <w:sz w:val="24"/>
          <w:szCs w:val="24"/>
          <w:lang w:val="en-GB" w:eastAsia="ro-RO"/>
        </w:rPr>
        <w:t xml:space="preserve"> registered in the amount of </w:t>
      </w:r>
      <w:r w:rsidR="008614DB" w:rsidRPr="00E07026">
        <w:rPr>
          <w:rFonts w:ascii="Cambria" w:eastAsia="Times New Roman" w:hAnsi="Cambria" w:cs="Times New Roman"/>
          <w:sz w:val="24"/>
          <w:szCs w:val="24"/>
          <w:lang w:val="en-GB" w:eastAsia="ro-RO"/>
        </w:rPr>
        <w:t>RON</w:t>
      </w:r>
      <w:r w:rsidR="008614DB">
        <w:rPr>
          <w:rFonts w:ascii="Cambria" w:eastAsia="Times New Roman" w:hAnsi="Cambria" w:cs="Times New Roman"/>
          <w:sz w:val="24"/>
          <w:szCs w:val="24"/>
          <w:lang w:val="en-GB" w:eastAsia="ro-RO"/>
        </w:rPr>
        <w:t xml:space="preserve"> 6</w:t>
      </w:r>
      <w:r w:rsidRPr="00E07026">
        <w:rPr>
          <w:rFonts w:ascii="Cambria" w:eastAsia="Times New Roman" w:hAnsi="Cambria" w:cs="Times New Roman"/>
          <w:sz w:val="24"/>
          <w:szCs w:val="24"/>
          <w:lang w:val="en-GB" w:eastAsia="ro-RO"/>
        </w:rPr>
        <w:t xml:space="preserve"> thousand. </w:t>
      </w:r>
    </w:p>
    <w:p w:rsidR="0037604E" w:rsidRPr="00E07026"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E07026"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E07026">
        <w:rPr>
          <w:rFonts w:ascii="Cambria" w:eastAsia="Times New Roman" w:hAnsi="Cambria" w:cs="Times New Roman"/>
          <w:b/>
          <w:i/>
          <w:sz w:val="24"/>
          <w:szCs w:val="24"/>
          <w:lang w:val="en-GB" w:eastAsia="ro-RO"/>
        </w:rPr>
        <w:t>Debts due in one year</w:t>
      </w:r>
    </w:p>
    <w:p w:rsidR="0037604E" w:rsidRPr="00E07026"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E07026" w:rsidRDefault="0037604E" w:rsidP="0037604E">
      <w:pPr>
        <w:spacing w:after="0" w:line="240" w:lineRule="auto"/>
        <w:ind w:firstLine="0"/>
        <w:jc w:val="both"/>
        <w:rPr>
          <w:rFonts w:ascii="Cambria" w:eastAsia="Times New Roman" w:hAnsi="Cambria" w:cs="Times New Roman"/>
          <w:sz w:val="24"/>
          <w:szCs w:val="24"/>
          <w:lang w:val="en-GB" w:eastAsia="ro-RO"/>
        </w:rPr>
      </w:pPr>
      <w:r w:rsidRPr="00E07026">
        <w:rPr>
          <w:rFonts w:ascii="Cambria" w:eastAsia="Cambria" w:hAnsi="Cambria" w:cs="Cambria"/>
          <w:sz w:val="24"/>
          <w:szCs w:val="24"/>
          <w:lang w:val="en-GB"/>
        </w:rPr>
        <w:t>In the structure of debts due in one year, the following changes have been noticed</w:t>
      </w:r>
      <w:r w:rsidR="008614DB">
        <w:rPr>
          <w:rFonts w:ascii="Cambria" w:eastAsia="Cambria" w:hAnsi="Cambria" w:cs="Cambria"/>
          <w:sz w:val="24"/>
          <w:szCs w:val="24"/>
          <w:lang w:val="en-GB"/>
        </w:rPr>
        <w:t xml:space="preserve"> as compared to 31 December 2015</w:t>
      </w:r>
      <w:r w:rsidRPr="00E07026">
        <w:rPr>
          <w:rFonts w:ascii="Cambria" w:eastAsia="Cambria" w:hAnsi="Cambria" w:cs="Cambria"/>
          <w:sz w:val="24"/>
          <w:szCs w:val="24"/>
          <w:lang w:val="en-GB"/>
        </w:rPr>
        <w:t>:</w:t>
      </w:r>
    </w:p>
    <w:p w:rsidR="0037604E" w:rsidRPr="00E07026"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E07026" w:rsidRDefault="008614DB" w:rsidP="00FA6EB9">
      <w:pPr>
        <w:numPr>
          <w:ilvl w:val="0"/>
          <w:numId w:val="60"/>
        </w:numPr>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b/>
          <w:sz w:val="24"/>
          <w:szCs w:val="24"/>
          <w:lang w:val="en-GB" w:eastAsia="ro-RO"/>
        </w:rPr>
        <w:t>A balance in</w:t>
      </w:r>
      <w:r w:rsidR="0037604E" w:rsidRPr="00E07026">
        <w:rPr>
          <w:rFonts w:ascii="Cambria" w:eastAsia="Times New Roman" w:hAnsi="Cambria" w:cs="Times New Roman"/>
          <w:b/>
          <w:sz w:val="24"/>
          <w:szCs w:val="24"/>
          <w:lang w:val="en-GB" w:eastAsia="ro-RO"/>
        </w:rPr>
        <w:t xml:space="preserve">crease in trade payables and other payables by RON </w:t>
      </w:r>
      <w:r w:rsidRPr="008614DB">
        <w:rPr>
          <w:rFonts w:ascii="Cambria" w:eastAsia="Times New Roman" w:hAnsi="Cambria" w:cs="Times New Roman"/>
          <w:b/>
          <w:sz w:val="24"/>
          <w:szCs w:val="24"/>
          <w:lang w:val="en-GB" w:eastAsia="ro-RO"/>
        </w:rPr>
        <w:t xml:space="preserve">25.609 </w:t>
      </w:r>
      <w:r>
        <w:rPr>
          <w:rFonts w:ascii="Cambria" w:eastAsia="Times New Roman" w:hAnsi="Cambria" w:cs="Times New Roman"/>
          <w:b/>
          <w:sz w:val="24"/>
          <w:szCs w:val="24"/>
          <w:lang w:val="en-GB" w:eastAsia="ro-RO"/>
        </w:rPr>
        <w:t xml:space="preserve">thousand </w:t>
      </w:r>
      <w:r w:rsidR="0037604E" w:rsidRPr="00E07026">
        <w:rPr>
          <w:rFonts w:ascii="Cambria" w:eastAsia="Times New Roman" w:hAnsi="Cambria" w:cs="Times New Roman"/>
          <w:sz w:val="24"/>
          <w:szCs w:val="24"/>
          <w:lang w:val="en-GB" w:eastAsia="ro-RO"/>
        </w:rPr>
        <w:t>mainly</w:t>
      </w:r>
      <w:r w:rsidR="0037604E" w:rsidRPr="00E07026">
        <w:rPr>
          <w:rFonts w:ascii="Cambria" w:eastAsia="Times New Roman" w:hAnsi="Cambria" w:cs="Times New Roman"/>
          <w:b/>
          <w:sz w:val="24"/>
          <w:szCs w:val="24"/>
          <w:lang w:val="en-GB" w:eastAsia="ro-RO"/>
        </w:rPr>
        <w:t xml:space="preserve"> </w:t>
      </w:r>
      <w:r w:rsidR="0037604E" w:rsidRPr="00E07026">
        <w:rPr>
          <w:rFonts w:ascii="Cambria" w:eastAsia="Times New Roman" w:hAnsi="Cambria" w:cs="Times New Roman"/>
          <w:sz w:val="24"/>
          <w:szCs w:val="24"/>
          <w:lang w:val="en-GB" w:eastAsia="ro-RO"/>
        </w:rPr>
        <w:t xml:space="preserve">due to the decrease of </w:t>
      </w:r>
      <w:r>
        <w:rPr>
          <w:rFonts w:ascii="Cambria" w:eastAsia="Times New Roman" w:hAnsi="Cambria" w:cs="Times New Roman"/>
          <w:sz w:val="24"/>
          <w:szCs w:val="24"/>
          <w:lang w:val="en-GB" w:eastAsia="ro-RO"/>
        </w:rPr>
        <w:t xml:space="preserve">commercial </w:t>
      </w:r>
      <w:r w:rsidR="0037604E" w:rsidRPr="00E07026">
        <w:rPr>
          <w:rFonts w:ascii="Cambria" w:eastAsia="Times New Roman" w:hAnsi="Cambria" w:cs="Times New Roman"/>
          <w:sz w:val="24"/>
          <w:szCs w:val="24"/>
          <w:lang w:val="en-GB" w:eastAsia="ro-RO"/>
        </w:rPr>
        <w:t xml:space="preserve">debts </w:t>
      </w:r>
      <w:r>
        <w:rPr>
          <w:rFonts w:ascii="Cambria" w:eastAsia="Times New Roman" w:hAnsi="Cambria" w:cs="Times New Roman"/>
          <w:sz w:val="24"/>
          <w:szCs w:val="24"/>
          <w:lang w:val="en-GB" w:eastAsia="ro-RO"/>
        </w:rPr>
        <w:t>by RON 12.733 thousand</w:t>
      </w:r>
      <w:r w:rsidRPr="008614DB">
        <w:rPr>
          <w:rFonts w:ascii="Cambria" w:eastAsia="Times New Roman" w:hAnsi="Cambria" w:cs="Times New Roman"/>
          <w:sz w:val="24"/>
          <w:szCs w:val="24"/>
          <w:lang w:val="en-GB" w:eastAsia="ro-RO"/>
        </w:rPr>
        <w:t xml:space="preserve">, </w:t>
      </w:r>
      <w:r>
        <w:rPr>
          <w:rFonts w:ascii="Cambria" w:eastAsia="Times New Roman" w:hAnsi="Cambria" w:cs="Times New Roman"/>
          <w:sz w:val="24"/>
          <w:szCs w:val="24"/>
          <w:lang w:val="en-GB" w:eastAsia="ro-RO"/>
        </w:rPr>
        <w:t>of the decrease of the balance of the creditors by RON 50.799 thousand</w:t>
      </w:r>
      <w:r w:rsidRPr="008614DB">
        <w:rPr>
          <w:rFonts w:ascii="Cambria" w:eastAsia="Times New Roman" w:hAnsi="Cambria" w:cs="Times New Roman"/>
          <w:sz w:val="24"/>
          <w:szCs w:val="24"/>
          <w:lang w:val="en-GB" w:eastAsia="ro-RO"/>
        </w:rPr>
        <w:t xml:space="preserve">,  </w:t>
      </w:r>
      <w:r>
        <w:rPr>
          <w:rFonts w:ascii="Cambria" w:eastAsia="Times New Roman" w:hAnsi="Cambria" w:cs="Times New Roman"/>
          <w:sz w:val="24"/>
          <w:szCs w:val="24"/>
          <w:lang w:val="en-GB" w:eastAsia="ro-RO"/>
        </w:rPr>
        <w:t xml:space="preserve">the increase in debts </w:t>
      </w:r>
      <w:r w:rsidR="0037604E" w:rsidRPr="00E07026">
        <w:rPr>
          <w:rFonts w:ascii="Cambria" w:eastAsia="Times New Roman" w:hAnsi="Cambria" w:cs="Times New Roman"/>
          <w:sz w:val="24"/>
          <w:szCs w:val="24"/>
          <w:lang w:val="en-GB" w:eastAsia="ro-RO"/>
        </w:rPr>
        <w:t xml:space="preserve">for royalties by RON </w:t>
      </w:r>
      <w:r w:rsidRPr="008614DB">
        <w:rPr>
          <w:rFonts w:ascii="Cambria" w:eastAsia="Times New Roman" w:hAnsi="Cambria" w:cs="Times New Roman"/>
          <w:sz w:val="24"/>
          <w:szCs w:val="24"/>
          <w:lang w:val="en-GB" w:eastAsia="ro-RO"/>
        </w:rPr>
        <w:t xml:space="preserve">15.547 </w:t>
      </w:r>
      <w:r>
        <w:rPr>
          <w:rFonts w:ascii="Cambria" w:eastAsia="Times New Roman" w:hAnsi="Cambria" w:cs="Times New Roman"/>
          <w:sz w:val="24"/>
          <w:szCs w:val="24"/>
          <w:lang w:val="en-GB" w:eastAsia="ro-RO"/>
        </w:rPr>
        <w:t>thousand, to the in</w:t>
      </w:r>
      <w:r w:rsidR="0037604E" w:rsidRPr="00E07026">
        <w:rPr>
          <w:rFonts w:ascii="Cambria" w:eastAsia="Times New Roman" w:hAnsi="Cambria" w:cs="Times New Roman"/>
          <w:sz w:val="24"/>
          <w:szCs w:val="24"/>
          <w:lang w:val="en-GB" w:eastAsia="ro-RO"/>
        </w:rPr>
        <w:t xml:space="preserve">crease VAT to be paid by RON </w:t>
      </w:r>
      <w:r w:rsidRPr="008614DB">
        <w:rPr>
          <w:rFonts w:ascii="Cambria" w:eastAsia="Times New Roman" w:hAnsi="Cambria" w:cs="Times New Roman"/>
          <w:sz w:val="24"/>
          <w:szCs w:val="24"/>
          <w:lang w:val="en-GB" w:eastAsia="ro-RO"/>
        </w:rPr>
        <w:t xml:space="preserve">20.559 </w:t>
      </w:r>
      <w:r>
        <w:rPr>
          <w:rFonts w:ascii="Cambria" w:eastAsia="Times New Roman" w:hAnsi="Cambria" w:cs="Times New Roman"/>
          <w:sz w:val="24"/>
          <w:szCs w:val="24"/>
          <w:lang w:val="en-GB" w:eastAsia="ro-RO"/>
        </w:rPr>
        <w:t>thousand</w:t>
      </w:r>
      <w:r w:rsidR="0037604E" w:rsidRPr="00E07026">
        <w:rPr>
          <w:rFonts w:ascii="Cambria" w:eastAsia="Times New Roman" w:hAnsi="Cambria" w:cs="Times New Roman"/>
          <w:sz w:val="24"/>
          <w:szCs w:val="24"/>
          <w:lang w:val="en-GB" w:eastAsia="ro-RO"/>
        </w:rPr>
        <w:t>,</w:t>
      </w:r>
      <w:r>
        <w:rPr>
          <w:rFonts w:ascii="Cambria" w:eastAsia="Times New Roman" w:hAnsi="Cambria" w:cs="Times New Roman"/>
          <w:sz w:val="24"/>
          <w:szCs w:val="24"/>
          <w:lang w:val="en-GB" w:eastAsia="ro-RO"/>
        </w:rPr>
        <w:t xml:space="preserve"> by the increase of the balance of the due VATby RON 39.967 thousand,</w:t>
      </w:r>
      <w:r w:rsidR="0037604E" w:rsidRPr="00E07026">
        <w:rPr>
          <w:rFonts w:ascii="Cambria" w:eastAsia="Times New Roman" w:hAnsi="Cambria" w:cs="Times New Roman"/>
          <w:sz w:val="24"/>
          <w:szCs w:val="24"/>
          <w:lang w:val="en-GB" w:eastAsia="ro-RO"/>
        </w:rPr>
        <w:t xml:space="preserve"> by the increase of debts with other tax by RON </w:t>
      </w:r>
      <w:r w:rsidR="00DB5B12" w:rsidRPr="00DB5B12">
        <w:rPr>
          <w:rFonts w:ascii="Cambria" w:eastAsia="Times New Roman" w:hAnsi="Cambria" w:cs="Times New Roman"/>
          <w:sz w:val="24"/>
          <w:szCs w:val="24"/>
          <w:lang w:val="en-GB" w:eastAsia="ro-RO"/>
        </w:rPr>
        <w:t>220</w:t>
      </w:r>
      <w:r w:rsidR="00DB5B12">
        <w:rPr>
          <w:rFonts w:ascii="Cambria" w:eastAsia="Times New Roman" w:hAnsi="Cambria" w:cs="Times New Roman"/>
          <w:sz w:val="24"/>
          <w:szCs w:val="24"/>
          <w:lang w:val="en-GB" w:eastAsia="ro-RO"/>
        </w:rPr>
        <w:t xml:space="preserve"> thousand</w:t>
      </w:r>
      <w:r w:rsidR="0037604E" w:rsidRPr="00E07026">
        <w:rPr>
          <w:rFonts w:ascii="Cambria" w:eastAsia="Times New Roman" w:hAnsi="Cambria" w:cs="Times New Roman"/>
          <w:sz w:val="24"/>
          <w:szCs w:val="24"/>
          <w:lang w:val="en-GB" w:eastAsia="ro-RO"/>
        </w:rPr>
        <w:t xml:space="preserve">, the increase of employees’ payments by RON </w:t>
      </w:r>
      <w:r w:rsidR="00DB5B12" w:rsidRPr="00DB5B12">
        <w:rPr>
          <w:rFonts w:ascii="Cambria" w:eastAsia="Times New Roman" w:hAnsi="Cambria" w:cs="Times New Roman"/>
          <w:sz w:val="24"/>
          <w:szCs w:val="24"/>
          <w:lang w:val="en-GB" w:eastAsia="ro-RO"/>
        </w:rPr>
        <w:t>2.063</w:t>
      </w:r>
      <w:r w:rsidR="00DB5B12">
        <w:rPr>
          <w:rFonts w:ascii="Cambria" w:eastAsia="Times New Roman" w:hAnsi="Cambria" w:cs="Times New Roman"/>
          <w:sz w:val="24"/>
          <w:szCs w:val="24"/>
          <w:lang w:val="en-GB" w:eastAsia="ro-RO"/>
        </w:rPr>
        <w:t xml:space="preserve"> thousand, to the in</w:t>
      </w:r>
      <w:r w:rsidR="0037604E" w:rsidRPr="00E07026">
        <w:rPr>
          <w:rFonts w:ascii="Cambria" w:eastAsia="Times New Roman" w:hAnsi="Cambria" w:cs="Times New Roman"/>
          <w:sz w:val="24"/>
          <w:szCs w:val="24"/>
          <w:lang w:val="en-GB" w:eastAsia="ro-RO"/>
        </w:rPr>
        <w:t xml:space="preserve">crease of other debts by RON </w:t>
      </w:r>
      <w:r w:rsidR="00DB5B12" w:rsidRPr="00DB5B12">
        <w:rPr>
          <w:rFonts w:ascii="Cambria" w:eastAsia="Times New Roman" w:hAnsi="Cambria" w:cs="Times New Roman"/>
          <w:sz w:val="24"/>
          <w:szCs w:val="24"/>
          <w:lang w:val="en-GB" w:eastAsia="ro-RO"/>
        </w:rPr>
        <w:t>9.785</w:t>
      </w:r>
      <w:r w:rsidR="0037604E" w:rsidRPr="00E07026">
        <w:rPr>
          <w:rFonts w:ascii="Cambria" w:eastAsia="Times New Roman" w:hAnsi="Cambria" w:cs="Times New Roman"/>
          <w:sz w:val="24"/>
          <w:szCs w:val="24"/>
          <w:lang w:val="en-GB" w:eastAsia="ro-RO"/>
        </w:rPr>
        <w:t>;</w:t>
      </w:r>
    </w:p>
    <w:p w:rsidR="0037604E" w:rsidRPr="0037604E" w:rsidRDefault="0037604E" w:rsidP="0037604E">
      <w:pPr>
        <w:spacing w:after="0" w:line="240" w:lineRule="auto"/>
        <w:ind w:left="714" w:firstLine="0"/>
        <w:jc w:val="both"/>
        <w:rPr>
          <w:rFonts w:ascii="Cambria" w:eastAsia="Times New Roman" w:hAnsi="Cambria" w:cs="Times New Roman"/>
          <w:color w:val="FF0000"/>
          <w:sz w:val="24"/>
          <w:szCs w:val="24"/>
          <w:lang w:val="en-GB" w:eastAsia="ro-RO"/>
        </w:rPr>
      </w:pPr>
    </w:p>
    <w:p w:rsidR="0037604E" w:rsidRPr="00DB5B12" w:rsidRDefault="0037604E" w:rsidP="00FA6EB9">
      <w:pPr>
        <w:numPr>
          <w:ilvl w:val="0"/>
          <w:numId w:val="60"/>
        </w:numPr>
        <w:spacing w:after="0" w:line="240" w:lineRule="auto"/>
        <w:jc w:val="both"/>
        <w:rPr>
          <w:rFonts w:ascii="Cambria" w:eastAsia="Times New Roman" w:hAnsi="Cambria" w:cs="Times New Roman"/>
          <w:sz w:val="24"/>
          <w:szCs w:val="24"/>
          <w:lang w:val="en-GB" w:eastAsia="ro-RO"/>
        </w:rPr>
      </w:pPr>
      <w:r w:rsidRPr="00DB5B12">
        <w:rPr>
          <w:rFonts w:ascii="Cambria" w:eastAsia="Times New Roman" w:hAnsi="Cambria" w:cs="Times New Roman"/>
          <w:b/>
          <w:sz w:val="24"/>
          <w:szCs w:val="24"/>
          <w:lang w:val="en-GB" w:eastAsia="ro-RO"/>
        </w:rPr>
        <w:t>A</w:t>
      </w:r>
      <w:r w:rsidR="00DB5B12">
        <w:rPr>
          <w:rFonts w:ascii="Cambria" w:eastAsia="Times New Roman" w:hAnsi="Cambria" w:cs="Times New Roman"/>
          <w:b/>
          <w:sz w:val="24"/>
          <w:szCs w:val="24"/>
          <w:lang w:val="en-GB" w:eastAsia="ro-RO"/>
        </w:rPr>
        <w:t>n in</w:t>
      </w:r>
      <w:r w:rsidRPr="00DB5B12">
        <w:rPr>
          <w:rFonts w:ascii="Cambria" w:eastAsia="Times New Roman" w:hAnsi="Cambria" w:cs="Times New Roman"/>
          <w:b/>
          <w:sz w:val="24"/>
          <w:szCs w:val="24"/>
          <w:lang w:val="en-GB" w:eastAsia="ro-RO"/>
        </w:rPr>
        <w:t xml:space="preserve">crease of the provisions for risk and charges by RON </w:t>
      </w:r>
      <w:r w:rsidR="00DB5B12" w:rsidRPr="00DB5B12">
        <w:rPr>
          <w:rFonts w:ascii="Cambria" w:eastAsia="Times New Roman" w:hAnsi="Cambria" w:cs="Times New Roman"/>
          <w:b/>
          <w:sz w:val="24"/>
          <w:szCs w:val="24"/>
          <w:lang w:val="en-GB" w:eastAsia="ro-RO"/>
        </w:rPr>
        <w:t>270</w:t>
      </w:r>
      <w:r w:rsidR="00DB5B12">
        <w:rPr>
          <w:rFonts w:ascii="Cambria" w:eastAsia="Times New Roman" w:hAnsi="Cambria" w:cs="Times New Roman"/>
          <w:b/>
          <w:sz w:val="24"/>
          <w:szCs w:val="24"/>
          <w:lang w:val="en-GB" w:eastAsia="ro-RO"/>
        </w:rPr>
        <w:t xml:space="preserve"> thousand</w:t>
      </w:r>
      <w:r w:rsidRPr="00DB5B12">
        <w:rPr>
          <w:rFonts w:ascii="Cambria" w:eastAsia="Times New Roman" w:hAnsi="Cambria" w:cs="Times New Roman"/>
          <w:b/>
          <w:sz w:val="24"/>
          <w:szCs w:val="24"/>
          <w:lang w:val="en-GB" w:eastAsia="ro-RO"/>
        </w:rPr>
        <w:t xml:space="preserve">, </w:t>
      </w:r>
      <w:r w:rsidR="00DB5B12">
        <w:rPr>
          <w:rFonts w:ascii="Cambria" w:eastAsia="Times New Roman" w:hAnsi="Cambria" w:cs="Times New Roman"/>
          <w:sz w:val="24"/>
          <w:szCs w:val="24"/>
          <w:lang w:val="en-GB" w:eastAsia="ro-RO"/>
        </w:rPr>
        <w:t xml:space="preserve">due to </w:t>
      </w:r>
      <w:r w:rsidRPr="00DB5B12">
        <w:rPr>
          <w:rFonts w:ascii="Cambria" w:eastAsia="Times New Roman" w:hAnsi="Cambria" w:cs="Times New Roman"/>
          <w:sz w:val="24"/>
          <w:szCs w:val="24"/>
          <w:lang w:val="en-GB" w:eastAsia="ro-RO"/>
        </w:rPr>
        <w:t xml:space="preserve">an increase of  the provision for employees’ profit sharing by RON </w:t>
      </w:r>
      <w:r w:rsidR="00DB5B12" w:rsidRPr="00DB5B12">
        <w:rPr>
          <w:rFonts w:ascii="Cambria" w:eastAsia="Times New Roman" w:hAnsi="Cambria" w:cs="Times New Roman"/>
          <w:sz w:val="24"/>
          <w:szCs w:val="24"/>
          <w:lang w:val="en-GB" w:eastAsia="ro-RO"/>
        </w:rPr>
        <w:t>259</w:t>
      </w:r>
      <w:r w:rsidRPr="00DB5B12">
        <w:rPr>
          <w:rFonts w:ascii="Cambria" w:eastAsia="Times New Roman" w:hAnsi="Cambria" w:cs="Times New Roman"/>
          <w:sz w:val="24"/>
          <w:szCs w:val="24"/>
          <w:lang w:val="en-GB" w:eastAsia="ro-RO"/>
        </w:rPr>
        <w:t xml:space="preserve"> thousand and the increase of  the provision for the mandate contract by RON </w:t>
      </w:r>
      <w:r w:rsidR="00DB5B12" w:rsidRPr="00DB5B12">
        <w:rPr>
          <w:rFonts w:ascii="Cambria" w:eastAsia="Times New Roman" w:hAnsi="Cambria" w:cs="Times New Roman"/>
          <w:sz w:val="24"/>
          <w:szCs w:val="24"/>
          <w:lang w:val="en-GB" w:eastAsia="ro-RO"/>
        </w:rPr>
        <w:t>11</w:t>
      </w:r>
      <w:r w:rsidRPr="00DB5B12">
        <w:rPr>
          <w:rFonts w:ascii="Cambria" w:eastAsia="Times New Roman" w:hAnsi="Cambria" w:cs="Times New Roman"/>
          <w:sz w:val="24"/>
          <w:szCs w:val="24"/>
          <w:lang w:val="en-GB" w:eastAsia="ro-RO"/>
        </w:rPr>
        <w:t xml:space="preserve"> thousand;</w:t>
      </w:r>
    </w:p>
    <w:p w:rsidR="0037604E" w:rsidRPr="00DB5B12" w:rsidRDefault="0037604E" w:rsidP="0037604E">
      <w:pPr>
        <w:spacing w:after="0" w:line="240" w:lineRule="auto"/>
        <w:ind w:left="720"/>
        <w:contextualSpacing/>
        <w:rPr>
          <w:rFonts w:ascii="Cambria" w:eastAsia="Times New Roman" w:hAnsi="Cambria" w:cs="Times New Roman"/>
          <w:b/>
          <w:sz w:val="24"/>
          <w:szCs w:val="24"/>
          <w:lang w:val="en-GB" w:eastAsia="ro-RO"/>
        </w:rPr>
      </w:pPr>
    </w:p>
    <w:p w:rsidR="0037604E" w:rsidRPr="00DB5B12" w:rsidRDefault="00DB5B12" w:rsidP="00FA6EB9">
      <w:pPr>
        <w:numPr>
          <w:ilvl w:val="0"/>
          <w:numId w:val="60"/>
        </w:numPr>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b/>
          <w:sz w:val="24"/>
          <w:szCs w:val="24"/>
          <w:lang w:val="en-GB" w:eastAsia="ro-RO"/>
        </w:rPr>
        <w:t>in</w:t>
      </w:r>
      <w:r w:rsidR="0037604E" w:rsidRPr="00DB5B12">
        <w:rPr>
          <w:rFonts w:ascii="Cambria" w:eastAsia="Times New Roman" w:hAnsi="Cambria" w:cs="Times New Roman"/>
          <w:b/>
          <w:sz w:val="24"/>
          <w:szCs w:val="24"/>
          <w:lang w:val="en-GB" w:eastAsia="ro-RO"/>
        </w:rPr>
        <w:t xml:space="preserve">crease in current income tax liability by the amount of RON </w:t>
      </w:r>
      <w:r w:rsidRPr="00DB5B12">
        <w:rPr>
          <w:rFonts w:ascii="Cambria" w:eastAsia="Times New Roman" w:hAnsi="Cambria" w:cs="Times New Roman"/>
          <w:b/>
          <w:sz w:val="24"/>
          <w:szCs w:val="24"/>
          <w:lang w:val="en-GB" w:eastAsia="ro-RO"/>
        </w:rPr>
        <w:t xml:space="preserve">1.779 </w:t>
      </w:r>
      <w:r w:rsidR="0037604E" w:rsidRPr="00DB5B12">
        <w:rPr>
          <w:rFonts w:ascii="Cambria" w:eastAsia="Times New Roman" w:hAnsi="Cambria" w:cs="Times New Roman"/>
          <w:sz w:val="24"/>
          <w:szCs w:val="24"/>
          <w:lang w:val="en-GB" w:eastAsia="ro-RO"/>
        </w:rPr>
        <w:t>thousand as a result of regularization of cor</w:t>
      </w:r>
      <w:r>
        <w:rPr>
          <w:rFonts w:ascii="Cambria" w:eastAsia="Times New Roman" w:hAnsi="Cambria" w:cs="Times New Roman"/>
          <w:sz w:val="24"/>
          <w:szCs w:val="24"/>
          <w:lang w:val="en-GB" w:eastAsia="ro-RO"/>
        </w:rPr>
        <w:t>poration tax to 31 December 2016</w:t>
      </w:r>
      <w:r w:rsidR="0037604E" w:rsidRPr="00DB5B12">
        <w:rPr>
          <w:rFonts w:ascii="Cambria" w:eastAsia="Times New Roman" w:hAnsi="Cambria" w:cs="Times New Roman"/>
          <w:sz w:val="24"/>
          <w:szCs w:val="24"/>
          <w:lang w:val="en-GB" w:eastAsia="ro-RO"/>
        </w:rPr>
        <w:t>;</w:t>
      </w:r>
    </w:p>
    <w:p w:rsidR="0037604E" w:rsidRPr="00DB5B12" w:rsidRDefault="0037604E" w:rsidP="0037604E">
      <w:pPr>
        <w:spacing w:after="0" w:line="240" w:lineRule="auto"/>
        <w:ind w:left="720"/>
        <w:contextualSpacing/>
        <w:rPr>
          <w:rFonts w:ascii="Cambria" w:eastAsia="Times New Roman" w:hAnsi="Cambria" w:cs="Times New Roman"/>
          <w:b/>
          <w:sz w:val="24"/>
          <w:szCs w:val="24"/>
          <w:lang w:val="en-GB" w:eastAsia="ro-RO"/>
        </w:rPr>
      </w:pPr>
    </w:p>
    <w:p w:rsidR="0037604E" w:rsidRPr="00DB5B12" w:rsidRDefault="00DB5B12" w:rsidP="00FA6EB9">
      <w:pPr>
        <w:numPr>
          <w:ilvl w:val="0"/>
          <w:numId w:val="60"/>
        </w:numPr>
        <w:spacing w:after="0" w:line="240" w:lineRule="auto"/>
        <w:jc w:val="both"/>
        <w:rPr>
          <w:rFonts w:ascii="Cambria" w:eastAsia="Times New Roman" w:hAnsi="Cambria" w:cs="Times New Roman"/>
          <w:sz w:val="24"/>
          <w:szCs w:val="24"/>
          <w:lang w:val="en-GB" w:eastAsia="ro-RO"/>
        </w:rPr>
      </w:pPr>
      <w:r>
        <w:rPr>
          <w:rFonts w:ascii="Cambria" w:eastAsia="Times New Roman" w:hAnsi="Cambria" w:cs="Times New Roman"/>
          <w:b/>
          <w:sz w:val="24"/>
          <w:szCs w:val="24"/>
          <w:lang w:val="en-GB" w:eastAsia="ro-RO"/>
        </w:rPr>
        <w:t>in</w:t>
      </w:r>
      <w:r w:rsidR="0037604E" w:rsidRPr="00DB5B12">
        <w:rPr>
          <w:rFonts w:ascii="Cambria" w:eastAsia="Times New Roman" w:hAnsi="Cambria" w:cs="Times New Roman"/>
          <w:b/>
          <w:sz w:val="24"/>
          <w:szCs w:val="24"/>
          <w:lang w:val="en-GB" w:eastAsia="ro-RO"/>
        </w:rPr>
        <w:t xml:space="preserve">crease in the provision for employee benefits with the current RON </w:t>
      </w:r>
      <w:r w:rsidRPr="00DB5B12">
        <w:rPr>
          <w:rFonts w:ascii="Cambria" w:eastAsia="Times New Roman" w:hAnsi="Cambria" w:cs="Times New Roman"/>
          <w:b/>
          <w:sz w:val="24"/>
          <w:szCs w:val="24"/>
          <w:lang w:val="en-GB" w:eastAsia="ro-RO"/>
        </w:rPr>
        <w:t>321</w:t>
      </w:r>
      <w:r>
        <w:rPr>
          <w:rFonts w:ascii="Cambria" w:eastAsia="Times New Roman" w:hAnsi="Cambria" w:cs="Times New Roman"/>
          <w:b/>
          <w:sz w:val="24"/>
          <w:szCs w:val="24"/>
          <w:lang w:val="en-GB" w:eastAsia="ro-RO"/>
        </w:rPr>
        <w:t xml:space="preserve"> </w:t>
      </w:r>
      <w:r w:rsidR="0037604E" w:rsidRPr="00DB5B12">
        <w:rPr>
          <w:rFonts w:ascii="Cambria" w:eastAsia="Times New Roman" w:hAnsi="Cambria" w:cs="Times New Roman"/>
          <w:b/>
          <w:sz w:val="24"/>
          <w:szCs w:val="24"/>
          <w:lang w:val="en-GB" w:eastAsia="ro-RO"/>
        </w:rPr>
        <w:t>thousand;</w:t>
      </w:r>
    </w:p>
    <w:p w:rsidR="0037604E" w:rsidRPr="0037604E" w:rsidRDefault="0037604E" w:rsidP="0037604E">
      <w:pPr>
        <w:shd w:val="clear" w:color="auto" w:fill="FFFFFF"/>
        <w:spacing w:after="0" w:line="240" w:lineRule="auto"/>
        <w:ind w:firstLine="0"/>
        <w:jc w:val="both"/>
        <w:rPr>
          <w:rFonts w:ascii="Cambria" w:eastAsia="Times New Roman" w:hAnsi="Cambria" w:cs="Times New Roman"/>
          <w:b/>
          <w:i/>
          <w:sz w:val="24"/>
          <w:szCs w:val="24"/>
          <w:lang w:val="en-GB" w:eastAsia="ro-RO"/>
        </w:rPr>
      </w:pPr>
    </w:p>
    <w:p w:rsidR="0037604E" w:rsidRPr="00DB5B12" w:rsidRDefault="0037604E" w:rsidP="0037604E">
      <w:pPr>
        <w:shd w:val="clear" w:color="auto" w:fill="FFFFFF"/>
        <w:spacing w:after="0" w:line="240" w:lineRule="auto"/>
        <w:ind w:firstLine="0"/>
        <w:jc w:val="both"/>
        <w:rPr>
          <w:rFonts w:ascii="Cambria" w:eastAsia="Times New Roman" w:hAnsi="Cambria" w:cs="Times New Roman"/>
          <w:b/>
          <w:i/>
          <w:sz w:val="24"/>
          <w:szCs w:val="24"/>
          <w:lang w:val="en-GB" w:eastAsia="ro-RO"/>
        </w:rPr>
      </w:pPr>
      <w:r w:rsidRPr="00DB5B12">
        <w:rPr>
          <w:rFonts w:ascii="Cambria" w:eastAsia="Cambria" w:hAnsi="Cambria" w:cs="Cambria"/>
          <w:b/>
          <w:bCs/>
          <w:i/>
          <w:iCs/>
          <w:sz w:val="24"/>
          <w:szCs w:val="24"/>
          <w:lang w:val="en-GB"/>
        </w:rPr>
        <w:t>Long-term debts</w:t>
      </w:r>
    </w:p>
    <w:p w:rsidR="0037604E" w:rsidRPr="00DB5B12" w:rsidRDefault="0037604E" w:rsidP="0037604E">
      <w:pPr>
        <w:shd w:val="clear" w:color="auto" w:fill="FFFFFF"/>
        <w:spacing w:after="0" w:line="240" w:lineRule="auto"/>
        <w:ind w:firstLine="0"/>
        <w:jc w:val="both"/>
        <w:rPr>
          <w:rFonts w:ascii="Cambria" w:eastAsia="Times New Roman" w:hAnsi="Cambria" w:cs="Times New Roman"/>
          <w:sz w:val="24"/>
          <w:szCs w:val="24"/>
          <w:lang w:val="en-GB" w:eastAsia="ro-RO"/>
        </w:rPr>
      </w:pPr>
    </w:p>
    <w:p w:rsidR="0037604E" w:rsidRPr="00DB5B12" w:rsidRDefault="0037604E" w:rsidP="0037604E">
      <w:pPr>
        <w:shd w:val="clear" w:color="auto" w:fill="FFFFFF"/>
        <w:spacing w:after="0" w:line="240" w:lineRule="auto"/>
        <w:ind w:firstLine="0"/>
        <w:jc w:val="both"/>
        <w:rPr>
          <w:rFonts w:ascii="Cambria" w:eastAsia="Times New Roman" w:hAnsi="Cambria" w:cs="Times New Roman"/>
          <w:sz w:val="24"/>
          <w:szCs w:val="24"/>
          <w:lang w:val="en-GB" w:eastAsia="ro-RO"/>
        </w:rPr>
      </w:pPr>
      <w:r w:rsidRPr="00DB5B12">
        <w:rPr>
          <w:rFonts w:ascii="Cambria" w:eastAsia="Cambria" w:hAnsi="Cambria" w:cs="Cambria"/>
          <w:sz w:val="24"/>
          <w:szCs w:val="24"/>
          <w:lang w:val="en-GB"/>
        </w:rPr>
        <w:t>The evolution of long-term debts is due to the following aspects:</w:t>
      </w:r>
    </w:p>
    <w:p w:rsidR="0037604E" w:rsidRPr="00DB5B12" w:rsidRDefault="0037604E" w:rsidP="0037604E">
      <w:pPr>
        <w:shd w:val="clear" w:color="auto" w:fill="FFFFFF"/>
        <w:spacing w:after="0" w:line="240" w:lineRule="auto"/>
        <w:ind w:left="540" w:firstLine="0"/>
        <w:contextualSpacing/>
        <w:jc w:val="both"/>
        <w:rPr>
          <w:rFonts w:ascii="Cambria" w:eastAsia="Calibri" w:hAnsi="Cambria" w:cs="Times New Roman"/>
          <w:sz w:val="24"/>
          <w:szCs w:val="24"/>
          <w:lang w:val="en-GB" w:eastAsia="en-US"/>
        </w:rPr>
      </w:pPr>
    </w:p>
    <w:p w:rsidR="0037604E" w:rsidRPr="00DB5B12" w:rsidRDefault="0037604E" w:rsidP="00FA6EB9">
      <w:pPr>
        <w:numPr>
          <w:ilvl w:val="0"/>
          <w:numId w:val="59"/>
        </w:numPr>
        <w:spacing w:after="0" w:line="240" w:lineRule="auto"/>
        <w:contextualSpacing/>
        <w:jc w:val="both"/>
        <w:rPr>
          <w:rFonts w:ascii="Cambria" w:eastAsia="Times New Roman" w:hAnsi="Cambria" w:cs="Times New Roman"/>
          <w:sz w:val="24"/>
          <w:szCs w:val="24"/>
          <w:lang w:val="en-GB" w:eastAsia="ro-RO"/>
        </w:rPr>
      </w:pPr>
      <w:r w:rsidRPr="00DB5B12">
        <w:rPr>
          <w:rFonts w:ascii="Cambria" w:eastAsia="Calibri" w:hAnsi="Cambria" w:cs="Times New Roman"/>
          <w:sz w:val="24"/>
          <w:szCs w:val="24"/>
          <w:lang w:val="en-GB" w:eastAsia="en-US"/>
        </w:rPr>
        <w:t xml:space="preserve">The increase of accrued income by </w:t>
      </w:r>
      <w:r w:rsidRPr="00DB5B12">
        <w:rPr>
          <w:rFonts w:ascii="Cambria" w:eastAsia="Calibri" w:hAnsi="Cambria" w:cs="Times New Roman"/>
          <w:b/>
          <w:sz w:val="24"/>
          <w:szCs w:val="24"/>
          <w:lang w:val="en-GB" w:eastAsia="en-US"/>
        </w:rPr>
        <w:t xml:space="preserve">RON </w:t>
      </w:r>
      <w:r w:rsidR="00DB5B12" w:rsidRPr="00DB5B12">
        <w:rPr>
          <w:rFonts w:ascii="Cambria" w:eastAsia="Calibri" w:hAnsi="Cambria" w:cs="Times New Roman"/>
          <w:b/>
          <w:sz w:val="24"/>
          <w:szCs w:val="24"/>
          <w:lang w:val="en-GB" w:eastAsia="en-US"/>
        </w:rPr>
        <w:t>1.238 thousand</w:t>
      </w:r>
      <w:r w:rsidRPr="00DB5B12">
        <w:rPr>
          <w:rFonts w:ascii="Cambria" w:eastAsia="Calibri" w:hAnsi="Cambria" w:cs="Times New Roman"/>
          <w:sz w:val="24"/>
          <w:szCs w:val="24"/>
          <w:lang w:val="en-GB" w:eastAsia="en-US"/>
        </w:rPr>
        <w:t>, mainly caused by an accounting accrual due to the legislation changes according to which the Company is entitled to recover the remaining un-depreciated value of the goods afferent to the company’s investments as titleholder of the National Gas Transmission System</w:t>
      </w:r>
      <w:r w:rsidRPr="00DB5B12">
        <w:rPr>
          <w:rFonts w:ascii="Cambria" w:eastAsia="Times New Roman" w:hAnsi="Cambria" w:cs="Times New Roman"/>
          <w:sz w:val="24"/>
          <w:szCs w:val="24"/>
          <w:lang w:val="en-GB" w:eastAsia="ro-RO"/>
        </w:rPr>
        <w:t>;</w:t>
      </w:r>
    </w:p>
    <w:p w:rsidR="00DB5B12" w:rsidRDefault="007066FC" w:rsidP="00FA6EB9">
      <w:pPr>
        <w:numPr>
          <w:ilvl w:val="0"/>
          <w:numId w:val="59"/>
        </w:numPr>
        <w:spacing w:after="0" w:line="240" w:lineRule="auto"/>
        <w:contextualSpacing/>
        <w:jc w:val="both"/>
        <w:rPr>
          <w:rFonts w:ascii="Cambria" w:eastAsia="Times New Roman" w:hAnsi="Cambria" w:cs="Times New Roman"/>
          <w:sz w:val="24"/>
          <w:szCs w:val="24"/>
          <w:lang w:val="en-GB" w:eastAsia="ro-RO"/>
        </w:rPr>
      </w:pPr>
      <w:r w:rsidRPr="007066FC">
        <w:rPr>
          <w:rFonts w:ascii="Cambria" w:eastAsia="Times New Roman" w:hAnsi="Cambria" w:cs="Times New Roman"/>
          <w:sz w:val="24"/>
          <w:szCs w:val="24"/>
          <w:lang w:val="en-GB" w:eastAsia="ro-RO"/>
        </w:rPr>
        <w:t xml:space="preserve">The increase of </w:t>
      </w:r>
      <w:r w:rsidR="00DB5B12" w:rsidRPr="00DB5B12">
        <w:rPr>
          <w:rFonts w:ascii="Cambria" w:eastAsia="Times New Roman" w:hAnsi="Cambria" w:cs="Times New Roman"/>
          <w:sz w:val="24"/>
          <w:szCs w:val="24"/>
          <w:lang w:val="en-GB" w:eastAsia="ro-RO"/>
        </w:rPr>
        <w:t xml:space="preserve">investment subsidies amounting to </w:t>
      </w:r>
      <w:r w:rsidRPr="00DB5B12">
        <w:rPr>
          <w:rFonts w:ascii="Cambria" w:eastAsia="Calibri" w:hAnsi="Cambria" w:cs="Times New Roman"/>
          <w:b/>
          <w:sz w:val="24"/>
          <w:szCs w:val="24"/>
          <w:lang w:val="en-GB" w:eastAsia="en-US"/>
        </w:rPr>
        <w:t>RON</w:t>
      </w:r>
      <w:r w:rsidRPr="00DB5B12">
        <w:rPr>
          <w:rFonts w:ascii="Cambria" w:eastAsia="Times New Roman" w:hAnsi="Cambria" w:cs="Times New Roman"/>
          <w:sz w:val="24"/>
          <w:szCs w:val="24"/>
          <w:lang w:val="en-GB" w:eastAsia="ro-RO"/>
        </w:rPr>
        <w:t xml:space="preserve"> </w:t>
      </w:r>
      <w:r w:rsidR="00DB5B12" w:rsidRPr="007066FC">
        <w:rPr>
          <w:rFonts w:ascii="Cambria" w:eastAsia="Times New Roman" w:hAnsi="Cambria" w:cs="Times New Roman"/>
          <w:b/>
          <w:sz w:val="24"/>
          <w:szCs w:val="24"/>
          <w:lang w:val="en-GB" w:eastAsia="ro-RO"/>
        </w:rPr>
        <w:t>104.804</w:t>
      </w:r>
      <w:r>
        <w:rPr>
          <w:rFonts w:ascii="Cambria" w:eastAsia="Times New Roman" w:hAnsi="Cambria" w:cs="Times New Roman"/>
          <w:sz w:val="24"/>
          <w:szCs w:val="24"/>
          <w:lang w:val="en-GB" w:eastAsia="ro-RO"/>
        </w:rPr>
        <w:t>, mainly due to the approval by</w:t>
      </w:r>
      <w:r w:rsidR="00DB5B12" w:rsidRPr="00DB5B12">
        <w:rPr>
          <w:rFonts w:ascii="Cambria" w:eastAsia="Times New Roman" w:hAnsi="Cambria" w:cs="Times New Roman"/>
          <w:sz w:val="24"/>
          <w:szCs w:val="24"/>
          <w:lang w:val="en-GB" w:eastAsia="ro-RO"/>
        </w:rPr>
        <w:t xml:space="preserve"> the European Commission, </w:t>
      </w:r>
      <w:r>
        <w:rPr>
          <w:rFonts w:ascii="Cambria" w:eastAsia="Times New Roman" w:hAnsi="Cambria" w:cs="Times New Roman"/>
          <w:sz w:val="24"/>
          <w:szCs w:val="24"/>
          <w:lang w:val="en-GB" w:eastAsia="ro-RO"/>
        </w:rPr>
        <w:t xml:space="preserve">of the Grant Agreement </w:t>
      </w:r>
      <w:r w:rsidR="00DB5B12" w:rsidRPr="00DB5B12">
        <w:rPr>
          <w:rFonts w:ascii="Cambria" w:eastAsia="Times New Roman" w:hAnsi="Cambria" w:cs="Times New Roman"/>
          <w:sz w:val="24"/>
          <w:szCs w:val="24"/>
          <w:lang w:val="en-GB" w:eastAsia="ro-RO"/>
        </w:rPr>
        <w:t>for the project "Development in Roman</w:t>
      </w:r>
      <w:r>
        <w:rPr>
          <w:rFonts w:ascii="Cambria" w:eastAsia="Times New Roman" w:hAnsi="Cambria" w:cs="Times New Roman"/>
          <w:sz w:val="24"/>
          <w:szCs w:val="24"/>
          <w:lang w:val="en-GB" w:eastAsia="ro-RO"/>
        </w:rPr>
        <w:t>ia of the national gas transmission</w:t>
      </w:r>
      <w:r w:rsidR="00DB5B12" w:rsidRPr="00DB5B12">
        <w:rPr>
          <w:rFonts w:ascii="Cambria" w:eastAsia="Times New Roman" w:hAnsi="Cambria" w:cs="Times New Roman"/>
          <w:sz w:val="24"/>
          <w:szCs w:val="24"/>
          <w:lang w:val="en-GB" w:eastAsia="ro-RO"/>
        </w:rPr>
        <w:t xml:space="preserve"> corridor Bu</w:t>
      </w:r>
      <w:r>
        <w:rPr>
          <w:rFonts w:ascii="Cambria" w:eastAsia="Times New Roman" w:hAnsi="Cambria" w:cs="Times New Roman"/>
          <w:sz w:val="24"/>
          <w:szCs w:val="24"/>
          <w:lang w:val="en-GB" w:eastAsia="ro-RO"/>
        </w:rPr>
        <w:t>lgaria-Romania-Hungary-Austria "- BRUA P</w:t>
      </w:r>
      <w:r w:rsidR="00DB5B12" w:rsidRPr="00DB5B12">
        <w:rPr>
          <w:rFonts w:ascii="Cambria" w:eastAsia="Times New Roman" w:hAnsi="Cambria" w:cs="Times New Roman"/>
          <w:sz w:val="24"/>
          <w:szCs w:val="24"/>
          <w:lang w:val="en-GB" w:eastAsia="ro-RO"/>
        </w:rPr>
        <w:t>hase 1;</w:t>
      </w:r>
    </w:p>
    <w:p w:rsidR="0037604E" w:rsidRPr="007066FC" w:rsidRDefault="007066FC" w:rsidP="00FA6EB9">
      <w:pPr>
        <w:numPr>
          <w:ilvl w:val="0"/>
          <w:numId w:val="59"/>
        </w:numPr>
        <w:spacing w:after="0" w:line="240" w:lineRule="auto"/>
        <w:contextualSpacing/>
        <w:jc w:val="both"/>
        <w:rPr>
          <w:rFonts w:ascii="Cambria" w:eastAsia="Times New Roman" w:hAnsi="Cambria" w:cs="Times New Roman"/>
          <w:sz w:val="24"/>
          <w:szCs w:val="24"/>
          <w:lang w:val="en-GB" w:eastAsia="ro-RO"/>
        </w:rPr>
      </w:pPr>
      <w:r>
        <w:rPr>
          <w:rFonts w:ascii="Cambria" w:eastAsia="Times New Roman" w:hAnsi="Cambria" w:cs="Times New Roman"/>
          <w:sz w:val="24"/>
          <w:szCs w:val="24"/>
          <w:lang w:val="en-GB" w:eastAsia="ro-RO"/>
        </w:rPr>
        <w:lastRenderedPageBreak/>
        <w:t>The in</w:t>
      </w:r>
      <w:r w:rsidR="0037604E" w:rsidRPr="00DB5B12">
        <w:rPr>
          <w:rFonts w:ascii="Cambria" w:eastAsia="Times New Roman" w:hAnsi="Cambria" w:cs="Times New Roman"/>
          <w:sz w:val="24"/>
          <w:szCs w:val="24"/>
          <w:lang w:val="en-GB" w:eastAsia="ro-RO"/>
        </w:rPr>
        <w:t xml:space="preserve">crease in the provision for employee benefits in the part related to the long term debt by </w:t>
      </w:r>
      <w:r w:rsidR="0037604E" w:rsidRPr="007066FC">
        <w:rPr>
          <w:rFonts w:ascii="Cambria" w:eastAsia="Times New Roman" w:hAnsi="Cambria" w:cs="Times New Roman"/>
          <w:b/>
          <w:sz w:val="24"/>
          <w:szCs w:val="24"/>
          <w:lang w:val="en-GB" w:eastAsia="ro-RO"/>
        </w:rPr>
        <w:t xml:space="preserve">RON </w:t>
      </w:r>
      <w:r w:rsidRPr="007066FC">
        <w:rPr>
          <w:rFonts w:ascii="Cambria" w:eastAsia="Times New Roman" w:hAnsi="Cambria" w:cs="Times New Roman"/>
          <w:b/>
          <w:sz w:val="24"/>
          <w:szCs w:val="24"/>
          <w:lang w:val="en-GB" w:eastAsia="ro-RO"/>
        </w:rPr>
        <w:t>6.180 thousand</w:t>
      </w:r>
      <w:r w:rsidR="0037604E" w:rsidRPr="00DB5B12">
        <w:rPr>
          <w:rFonts w:ascii="Cambria" w:eastAsia="Times New Roman" w:hAnsi="Cambria" w:cs="Times New Roman"/>
          <w:sz w:val="24"/>
          <w:szCs w:val="24"/>
          <w:lang w:val="en-GB" w:eastAsia="ro-RO"/>
        </w:rPr>
        <w:t>;</w:t>
      </w:r>
    </w:p>
    <w:p w:rsidR="0037604E" w:rsidRPr="00DB5B12" w:rsidRDefault="0037604E" w:rsidP="00FA6EB9">
      <w:pPr>
        <w:numPr>
          <w:ilvl w:val="0"/>
          <w:numId w:val="59"/>
        </w:numPr>
        <w:shd w:val="clear" w:color="auto" w:fill="FFFFFF"/>
        <w:spacing w:after="0" w:line="240" w:lineRule="auto"/>
        <w:contextualSpacing/>
        <w:jc w:val="both"/>
        <w:rPr>
          <w:rFonts w:ascii="Cambria" w:eastAsia="Calibri" w:hAnsi="Cambria" w:cs="Times New Roman"/>
          <w:sz w:val="24"/>
          <w:szCs w:val="24"/>
          <w:lang w:val="en-GB" w:eastAsia="en-US"/>
        </w:rPr>
      </w:pPr>
      <w:r w:rsidRPr="00DB5B12">
        <w:rPr>
          <w:rFonts w:ascii="Cambria" w:eastAsia="Calibri" w:hAnsi="Cambria" w:cs="Times New Roman"/>
          <w:sz w:val="24"/>
          <w:szCs w:val="24"/>
          <w:lang w:val="en-GB" w:eastAsia="en-US"/>
        </w:rPr>
        <w:t xml:space="preserve">The decrease of deferred tax liabilities by </w:t>
      </w:r>
      <w:r w:rsidRPr="007066FC">
        <w:rPr>
          <w:rFonts w:ascii="Cambria" w:eastAsia="Calibri" w:hAnsi="Cambria" w:cs="Times New Roman"/>
          <w:b/>
          <w:sz w:val="24"/>
          <w:szCs w:val="24"/>
          <w:lang w:val="en-GB" w:eastAsia="en-US"/>
        </w:rPr>
        <w:t xml:space="preserve">RON </w:t>
      </w:r>
      <w:r w:rsidR="007066FC" w:rsidRPr="007066FC">
        <w:rPr>
          <w:rFonts w:ascii="Cambria" w:eastAsia="Calibri" w:hAnsi="Cambria" w:cs="Times New Roman"/>
          <w:b/>
          <w:sz w:val="24"/>
          <w:szCs w:val="24"/>
          <w:lang w:val="en-GB" w:eastAsia="en-US"/>
        </w:rPr>
        <w:t>5.669</w:t>
      </w:r>
      <w:r w:rsidR="007066FC" w:rsidRPr="007066FC">
        <w:rPr>
          <w:rFonts w:ascii="Cambria" w:eastAsia="Calibri" w:hAnsi="Cambria" w:cs="Times New Roman"/>
          <w:sz w:val="24"/>
          <w:szCs w:val="24"/>
          <w:lang w:val="en-GB" w:eastAsia="en-US"/>
        </w:rPr>
        <w:t xml:space="preserve"> </w:t>
      </w:r>
      <w:r w:rsidR="007066FC" w:rsidRPr="007066FC">
        <w:rPr>
          <w:rFonts w:ascii="Cambria" w:eastAsia="Times New Roman" w:hAnsi="Cambria" w:cs="Times New Roman"/>
          <w:b/>
          <w:sz w:val="24"/>
          <w:szCs w:val="24"/>
          <w:lang w:val="en-GB" w:eastAsia="ro-RO"/>
        </w:rPr>
        <w:t>thousand</w:t>
      </w:r>
      <w:r w:rsidR="007066FC" w:rsidRPr="00DB5B12">
        <w:rPr>
          <w:rFonts w:ascii="Cambria" w:eastAsia="Calibri" w:hAnsi="Cambria" w:cs="Times New Roman"/>
          <w:sz w:val="24"/>
          <w:szCs w:val="24"/>
          <w:lang w:val="en-GB" w:eastAsia="en-US"/>
        </w:rPr>
        <w:t xml:space="preserve"> </w:t>
      </w:r>
      <w:r w:rsidRPr="00DB5B12">
        <w:rPr>
          <w:rFonts w:ascii="Cambria" w:eastAsia="Calibri" w:hAnsi="Cambria" w:cs="Times New Roman"/>
          <w:sz w:val="24"/>
          <w:szCs w:val="24"/>
          <w:lang w:val="en-GB" w:eastAsia="en-US"/>
        </w:rPr>
        <w:t>is mainly due to the decrease of the variation between the basis of accounting and the tax base for Transgaz’ tangible and intangible assets.</w:t>
      </w:r>
    </w:p>
    <w:p w:rsidR="0037604E" w:rsidRPr="00DB5B12"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853B7E" w:rsidRDefault="007066FC" w:rsidP="0037604E">
      <w:pPr>
        <w:spacing w:after="0" w:line="240" w:lineRule="auto"/>
        <w:ind w:firstLine="0"/>
        <w:jc w:val="both"/>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Transgaz did no longer employ loans at December 31, 2016. The loan contracted in 2010 from GSC BRD to finance the investment program of the Company amounting to RON 120,000,000 was repaid in full on 31 December 2015.</w:t>
      </w:r>
    </w:p>
    <w:p w:rsidR="0037604E" w:rsidRPr="00853B7E" w:rsidRDefault="0037604E" w:rsidP="0037604E">
      <w:pPr>
        <w:spacing w:after="0" w:line="240" w:lineRule="auto"/>
        <w:ind w:firstLine="0"/>
        <w:jc w:val="both"/>
        <w:rPr>
          <w:rFonts w:ascii="Cambria" w:eastAsia="Times New Roman" w:hAnsi="Cambria" w:cs="Times New Roman"/>
          <w:sz w:val="24"/>
          <w:szCs w:val="24"/>
          <w:lang w:val="en-GB" w:eastAsia="ro-RO"/>
        </w:rPr>
      </w:pPr>
    </w:p>
    <w:tbl>
      <w:tblPr>
        <w:tblW w:w="0" w:type="auto"/>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000" w:firstRow="0" w:lastRow="0" w:firstColumn="0" w:lastColumn="0" w:noHBand="0" w:noVBand="0"/>
      </w:tblPr>
      <w:tblGrid>
        <w:gridCol w:w="1904"/>
        <w:gridCol w:w="1511"/>
        <w:gridCol w:w="2424"/>
        <w:gridCol w:w="3182"/>
      </w:tblGrid>
      <w:tr w:rsidR="0037604E" w:rsidRPr="00853B7E" w:rsidTr="0037604E">
        <w:trPr>
          <w:cantSplit/>
          <w:trHeight w:val="337"/>
          <w:tblCellSpacing w:w="20" w:type="dxa"/>
          <w:jc w:val="center"/>
        </w:trPr>
        <w:tc>
          <w:tcPr>
            <w:tcW w:w="1844" w:type="dxa"/>
            <w:shd w:val="clear" w:color="auto" w:fill="DBE5F1"/>
            <w:vAlign w:val="center"/>
          </w:tcPr>
          <w:p w:rsidR="0037604E" w:rsidRPr="00853B7E" w:rsidRDefault="0037604E" w:rsidP="0037604E">
            <w:pPr>
              <w:spacing w:after="0" w:line="240" w:lineRule="auto"/>
              <w:ind w:firstLine="0"/>
              <w:jc w:val="center"/>
              <w:rPr>
                <w:rFonts w:ascii="Cambria" w:eastAsia="Times New Roman" w:hAnsi="Cambria" w:cs="Times New Roman"/>
                <w:b/>
                <w:lang w:val="en-GB" w:eastAsia="ro-RO"/>
              </w:rPr>
            </w:pPr>
            <w:r w:rsidRPr="00853B7E">
              <w:rPr>
                <w:rFonts w:ascii="Cambria" w:eastAsia="Cambria" w:hAnsi="Cambria" w:cs="Cambria"/>
                <w:b/>
                <w:bCs/>
                <w:lang w:val="en-GB"/>
              </w:rPr>
              <w:t>Financing bank</w:t>
            </w:r>
          </w:p>
        </w:tc>
        <w:tc>
          <w:tcPr>
            <w:tcW w:w="0" w:type="auto"/>
            <w:shd w:val="clear" w:color="auto" w:fill="DBE5F1"/>
            <w:vAlign w:val="center"/>
          </w:tcPr>
          <w:p w:rsidR="0037604E" w:rsidRPr="00853B7E" w:rsidRDefault="0037604E" w:rsidP="0037604E">
            <w:pPr>
              <w:spacing w:after="0" w:line="240" w:lineRule="auto"/>
              <w:ind w:firstLine="0"/>
              <w:jc w:val="center"/>
              <w:rPr>
                <w:rFonts w:ascii="Cambria" w:eastAsia="Times New Roman" w:hAnsi="Cambria" w:cs="Times New Roman"/>
                <w:b/>
                <w:lang w:val="en-GB" w:eastAsia="ro-RO"/>
              </w:rPr>
            </w:pPr>
            <w:r w:rsidRPr="00853B7E">
              <w:rPr>
                <w:rFonts w:ascii="Cambria" w:eastAsia="Cambria" w:hAnsi="Cambria" w:cs="Cambria"/>
                <w:b/>
                <w:bCs/>
                <w:lang w:val="en-GB"/>
              </w:rPr>
              <w:t>Loan currency</w:t>
            </w:r>
          </w:p>
        </w:tc>
        <w:tc>
          <w:tcPr>
            <w:tcW w:w="0" w:type="auto"/>
            <w:shd w:val="clear" w:color="auto" w:fill="DBE5F1"/>
            <w:vAlign w:val="center"/>
          </w:tcPr>
          <w:p w:rsidR="0037604E" w:rsidRPr="00853B7E" w:rsidRDefault="0037604E" w:rsidP="0037604E">
            <w:pPr>
              <w:spacing w:after="0" w:line="240" w:lineRule="auto"/>
              <w:ind w:firstLine="0"/>
              <w:jc w:val="center"/>
              <w:rPr>
                <w:rFonts w:ascii="Cambria" w:eastAsia="Times New Roman" w:hAnsi="Cambria" w:cs="Times New Roman"/>
                <w:b/>
                <w:lang w:val="en-GB" w:eastAsia="ro-RO"/>
              </w:rPr>
            </w:pPr>
            <w:r w:rsidRPr="00853B7E">
              <w:rPr>
                <w:rFonts w:ascii="Cambria" w:eastAsia="Cambria" w:hAnsi="Cambria" w:cs="Cambria"/>
                <w:b/>
                <w:bCs/>
                <w:lang w:val="en-GB"/>
              </w:rPr>
              <w:t>Loan value (thousand RON)</w:t>
            </w:r>
          </w:p>
        </w:tc>
        <w:tc>
          <w:tcPr>
            <w:tcW w:w="0" w:type="auto"/>
            <w:shd w:val="clear" w:color="auto" w:fill="DBE5F1"/>
            <w:vAlign w:val="center"/>
          </w:tcPr>
          <w:p w:rsidR="0037604E" w:rsidRPr="00853B7E" w:rsidRDefault="0037604E" w:rsidP="0037604E">
            <w:pPr>
              <w:spacing w:after="0" w:line="240" w:lineRule="auto"/>
              <w:ind w:firstLine="0"/>
              <w:jc w:val="center"/>
              <w:rPr>
                <w:rFonts w:ascii="Cambria" w:eastAsia="Times New Roman" w:hAnsi="Cambria" w:cs="Times New Roman"/>
                <w:b/>
                <w:lang w:val="en-GB" w:eastAsia="ro-RO"/>
              </w:rPr>
            </w:pPr>
            <w:r w:rsidRPr="00853B7E">
              <w:rPr>
                <w:rFonts w:ascii="Cambria" w:eastAsia="Cambria" w:hAnsi="Cambria" w:cs="Cambria"/>
                <w:b/>
                <w:bCs/>
                <w:lang w:val="en-GB"/>
              </w:rPr>
              <w:t>Balance on 31.12.2014 (thousand RON)</w:t>
            </w:r>
          </w:p>
        </w:tc>
      </w:tr>
      <w:tr w:rsidR="0037604E" w:rsidRPr="00853B7E" w:rsidTr="0037604E">
        <w:trPr>
          <w:trHeight w:val="167"/>
          <w:tblCellSpacing w:w="20" w:type="dxa"/>
          <w:jc w:val="center"/>
        </w:trPr>
        <w:tc>
          <w:tcPr>
            <w:tcW w:w="1844" w:type="dxa"/>
          </w:tcPr>
          <w:p w:rsidR="0037604E" w:rsidRPr="00853B7E" w:rsidRDefault="0037604E" w:rsidP="0037604E">
            <w:pPr>
              <w:spacing w:after="0" w:line="240" w:lineRule="auto"/>
              <w:ind w:firstLine="0"/>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BRD GSG</w:t>
            </w:r>
          </w:p>
        </w:tc>
        <w:tc>
          <w:tcPr>
            <w:tcW w:w="0" w:type="auto"/>
            <w:vAlign w:val="center"/>
          </w:tcPr>
          <w:p w:rsidR="0037604E" w:rsidRPr="00853B7E" w:rsidRDefault="0037604E" w:rsidP="0037604E">
            <w:pPr>
              <w:spacing w:after="0" w:line="240" w:lineRule="auto"/>
              <w:ind w:firstLine="0"/>
              <w:jc w:val="center"/>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RON</w:t>
            </w:r>
          </w:p>
        </w:tc>
        <w:tc>
          <w:tcPr>
            <w:tcW w:w="0" w:type="auto"/>
            <w:vAlign w:val="center"/>
          </w:tcPr>
          <w:p w:rsidR="0037604E" w:rsidRPr="00853B7E" w:rsidRDefault="0037604E" w:rsidP="0037604E">
            <w:pPr>
              <w:spacing w:after="0" w:line="240" w:lineRule="auto"/>
              <w:ind w:firstLine="0"/>
              <w:jc w:val="right"/>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120.000,00</w:t>
            </w:r>
          </w:p>
        </w:tc>
        <w:tc>
          <w:tcPr>
            <w:tcW w:w="0" w:type="auto"/>
            <w:vAlign w:val="center"/>
          </w:tcPr>
          <w:p w:rsidR="0037604E" w:rsidRPr="00853B7E" w:rsidRDefault="0037604E" w:rsidP="0037604E">
            <w:pPr>
              <w:spacing w:after="0" w:line="240" w:lineRule="auto"/>
              <w:ind w:firstLine="0"/>
              <w:jc w:val="right"/>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0,00</w:t>
            </w:r>
          </w:p>
        </w:tc>
      </w:tr>
    </w:tbl>
    <w:p w:rsidR="0037604E" w:rsidRPr="00853B7E" w:rsidRDefault="0037604E" w:rsidP="0037604E">
      <w:pPr>
        <w:spacing w:after="120" w:line="25" w:lineRule="atLeast"/>
        <w:ind w:firstLine="0"/>
        <w:jc w:val="center"/>
        <w:rPr>
          <w:rFonts w:ascii="Cambria" w:eastAsia="Times New Roman" w:hAnsi="Cambria" w:cs="Times New Roman"/>
          <w:b/>
          <w:i/>
          <w:sz w:val="16"/>
          <w:szCs w:val="16"/>
          <w:lang w:val="en-GB" w:eastAsia="ro-RO"/>
        </w:rPr>
      </w:pPr>
      <w:bookmarkStart w:id="141" w:name="_Toc319916373"/>
    </w:p>
    <w:p w:rsidR="0037604E" w:rsidRPr="00853B7E" w:rsidRDefault="00E80C4A" w:rsidP="0037604E">
      <w:pPr>
        <w:spacing w:after="120" w:line="25" w:lineRule="atLeast"/>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39</w:t>
      </w:r>
      <w:r w:rsidR="0037604E" w:rsidRPr="00853B7E">
        <w:rPr>
          <w:rFonts w:ascii="Cambria" w:eastAsia="Times New Roman" w:hAnsi="Cambria" w:cs="Times New Roman"/>
          <w:b/>
          <w:i/>
          <w:sz w:val="16"/>
          <w:szCs w:val="16"/>
          <w:lang w:val="en-GB" w:eastAsia="ro-RO"/>
        </w:rPr>
        <w:t>– Medium and long term loans as at 31.12.2016</w:t>
      </w:r>
    </w:p>
    <w:p w:rsidR="0037604E" w:rsidRPr="0037604E" w:rsidRDefault="0037604E" w:rsidP="0037604E">
      <w:pPr>
        <w:spacing w:after="0" w:line="240" w:lineRule="auto"/>
        <w:ind w:firstLine="0"/>
        <w:jc w:val="both"/>
        <w:rPr>
          <w:rFonts w:ascii="Cambria" w:eastAsia="Times New Roman" w:hAnsi="Cambria" w:cs="Times New Roman"/>
          <w:i/>
          <w:sz w:val="24"/>
          <w:szCs w:val="24"/>
          <w:highlight w:val="yellow"/>
          <w:lang w:val="en-GB" w:eastAsia="ro-RO"/>
        </w:rPr>
      </w:pP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853B7E">
        <w:rPr>
          <w:rFonts w:ascii="Cambria" w:eastAsia="Cambria" w:hAnsi="Cambria" w:cs="Cambria"/>
          <w:b/>
          <w:bCs/>
          <w:i/>
          <w:iCs/>
          <w:sz w:val="24"/>
          <w:szCs w:val="24"/>
          <w:lang w:val="en-GB"/>
        </w:rPr>
        <w:t>Equity</w:t>
      </w:r>
    </w:p>
    <w:p w:rsidR="0037604E" w:rsidRPr="00853B7E" w:rsidRDefault="0037604E" w:rsidP="0037604E">
      <w:pPr>
        <w:spacing w:after="0" w:line="240" w:lineRule="auto"/>
        <w:ind w:left="180" w:firstLine="0"/>
        <w:jc w:val="both"/>
        <w:rPr>
          <w:rFonts w:ascii="Cambria" w:eastAsia="Times New Roman" w:hAnsi="Cambria" w:cs="Times New Roman"/>
          <w:sz w:val="24"/>
          <w:szCs w:val="24"/>
          <w:highlight w:val="yellow"/>
          <w:lang w:val="en-GB" w:eastAsia="ro-RO"/>
        </w:rPr>
      </w:pPr>
    </w:p>
    <w:p w:rsidR="0037604E" w:rsidRPr="00853B7E" w:rsidRDefault="0037604E" w:rsidP="0037604E">
      <w:pPr>
        <w:spacing w:after="0" w:line="240" w:lineRule="auto"/>
        <w:ind w:firstLine="0"/>
        <w:jc w:val="both"/>
        <w:rPr>
          <w:rFonts w:ascii="Cambria" w:eastAsia="Times New Roman" w:hAnsi="Cambria" w:cs="Times New Roman"/>
          <w:sz w:val="24"/>
          <w:szCs w:val="24"/>
          <w:highlight w:val="yellow"/>
          <w:lang w:val="en-GB" w:eastAsia="ro-RO"/>
        </w:rPr>
      </w:pPr>
      <w:r w:rsidRPr="00853B7E">
        <w:rPr>
          <w:rFonts w:ascii="Cambria" w:eastAsia="Cambria" w:hAnsi="Cambria" w:cs="Cambria"/>
          <w:sz w:val="24"/>
          <w:szCs w:val="24"/>
          <w:lang w:val="en-GB"/>
        </w:rPr>
        <w:t>The subscribed and paid up capital remained unchanged.</w:t>
      </w:r>
      <w:r w:rsidRPr="00853B7E">
        <w:rPr>
          <w:rFonts w:ascii="Cambria" w:eastAsia="Times New Roman" w:hAnsi="Cambria" w:cs="Times New Roman"/>
          <w:sz w:val="24"/>
          <w:szCs w:val="24"/>
          <w:lang w:val="en-GB" w:eastAsia="ro-RO"/>
        </w:rPr>
        <w:t xml:space="preserve"> The i</w:t>
      </w:r>
      <w:r w:rsidRPr="00853B7E">
        <w:rPr>
          <w:rFonts w:ascii="Cambria" w:eastAsia="Cambria" w:hAnsi="Cambria" w:cs="Cambria"/>
          <w:sz w:val="24"/>
          <w:szCs w:val="24"/>
          <w:lang w:val="en-GB"/>
        </w:rPr>
        <w:t xml:space="preserve">ncrease in retained earnings by RON </w:t>
      </w:r>
      <w:r w:rsidR="00853B7E" w:rsidRPr="00853B7E">
        <w:rPr>
          <w:rFonts w:ascii="Cambria" w:eastAsia="Times New Roman" w:hAnsi="Cambria" w:cs="Times New Roman"/>
          <w:sz w:val="24"/>
          <w:szCs w:val="24"/>
          <w:lang w:val="en-GB" w:eastAsia="ro-RO"/>
        </w:rPr>
        <w:t xml:space="preserve">268.464 </w:t>
      </w:r>
      <w:r w:rsidR="00853B7E">
        <w:rPr>
          <w:rFonts w:ascii="Cambria" w:eastAsia="Times New Roman" w:hAnsi="Cambria" w:cs="Times New Roman"/>
          <w:sz w:val="24"/>
          <w:szCs w:val="24"/>
          <w:lang w:val="en-GB" w:eastAsia="ro-RO"/>
        </w:rPr>
        <w:t>is due to the profit for 2016</w:t>
      </w:r>
      <w:r w:rsidRPr="00853B7E">
        <w:rPr>
          <w:rFonts w:ascii="Cambria" w:eastAsia="Times New Roman" w:hAnsi="Cambria" w:cs="Times New Roman"/>
          <w:sz w:val="24"/>
          <w:szCs w:val="24"/>
          <w:lang w:val="en-GB" w:eastAsia="ro-RO"/>
        </w:rPr>
        <w:t xml:space="preserve"> and to the distributi</w:t>
      </w:r>
      <w:r w:rsidR="00853B7E">
        <w:rPr>
          <w:rFonts w:ascii="Cambria" w:eastAsia="Times New Roman" w:hAnsi="Cambria" w:cs="Times New Roman"/>
          <w:sz w:val="24"/>
          <w:szCs w:val="24"/>
          <w:lang w:val="en-GB" w:eastAsia="ro-RO"/>
        </w:rPr>
        <w:t>on of the profit related to 2015</w:t>
      </w:r>
      <w:r w:rsidRPr="00853B7E">
        <w:rPr>
          <w:rFonts w:ascii="Cambria" w:eastAsia="Times New Roman" w:hAnsi="Cambria" w:cs="Times New Roman"/>
          <w:sz w:val="24"/>
          <w:szCs w:val="24"/>
          <w:lang w:val="en-GB" w:eastAsia="ro-RO"/>
        </w:rPr>
        <w:t xml:space="preserve">.  </w:t>
      </w:r>
    </w:p>
    <w:bookmarkEnd w:id="141"/>
    <w:p w:rsidR="0037604E" w:rsidRPr="0037604E" w:rsidRDefault="0037604E" w:rsidP="0037604E">
      <w:pPr>
        <w:spacing w:after="0" w:line="240" w:lineRule="auto"/>
        <w:ind w:firstLine="0"/>
        <w:jc w:val="both"/>
        <w:rPr>
          <w:rFonts w:ascii="Cambria" w:eastAsia="Times New Roman" w:hAnsi="Cambria" w:cs="Times New Roman"/>
          <w:b/>
          <w:color w:val="FF0000"/>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i/>
          <w:color w:val="FF0000"/>
          <w:sz w:val="24"/>
          <w:szCs w:val="24"/>
          <w:lang w:val="en-GB" w:eastAsia="ro-RO"/>
        </w:rPr>
      </w:pPr>
    </w:p>
    <w:p w:rsidR="0037604E" w:rsidRPr="0037604E" w:rsidRDefault="0037604E" w:rsidP="0037604E">
      <w:pPr>
        <w:shd w:val="clear" w:color="auto" w:fill="DBE5F1" w:themeFill="accent1" w:themeFillTint="33"/>
        <w:spacing w:after="0" w:line="240" w:lineRule="auto"/>
        <w:ind w:firstLine="0"/>
        <w:jc w:val="both"/>
        <w:outlineLvl w:val="2"/>
        <w:rPr>
          <w:rFonts w:ascii="Cambria" w:eastAsia="Times New Roman" w:hAnsi="Cambria" w:cstheme="majorBidi"/>
          <w:b/>
          <w:bCs/>
          <w:iCs/>
          <w:sz w:val="24"/>
          <w:szCs w:val="24"/>
          <w:lang w:val="en-GB" w:eastAsia="ro-RO"/>
        </w:rPr>
      </w:pPr>
      <w:bookmarkStart w:id="142" w:name="_Toc445212621"/>
      <w:bookmarkStart w:id="143" w:name="_Toc446310880"/>
      <w:r w:rsidRPr="0037604E">
        <w:rPr>
          <w:rFonts w:ascii="Cambria" w:eastAsia="Times New Roman" w:hAnsi="Cambria" w:cstheme="majorBidi"/>
          <w:b/>
          <w:bCs/>
          <w:iCs/>
          <w:sz w:val="24"/>
          <w:szCs w:val="24"/>
          <w:lang w:val="en-GB" w:eastAsia="ro-RO"/>
        </w:rPr>
        <w:t xml:space="preserve">3.4.2 </w:t>
      </w:r>
      <w:bookmarkEnd w:id="142"/>
      <w:r w:rsidRPr="0037604E">
        <w:rPr>
          <w:rFonts w:ascii="Cambria" w:eastAsia="Times New Roman" w:hAnsi="Cambria" w:cstheme="majorBidi"/>
          <w:b/>
          <w:bCs/>
          <w:iCs/>
          <w:sz w:val="24"/>
          <w:szCs w:val="24"/>
          <w:lang w:val="en-GB" w:eastAsia="ro-RO"/>
        </w:rPr>
        <w:t>Comprehensive income</w:t>
      </w:r>
      <w:bookmarkEnd w:id="143"/>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situation of the profit and loss account on 31.12.2016 is as follows:</w:t>
      </w:r>
    </w:p>
    <w:p w:rsidR="0037604E" w:rsidRDefault="0037604E" w:rsidP="0037604E">
      <w:pPr>
        <w:spacing w:after="0" w:line="240" w:lineRule="auto"/>
        <w:ind w:firstLine="0"/>
        <w:jc w:val="both"/>
        <w:rPr>
          <w:rFonts w:ascii="Cambria" w:eastAsia="Times New Roman" w:hAnsi="Cambria" w:cs="Times New Roman"/>
          <w:sz w:val="24"/>
          <w:szCs w:val="24"/>
          <w:highlight w:val="yellow"/>
          <w:lang w:val="en-GB" w:eastAsia="ro-RO"/>
        </w:rPr>
      </w:pPr>
    </w:p>
    <w:tbl>
      <w:tblPr>
        <w:tblW w:w="9456" w:type="dxa"/>
        <w:tblCellSpacing w:w="20" w:type="dxa"/>
        <w:tblInd w:w="-434" w:type="dxa"/>
        <w:tblBorders>
          <w:top w:val="outset" w:sz="6" w:space="0" w:color="FFFFFF" w:themeColor="background1"/>
          <w:left w:val="outset" w:sz="6" w:space="0" w:color="FFFFFF" w:themeColor="background1"/>
          <w:bottom w:val="outset" w:sz="6" w:space="0" w:color="FFFFFF" w:themeColor="background1"/>
          <w:right w:val="outset" w:sz="6" w:space="0" w:color="FFFFFF" w:themeColor="background1"/>
          <w:insideH w:val="outset" w:sz="6" w:space="0" w:color="FFFFFF" w:themeColor="background1"/>
          <w:insideV w:val="outset" w:sz="6" w:space="0" w:color="FFFFFF" w:themeColor="background1"/>
        </w:tblBorders>
        <w:tblLayout w:type="fixed"/>
        <w:tblLook w:val="04A0" w:firstRow="1" w:lastRow="0" w:firstColumn="1" w:lastColumn="0" w:noHBand="0" w:noVBand="1"/>
      </w:tblPr>
      <w:tblGrid>
        <w:gridCol w:w="568"/>
        <w:gridCol w:w="1418"/>
        <w:gridCol w:w="1134"/>
        <w:gridCol w:w="992"/>
        <w:gridCol w:w="992"/>
        <w:gridCol w:w="992"/>
        <w:gridCol w:w="851"/>
        <w:gridCol w:w="870"/>
        <w:gridCol w:w="840"/>
        <w:gridCol w:w="799"/>
      </w:tblGrid>
      <w:tr w:rsidR="00F52BF8" w:rsidRPr="00050011" w:rsidTr="001C15B8">
        <w:trPr>
          <w:trHeight w:val="285"/>
          <w:tblCellSpacing w:w="20" w:type="dxa"/>
        </w:trPr>
        <w:tc>
          <w:tcPr>
            <w:tcW w:w="508" w:type="dxa"/>
            <w:vMerge w:val="restart"/>
            <w:shd w:val="clear" w:color="000000" w:fill="C5D9F1"/>
            <w:vAlign w:val="center"/>
            <w:hideMark/>
          </w:tcPr>
          <w:p w:rsidR="00F52BF8" w:rsidRPr="00853B7E" w:rsidRDefault="00F52BF8" w:rsidP="001C15B8">
            <w:pPr>
              <w:spacing w:after="0" w:line="240" w:lineRule="auto"/>
              <w:ind w:firstLine="0"/>
              <w:jc w:val="center"/>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Tag no.</w:t>
            </w:r>
          </w:p>
        </w:tc>
        <w:tc>
          <w:tcPr>
            <w:tcW w:w="1378" w:type="dxa"/>
            <w:vMerge w:val="restart"/>
            <w:shd w:val="clear" w:color="000000" w:fill="C5D9F1"/>
            <w:vAlign w:val="center"/>
            <w:hideMark/>
          </w:tcPr>
          <w:p w:rsidR="00F52BF8" w:rsidRPr="00853B7E" w:rsidRDefault="00F52BF8" w:rsidP="001C15B8">
            <w:pPr>
              <w:spacing w:after="0" w:line="240" w:lineRule="auto"/>
              <w:ind w:firstLine="0"/>
              <w:jc w:val="center"/>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Specification</w:t>
            </w:r>
          </w:p>
        </w:tc>
        <w:tc>
          <w:tcPr>
            <w:tcW w:w="4070" w:type="dxa"/>
            <w:gridSpan w:val="4"/>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853B7E">
              <w:rPr>
                <w:rFonts w:asciiTheme="majorHAnsi" w:eastAsia="Times New Roman" w:hAnsiTheme="majorHAnsi" w:cs="Arial"/>
                <w:b/>
                <w:bCs/>
                <w:sz w:val="18"/>
                <w:szCs w:val="18"/>
                <w:lang w:val="en-GB" w:eastAsia="ro-RO"/>
              </w:rPr>
              <w:t>Achieved on 31 December</w:t>
            </w:r>
          </w:p>
        </w:tc>
        <w:tc>
          <w:tcPr>
            <w:tcW w:w="3300" w:type="dxa"/>
            <w:gridSpan w:val="4"/>
            <w:vMerge w:val="restart"/>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853B7E">
              <w:rPr>
                <w:rFonts w:asciiTheme="majorHAnsi" w:eastAsia="Times New Roman" w:hAnsiTheme="majorHAnsi" w:cs="Arial"/>
                <w:b/>
                <w:bCs/>
                <w:sz w:val="18"/>
                <w:szCs w:val="18"/>
                <w:lang w:val="en-GB" w:eastAsia="ro-RO"/>
              </w:rPr>
              <w:t>Dynamics (%)</w:t>
            </w:r>
          </w:p>
        </w:tc>
      </w:tr>
      <w:tr w:rsidR="00F52BF8" w:rsidRPr="00050011" w:rsidTr="001C15B8">
        <w:trPr>
          <w:trHeight w:val="285"/>
          <w:tblCellSpacing w:w="20" w:type="dxa"/>
        </w:trPr>
        <w:tc>
          <w:tcPr>
            <w:tcW w:w="508" w:type="dxa"/>
            <w:vMerge/>
            <w:vAlign w:val="center"/>
            <w:hideMark/>
          </w:tcPr>
          <w:p w:rsidR="00F52BF8" w:rsidRPr="00864939" w:rsidRDefault="00F52BF8" w:rsidP="001C15B8">
            <w:pPr>
              <w:spacing w:after="0" w:line="240" w:lineRule="auto"/>
              <w:ind w:firstLine="0"/>
              <w:rPr>
                <w:rFonts w:ascii="Cambria" w:eastAsia="Times New Roman" w:hAnsi="Cambria" w:cs="Times New Roman"/>
                <w:b/>
                <w:bCs/>
                <w:sz w:val="16"/>
                <w:szCs w:val="16"/>
                <w:lang w:eastAsia="en-US"/>
              </w:rPr>
            </w:pPr>
          </w:p>
        </w:tc>
        <w:tc>
          <w:tcPr>
            <w:tcW w:w="1378" w:type="dxa"/>
            <w:vMerge/>
            <w:vAlign w:val="center"/>
            <w:hideMark/>
          </w:tcPr>
          <w:p w:rsidR="00F52BF8" w:rsidRPr="00050011" w:rsidRDefault="00F52BF8" w:rsidP="001C15B8">
            <w:pPr>
              <w:spacing w:after="0" w:line="240" w:lineRule="auto"/>
              <w:ind w:firstLine="0"/>
              <w:rPr>
                <w:rFonts w:ascii="Cambria" w:eastAsia="Times New Roman" w:hAnsi="Cambria" w:cs="Times New Roman"/>
                <w:b/>
                <w:bCs/>
                <w:sz w:val="16"/>
                <w:szCs w:val="16"/>
                <w:lang w:eastAsia="en-US"/>
              </w:rPr>
            </w:pPr>
          </w:p>
        </w:tc>
        <w:tc>
          <w:tcPr>
            <w:tcW w:w="1094" w:type="dxa"/>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2016</w:t>
            </w:r>
          </w:p>
        </w:tc>
        <w:tc>
          <w:tcPr>
            <w:tcW w:w="952" w:type="dxa"/>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2015</w:t>
            </w:r>
          </w:p>
        </w:tc>
        <w:tc>
          <w:tcPr>
            <w:tcW w:w="952" w:type="dxa"/>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2014</w:t>
            </w:r>
          </w:p>
        </w:tc>
        <w:tc>
          <w:tcPr>
            <w:tcW w:w="952" w:type="dxa"/>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2013</w:t>
            </w:r>
          </w:p>
        </w:tc>
        <w:tc>
          <w:tcPr>
            <w:tcW w:w="3300" w:type="dxa"/>
            <w:gridSpan w:val="4"/>
            <w:vMerge/>
            <w:vAlign w:val="center"/>
            <w:hideMark/>
          </w:tcPr>
          <w:p w:rsidR="00F52BF8" w:rsidRPr="00050011" w:rsidRDefault="00F52BF8" w:rsidP="001C15B8">
            <w:pPr>
              <w:spacing w:after="0" w:line="240" w:lineRule="auto"/>
              <w:ind w:firstLine="0"/>
              <w:rPr>
                <w:rFonts w:ascii="Cambria" w:eastAsia="Times New Roman" w:hAnsi="Cambria" w:cs="Times New Roman"/>
                <w:b/>
                <w:bCs/>
                <w:sz w:val="16"/>
                <w:szCs w:val="16"/>
                <w:lang w:eastAsia="en-US"/>
              </w:rPr>
            </w:pPr>
          </w:p>
        </w:tc>
      </w:tr>
      <w:tr w:rsidR="00F52BF8" w:rsidRPr="00050011" w:rsidTr="001C15B8">
        <w:trPr>
          <w:trHeight w:val="285"/>
          <w:tblCellSpacing w:w="20" w:type="dxa"/>
        </w:trPr>
        <w:tc>
          <w:tcPr>
            <w:tcW w:w="508" w:type="dxa"/>
            <w:shd w:val="clear" w:color="000000" w:fill="C5D9F1"/>
            <w:vAlign w:val="center"/>
            <w:hideMark/>
          </w:tcPr>
          <w:p w:rsidR="00F52BF8" w:rsidRPr="00864939" w:rsidRDefault="00F52BF8" w:rsidP="001C15B8">
            <w:pPr>
              <w:spacing w:after="0" w:line="240" w:lineRule="auto"/>
              <w:ind w:firstLine="0"/>
              <w:jc w:val="center"/>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0</w:t>
            </w:r>
          </w:p>
        </w:tc>
        <w:tc>
          <w:tcPr>
            <w:tcW w:w="1378"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w:t>
            </w:r>
          </w:p>
        </w:tc>
        <w:tc>
          <w:tcPr>
            <w:tcW w:w="1094"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w:t>
            </w:r>
          </w:p>
        </w:tc>
        <w:tc>
          <w:tcPr>
            <w:tcW w:w="952"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w:t>
            </w:r>
          </w:p>
        </w:tc>
        <w:tc>
          <w:tcPr>
            <w:tcW w:w="952"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w:t>
            </w:r>
          </w:p>
        </w:tc>
        <w:tc>
          <w:tcPr>
            <w:tcW w:w="952"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w:t>
            </w:r>
          </w:p>
        </w:tc>
        <w:tc>
          <w:tcPr>
            <w:tcW w:w="811" w:type="dxa"/>
            <w:shd w:val="clear" w:color="000000" w:fill="C5D9F1"/>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5=2/3</w:t>
            </w:r>
          </w:p>
        </w:tc>
        <w:tc>
          <w:tcPr>
            <w:tcW w:w="830"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6=3/4</w:t>
            </w:r>
          </w:p>
        </w:tc>
        <w:tc>
          <w:tcPr>
            <w:tcW w:w="800"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7=4/5</w:t>
            </w:r>
          </w:p>
        </w:tc>
        <w:tc>
          <w:tcPr>
            <w:tcW w:w="739" w:type="dxa"/>
            <w:shd w:val="clear" w:color="000000" w:fill="C5D9F1"/>
            <w:noWrap/>
            <w:vAlign w:val="center"/>
            <w:hideMark/>
          </w:tcPr>
          <w:p w:rsidR="00F52BF8" w:rsidRPr="00050011" w:rsidRDefault="00F52BF8" w:rsidP="001C15B8">
            <w:pPr>
              <w:spacing w:after="0" w:line="240" w:lineRule="auto"/>
              <w:ind w:firstLine="0"/>
              <w:jc w:val="center"/>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8=2/5</w:t>
            </w:r>
          </w:p>
        </w:tc>
      </w:tr>
      <w:tr w:rsidR="00BF70ED" w:rsidRPr="00050011" w:rsidTr="001C15B8">
        <w:trPr>
          <w:trHeight w:val="285"/>
          <w:tblCellSpacing w:w="20" w:type="dxa"/>
        </w:trPr>
        <w:tc>
          <w:tcPr>
            <w:tcW w:w="508" w:type="dxa"/>
            <w:shd w:val="clear" w:color="000000" w:fill="C5D9F1"/>
            <w:vAlign w:val="center"/>
          </w:tcPr>
          <w:p w:rsidR="00BF70ED" w:rsidRPr="00864939" w:rsidRDefault="00BF70ED" w:rsidP="001C15B8">
            <w:pPr>
              <w:spacing w:after="0" w:line="240" w:lineRule="auto"/>
              <w:ind w:firstLine="0"/>
              <w:jc w:val="center"/>
              <w:rPr>
                <w:rFonts w:ascii="Cambria" w:eastAsia="Times New Roman" w:hAnsi="Cambria" w:cs="Times New Roman"/>
                <w:sz w:val="16"/>
                <w:szCs w:val="16"/>
                <w:lang w:eastAsia="en-US"/>
              </w:rPr>
            </w:pPr>
            <w:r>
              <w:rPr>
                <w:rFonts w:ascii="Cambria" w:eastAsia="Times New Roman" w:hAnsi="Cambria" w:cs="Times New Roman"/>
                <w:sz w:val="16"/>
                <w:szCs w:val="16"/>
                <w:lang w:eastAsia="en-US"/>
              </w:rPr>
              <w:t>1</w:t>
            </w:r>
          </w:p>
        </w:tc>
        <w:tc>
          <w:tcPr>
            <w:tcW w:w="1378" w:type="dxa"/>
            <w:shd w:val="clear" w:color="000000" w:fill="C5D9F1"/>
            <w:noWrap/>
            <w:vAlign w:val="center"/>
          </w:tcPr>
          <w:p w:rsidR="00BF70ED" w:rsidRPr="00E82AC7" w:rsidRDefault="00E82AC7" w:rsidP="001C15B8">
            <w:pPr>
              <w:spacing w:after="0" w:line="240" w:lineRule="auto"/>
              <w:ind w:firstLine="0"/>
              <w:jc w:val="center"/>
              <w:rPr>
                <w:rFonts w:ascii="Cambria" w:eastAsia="Times New Roman" w:hAnsi="Cambria" w:cs="Times New Roman"/>
                <w:b/>
                <w:sz w:val="16"/>
                <w:szCs w:val="16"/>
                <w:lang w:eastAsia="en-US"/>
              </w:rPr>
            </w:pPr>
            <w:r w:rsidRPr="00E82AC7">
              <w:rPr>
                <w:rFonts w:ascii="Cambria" w:eastAsia="Times New Roman" w:hAnsi="Cambria" w:cs="Times New Roman"/>
                <w:b/>
                <w:sz w:val="16"/>
                <w:szCs w:val="16"/>
                <w:lang w:eastAsia="en-US"/>
              </w:rPr>
              <w:t>REVENUES</w:t>
            </w:r>
          </w:p>
        </w:tc>
        <w:tc>
          <w:tcPr>
            <w:tcW w:w="1094"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952"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952"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952"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811" w:type="dxa"/>
            <w:shd w:val="clear" w:color="000000" w:fill="C5D9F1"/>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830"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800"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c>
          <w:tcPr>
            <w:tcW w:w="739" w:type="dxa"/>
            <w:shd w:val="clear" w:color="000000" w:fill="C5D9F1"/>
            <w:noWrap/>
            <w:vAlign w:val="center"/>
          </w:tcPr>
          <w:p w:rsidR="00BF70ED" w:rsidRPr="00050011" w:rsidRDefault="00BF70ED" w:rsidP="001C15B8">
            <w:pPr>
              <w:spacing w:after="0" w:line="240" w:lineRule="auto"/>
              <w:ind w:firstLine="0"/>
              <w:jc w:val="center"/>
              <w:rPr>
                <w:rFonts w:ascii="Cambria" w:eastAsia="Times New Roman" w:hAnsi="Cambria" w:cs="Times New Roman"/>
                <w:sz w:val="16"/>
                <w:szCs w:val="16"/>
                <w:lang w:eastAsia="en-US"/>
              </w:rPr>
            </w:pPr>
          </w:p>
        </w:tc>
      </w:tr>
      <w:tr w:rsidR="00E82AC7" w:rsidRPr="00050011" w:rsidTr="001C15B8">
        <w:trPr>
          <w:trHeight w:val="810"/>
          <w:tblCellSpacing w:w="20" w:type="dxa"/>
        </w:trPr>
        <w:tc>
          <w:tcPr>
            <w:tcW w:w="508" w:type="dxa"/>
            <w:shd w:val="clear" w:color="auto" w:fill="auto"/>
            <w:vAlign w:val="center"/>
            <w:hideMark/>
          </w:tcPr>
          <w:p w:rsidR="00E82AC7" w:rsidRPr="00864939" w:rsidRDefault="00E82AC7"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1.1</w:t>
            </w:r>
          </w:p>
        </w:tc>
        <w:tc>
          <w:tcPr>
            <w:tcW w:w="1378" w:type="dxa"/>
            <w:shd w:val="clear" w:color="auto" w:fill="auto"/>
            <w:vAlign w:val="center"/>
            <w:hideMark/>
          </w:tcPr>
          <w:p w:rsidR="00E82AC7" w:rsidRPr="00853B7E" w:rsidRDefault="00E82AC7"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 xml:space="preserve">Revenues from exploitation before </w:t>
            </w:r>
            <w:r>
              <w:rPr>
                <w:rFonts w:asciiTheme="majorHAnsi" w:eastAsia="Times New Roman" w:hAnsiTheme="majorHAnsi" w:cs="Arial"/>
                <w:sz w:val="18"/>
                <w:szCs w:val="18"/>
                <w:lang w:val="en-GB" w:eastAsia="ro-RO"/>
              </w:rPr>
              <w:t xml:space="preserve">balancing and </w:t>
            </w:r>
            <w:r w:rsidRPr="00853B7E">
              <w:rPr>
                <w:rFonts w:asciiTheme="majorHAnsi" w:eastAsia="Times New Roman" w:hAnsiTheme="majorHAnsi" w:cs="Arial"/>
                <w:sz w:val="18"/>
                <w:szCs w:val="18"/>
                <w:lang w:val="en-GB" w:eastAsia="ro-RO"/>
              </w:rPr>
              <w:t>the construction activity according to IFRIC12</w:t>
            </w:r>
          </w:p>
        </w:tc>
        <w:tc>
          <w:tcPr>
            <w:tcW w:w="1094" w:type="dxa"/>
            <w:shd w:val="clear" w:color="auto" w:fill="auto"/>
            <w:vAlign w:val="center"/>
            <w:hideMark/>
          </w:tcPr>
          <w:p w:rsidR="00E82AC7" w:rsidRPr="007949E7" w:rsidRDefault="00E82AC7"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1.815.385</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1.663.398</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1.655.319</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1.516.640</w:t>
            </w:r>
          </w:p>
        </w:tc>
        <w:tc>
          <w:tcPr>
            <w:tcW w:w="811"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112,59</w:t>
            </w:r>
          </w:p>
        </w:tc>
        <w:tc>
          <w:tcPr>
            <w:tcW w:w="83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100,49</w:t>
            </w:r>
          </w:p>
        </w:tc>
        <w:tc>
          <w:tcPr>
            <w:tcW w:w="80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109,14</w:t>
            </w:r>
          </w:p>
        </w:tc>
        <w:tc>
          <w:tcPr>
            <w:tcW w:w="739"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109,68</w:t>
            </w:r>
          </w:p>
        </w:tc>
      </w:tr>
      <w:tr w:rsidR="00F52BF8" w:rsidRPr="00050011" w:rsidTr="001C15B8">
        <w:trPr>
          <w:trHeight w:val="608"/>
          <w:tblCellSpacing w:w="20" w:type="dxa"/>
        </w:trPr>
        <w:tc>
          <w:tcPr>
            <w:tcW w:w="508" w:type="dxa"/>
            <w:shd w:val="clear" w:color="auto" w:fill="auto"/>
            <w:vAlign w:val="center"/>
            <w:hideMark/>
          </w:tcPr>
          <w:p w:rsidR="00F52BF8" w:rsidRPr="00864939" w:rsidRDefault="00F52BF8"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1.2</w:t>
            </w:r>
          </w:p>
        </w:tc>
        <w:tc>
          <w:tcPr>
            <w:tcW w:w="1378" w:type="dxa"/>
            <w:shd w:val="clear" w:color="auto" w:fill="auto"/>
            <w:vAlign w:val="center"/>
            <w:hideMark/>
          </w:tcPr>
          <w:p w:rsidR="00F52BF8" w:rsidRPr="00853B7E" w:rsidRDefault="00F52BF8"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Revenues from the construction activity according to IFRIC12</w:t>
            </w:r>
          </w:p>
        </w:tc>
        <w:tc>
          <w:tcPr>
            <w:tcW w:w="1094" w:type="dxa"/>
            <w:shd w:val="clear" w:color="auto" w:fill="auto"/>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118.504</w:t>
            </w:r>
          </w:p>
        </w:tc>
        <w:tc>
          <w:tcPr>
            <w:tcW w:w="952"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211.125</w:t>
            </w:r>
          </w:p>
        </w:tc>
        <w:tc>
          <w:tcPr>
            <w:tcW w:w="952"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136.635</w:t>
            </w:r>
          </w:p>
        </w:tc>
        <w:tc>
          <w:tcPr>
            <w:tcW w:w="952"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161.741</w:t>
            </w:r>
          </w:p>
        </w:tc>
        <w:tc>
          <w:tcPr>
            <w:tcW w:w="811"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56,13</w:t>
            </w:r>
          </w:p>
        </w:tc>
        <w:tc>
          <w:tcPr>
            <w:tcW w:w="830"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154,52</w:t>
            </w:r>
          </w:p>
        </w:tc>
        <w:tc>
          <w:tcPr>
            <w:tcW w:w="800"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84,48</w:t>
            </w:r>
          </w:p>
        </w:tc>
        <w:tc>
          <w:tcPr>
            <w:tcW w:w="739" w:type="dxa"/>
            <w:shd w:val="clear" w:color="auto" w:fill="auto"/>
            <w:noWrap/>
            <w:vAlign w:val="center"/>
            <w:hideMark/>
          </w:tcPr>
          <w:p w:rsidR="00F52BF8" w:rsidRPr="00050011" w:rsidRDefault="00F52BF8"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130,53</w:t>
            </w:r>
          </w:p>
        </w:tc>
      </w:tr>
      <w:tr w:rsidR="00E82AC7" w:rsidRPr="00050011" w:rsidTr="001C15B8">
        <w:trPr>
          <w:trHeight w:val="285"/>
          <w:tblCellSpacing w:w="20" w:type="dxa"/>
        </w:trPr>
        <w:tc>
          <w:tcPr>
            <w:tcW w:w="508" w:type="dxa"/>
            <w:shd w:val="clear" w:color="auto" w:fill="auto"/>
            <w:vAlign w:val="center"/>
          </w:tcPr>
          <w:p w:rsidR="00E82AC7" w:rsidRPr="00864939" w:rsidRDefault="00E82AC7"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1.3</w:t>
            </w:r>
          </w:p>
        </w:tc>
        <w:tc>
          <w:tcPr>
            <w:tcW w:w="1378" w:type="dxa"/>
            <w:shd w:val="clear" w:color="auto" w:fill="auto"/>
            <w:vAlign w:val="center"/>
          </w:tcPr>
          <w:p w:rsidR="00E82AC7" w:rsidRPr="00853B7E" w:rsidRDefault="00E82AC7" w:rsidP="001C15B8">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Revenues from balancing activity</w:t>
            </w:r>
          </w:p>
        </w:tc>
        <w:tc>
          <w:tcPr>
            <w:tcW w:w="1094" w:type="dxa"/>
            <w:shd w:val="clear" w:color="auto" w:fill="auto"/>
            <w:vAlign w:val="center"/>
          </w:tcPr>
          <w:p w:rsidR="00E82AC7" w:rsidRPr="007949E7" w:rsidRDefault="00E82AC7"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57.404</w:t>
            </w:r>
          </w:p>
        </w:tc>
        <w:tc>
          <w:tcPr>
            <w:tcW w:w="952"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952"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952"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811"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830"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800"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c>
          <w:tcPr>
            <w:tcW w:w="739" w:type="dxa"/>
            <w:shd w:val="clear" w:color="auto" w:fill="auto"/>
            <w:noWrap/>
            <w:vAlign w:val="center"/>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p>
        </w:tc>
      </w:tr>
      <w:tr w:rsidR="00E82AC7" w:rsidRPr="00050011" w:rsidTr="001C15B8">
        <w:trPr>
          <w:trHeight w:val="285"/>
          <w:tblCellSpacing w:w="20" w:type="dxa"/>
        </w:trPr>
        <w:tc>
          <w:tcPr>
            <w:tcW w:w="508" w:type="dxa"/>
            <w:shd w:val="clear" w:color="auto" w:fill="auto"/>
            <w:vAlign w:val="center"/>
            <w:hideMark/>
          </w:tcPr>
          <w:p w:rsidR="00E82AC7" w:rsidRPr="00864939" w:rsidRDefault="00E82AC7" w:rsidP="00BF70ED">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w:t>
            </w:r>
            <w:r>
              <w:rPr>
                <w:rFonts w:ascii="Cambria" w:eastAsia="Times New Roman" w:hAnsi="Cambria" w:cs="Times New Roman"/>
                <w:sz w:val="16"/>
                <w:szCs w:val="16"/>
                <w:lang w:eastAsia="en-US"/>
              </w:rPr>
              <w:t>1.4</w:t>
            </w:r>
          </w:p>
        </w:tc>
        <w:tc>
          <w:tcPr>
            <w:tcW w:w="1378" w:type="dxa"/>
            <w:shd w:val="clear" w:color="auto" w:fill="auto"/>
            <w:vAlign w:val="center"/>
            <w:hideMark/>
          </w:tcPr>
          <w:p w:rsidR="00E82AC7" w:rsidRPr="00853B7E" w:rsidRDefault="00E82AC7"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Financial revenues</w:t>
            </w:r>
          </w:p>
        </w:tc>
        <w:tc>
          <w:tcPr>
            <w:tcW w:w="1094" w:type="dxa"/>
            <w:shd w:val="clear" w:color="auto" w:fill="auto"/>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32.231</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43.237</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33.375</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40.721</w:t>
            </w:r>
          </w:p>
        </w:tc>
        <w:tc>
          <w:tcPr>
            <w:tcW w:w="811"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74,54</w:t>
            </w:r>
          </w:p>
        </w:tc>
        <w:tc>
          <w:tcPr>
            <w:tcW w:w="83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129,55</w:t>
            </w:r>
          </w:p>
        </w:tc>
        <w:tc>
          <w:tcPr>
            <w:tcW w:w="80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81,96</w:t>
            </w:r>
          </w:p>
        </w:tc>
        <w:tc>
          <w:tcPr>
            <w:tcW w:w="739"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106,18</w:t>
            </w:r>
          </w:p>
        </w:tc>
      </w:tr>
      <w:tr w:rsidR="00E82AC7" w:rsidRPr="00050011" w:rsidTr="001C15B8">
        <w:trPr>
          <w:trHeight w:val="285"/>
          <w:tblCellSpacing w:w="20" w:type="dxa"/>
        </w:trPr>
        <w:tc>
          <w:tcPr>
            <w:tcW w:w="508" w:type="dxa"/>
            <w:shd w:val="clear" w:color="000000" w:fill="C5D9F1"/>
            <w:vAlign w:val="center"/>
            <w:hideMark/>
          </w:tcPr>
          <w:p w:rsidR="00E82AC7" w:rsidRPr="00864939" w:rsidRDefault="00E82AC7"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lastRenderedPageBreak/>
              <w:t>2.</w:t>
            </w:r>
          </w:p>
        </w:tc>
        <w:tc>
          <w:tcPr>
            <w:tcW w:w="1378" w:type="dxa"/>
            <w:shd w:val="clear" w:color="000000" w:fill="C5D9F1"/>
            <w:vAlign w:val="center"/>
            <w:hideMark/>
          </w:tcPr>
          <w:p w:rsidR="00E82AC7" w:rsidRPr="00050011" w:rsidRDefault="00E82AC7" w:rsidP="001C15B8">
            <w:pPr>
              <w:spacing w:after="0" w:line="240" w:lineRule="auto"/>
              <w:ind w:firstLine="0"/>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 </w:t>
            </w:r>
            <w:r>
              <w:rPr>
                <w:rFonts w:ascii="Cambria" w:eastAsia="Times New Roman" w:hAnsi="Cambria" w:cs="Times New Roman"/>
                <w:b/>
                <w:bCs/>
                <w:sz w:val="16"/>
                <w:szCs w:val="16"/>
                <w:lang w:eastAsia="en-US"/>
              </w:rPr>
              <w:t>EXPENSES</w:t>
            </w:r>
          </w:p>
        </w:tc>
        <w:tc>
          <w:tcPr>
            <w:tcW w:w="1094" w:type="dxa"/>
            <w:shd w:val="clear" w:color="000000" w:fill="C5D9F1"/>
            <w:vAlign w:val="center"/>
            <w:hideMark/>
          </w:tcPr>
          <w:p w:rsidR="00E82AC7" w:rsidRPr="00050011" w:rsidRDefault="00E82AC7" w:rsidP="001C15B8">
            <w:pPr>
              <w:spacing w:after="0" w:line="240" w:lineRule="auto"/>
              <w:ind w:firstLine="0"/>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 </w:t>
            </w:r>
          </w:p>
        </w:tc>
        <w:tc>
          <w:tcPr>
            <w:tcW w:w="952"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952"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952"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811"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830"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800"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c>
          <w:tcPr>
            <w:tcW w:w="739" w:type="dxa"/>
            <w:shd w:val="clear" w:color="000000" w:fill="C5D9F1"/>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 </w:t>
            </w:r>
          </w:p>
        </w:tc>
      </w:tr>
      <w:tr w:rsidR="00E82AC7" w:rsidRPr="00050011" w:rsidTr="001C15B8">
        <w:trPr>
          <w:trHeight w:val="810"/>
          <w:tblCellSpacing w:w="20" w:type="dxa"/>
        </w:trPr>
        <w:tc>
          <w:tcPr>
            <w:tcW w:w="508" w:type="dxa"/>
            <w:shd w:val="clear" w:color="auto" w:fill="auto"/>
            <w:vAlign w:val="center"/>
            <w:hideMark/>
          </w:tcPr>
          <w:p w:rsidR="00E82AC7" w:rsidRPr="00864939" w:rsidRDefault="00E82AC7"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2.1</w:t>
            </w:r>
          </w:p>
        </w:tc>
        <w:tc>
          <w:tcPr>
            <w:tcW w:w="1378" w:type="dxa"/>
            <w:shd w:val="clear" w:color="auto" w:fill="auto"/>
            <w:vAlign w:val="center"/>
            <w:hideMark/>
          </w:tcPr>
          <w:p w:rsidR="00E82AC7" w:rsidRPr="00853B7E" w:rsidRDefault="00E82AC7"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 xml:space="preserve">Expenses related to exploitation before </w:t>
            </w:r>
            <w:r>
              <w:rPr>
                <w:rFonts w:asciiTheme="majorHAnsi" w:eastAsia="Times New Roman" w:hAnsiTheme="majorHAnsi" w:cs="Arial"/>
                <w:sz w:val="18"/>
                <w:szCs w:val="18"/>
                <w:lang w:val="en-GB" w:eastAsia="ro-RO"/>
              </w:rPr>
              <w:t xml:space="preserve">balancing and </w:t>
            </w:r>
            <w:r w:rsidRPr="00853B7E">
              <w:rPr>
                <w:rFonts w:asciiTheme="majorHAnsi" w:eastAsia="Times New Roman" w:hAnsiTheme="majorHAnsi" w:cs="Arial"/>
                <w:sz w:val="18"/>
                <w:szCs w:val="18"/>
                <w:lang w:val="en-GB" w:eastAsia="ro-RO"/>
              </w:rPr>
              <w:t>the construction activity according to IFRIC12</w:t>
            </w:r>
          </w:p>
        </w:tc>
        <w:tc>
          <w:tcPr>
            <w:tcW w:w="1094" w:type="dxa"/>
            <w:shd w:val="clear" w:color="auto" w:fill="auto"/>
            <w:vAlign w:val="center"/>
            <w:hideMark/>
          </w:tcPr>
          <w:p w:rsidR="00E82AC7"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1.125.268</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1.077.219</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1.063.751</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981.647</w:t>
            </w:r>
          </w:p>
        </w:tc>
        <w:tc>
          <w:tcPr>
            <w:tcW w:w="811"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109,67</w:t>
            </w:r>
          </w:p>
        </w:tc>
        <w:tc>
          <w:tcPr>
            <w:tcW w:w="83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101,27</w:t>
            </w:r>
          </w:p>
        </w:tc>
        <w:tc>
          <w:tcPr>
            <w:tcW w:w="80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108,36</w:t>
            </w:r>
          </w:p>
        </w:tc>
        <w:tc>
          <w:tcPr>
            <w:tcW w:w="739"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109,74</w:t>
            </w:r>
          </w:p>
        </w:tc>
      </w:tr>
      <w:tr w:rsidR="00E82AC7" w:rsidRPr="00050011" w:rsidTr="001C15B8">
        <w:trPr>
          <w:trHeight w:val="405"/>
          <w:tblCellSpacing w:w="20" w:type="dxa"/>
        </w:trPr>
        <w:tc>
          <w:tcPr>
            <w:tcW w:w="508" w:type="dxa"/>
            <w:shd w:val="clear" w:color="auto" w:fill="auto"/>
            <w:vAlign w:val="center"/>
            <w:hideMark/>
          </w:tcPr>
          <w:p w:rsidR="00E82AC7" w:rsidRPr="00864939" w:rsidRDefault="00E82AC7"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2.2</w:t>
            </w:r>
          </w:p>
        </w:tc>
        <w:tc>
          <w:tcPr>
            <w:tcW w:w="1378" w:type="dxa"/>
            <w:shd w:val="clear" w:color="auto" w:fill="auto"/>
            <w:vAlign w:val="center"/>
            <w:hideMark/>
          </w:tcPr>
          <w:p w:rsidR="00E82AC7" w:rsidRPr="00853B7E" w:rsidRDefault="00E82AC7"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Cost of the assets  built according to IFRIC12</w:t>
            </w:r>
          </w:p>
        </w:tc>
        <w:tc>
          <w:tcPr>
            <w:tcW w:w="1094" w:type="dxa"/>
            <w:shd w:val="clear" w:color="auto" w:fill="auto"/>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118.504</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211.125</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136.635</w:t>
            </w:r>
          </w:p>
        </w:tc>
        <w:tc>
          <w:tcPr>
            <w:tcW w:w="952"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161.741</w:t>
            </w:r>
          </w:p>
        </w:tc>
        <w:tc>
          <w:tcPr>
            <w:tcW w:w="811"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56,13</w:t>
            </w:r>
          </w:p>
        </w:tc>
        <w:tc>
          <w:tcPr>
            <w:tcW w:w="83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154,52</w:t>
            </w:r>
          </w:p>
        </w:tc>
        <w:tc>
          <w:tcPr>
            <w:tcW w:w="800"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84,48</w:t>
            </w:r>
          </w:p>
        </w:tc>
        <w:tc>
          <w:tcPr>
            <w:tcW w:w="739" w:type="dxa"/>
            <w:shd w:val="clear" w:color="auto" w:fill="auto"/>
            <w:noWrap/>
            <w:vAlign w:val="center"/>
            <w:hideMark/>
          </w:tcPr>
          <w:p w:rsidR="00E82AC7" w:rsidRPr="00050011" w:rsidRDefault="00E82AC7"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130,53</w:t>
            </w:r>
          </w:p>
        </w:tc>
      </w:tr>
      <w:tr w:rsidR="00FC53D3" w:rsidRPr="00050011" w:rsidTr="001C15B8">
        <w:trPr>
          <w:trHeight w:val="285"/>
          <w:tblCellSpacing w:w="20" w:type="dxa"/>
        </w:trPr>
        <w:tc>
          <w:tcPr>
            <w:tcW w:w="508" w:type="dxa"/>
            <w:shd w:val="clear" w:color="auto" w:fill="auto"/>
            <w:vAlign w:val="center"/>
          </w:tcPr>
          <w:p w:rsidR="00FC53D3" w:rsidRPr="00864939" w:rsidRDefault="00FC53D3" w:rsidP="00F21009">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2.3</w:t>
            </w:r>
          </w:p>
        </w:tc>
        <w:tc>
          <w:tcPr>
            <w:tcW w:w="1378" w:type="dxa"/>
            <w:shd w:val="clear" w:color="auto" w:fill="auto"/>
            <w:vAlign w:val="center"/>
          </w:tcPr>
          <w:p w:rsidR="00FC53D3" w:rsidRPr="00853B7E" w:rsidRDefault="00FC53D3" w:rsidP="001C15B8">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Expenses with balancing gas</w:t>
            </w:r>
          </w:p>
        </w:tc>
        <w:tc>
          <w:tcPr>
            <w:tcW w:w="1094" w:type="dxa"/>
            <w:shd w:val="clear" w:color="auto" w:fill="auto"/>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56.093</w:t>
            </w:r>
          </w:p>
        </w:tc>
        <w:tc>
          <w:tcPr>
            <w:tcW w:w="952"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952"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952"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811"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830"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800"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c>
          <w:tcPr>
            <w:tcW w:w="739" w:type="dxa"/>
            <w:shd w:val="clear" w:color="auto" w:fill="auto"/>
            <w:noWrap/>
            <w:vAlign w:val="center"/>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p>
        </w:tc>
      </w:tr>
      <w:tr w:rsidR="00FC53D3" w:rsidRPr="00050011" w:rsidTr="00FC53D3">
        <w:trPr>
          <w:trHeight w:val="285"/>
          <w:tblCellSpacing w:w="20" w:type="dxa"/>
        </w:trPr>
        <w:tc>
          <w:tcPr>
            <w:tcW w:w="508" w:type="dxa"/>
            <w:shd w:val="clear" w:color="auto" w:fill="auto"/>
            <w:vAlign w:val="center"/>
          </w:tcPr>
          <w:p w:rsidR="00FC53D3" w:rsidRPr="00864939" w:rsidRDefault="00FC53D3" w:rsidP="001C15B8">
            <w:pPr>
              <w:spacing w:after="0" w:line="240" w:lineRule="auto"/>
              <w:ind w:firstLine="0"/>
              <w:jc w:val="both"/>
              <w:rPr>
                <w:rFonts w:ascii="Cambria" w:eastAsia="Times New Roman" w:hAnsi="Cambria" w:cs="Times New Roman"/>
                <w:sz w:val="16"/>
                <w:szCs w:val="16"/>
                <w:lang w:eastAsia="en-US"/>
              </w:rPr>
            </w:pPr>
            <w:r>
              <w:rPr>
                <w:rFonts w:ascii="Cambria" w:eastAsia="Times New Roman" w:hAnsi="Cambria" w:cs="Times New Roman"/>
                <w:sz w:val="16"/>
                <w:szCs w:val="16"/>
                <w:lang w:eastAsia="en-US"/>
              </w:rPr>
              <w:t>2.4.</w:t>
            </w:r>
          </w:p>
        </w:tc>
        <w:tc>
          <w:tcPr>
            <w:tcW w:w="1378" w:type="dxa"/>
            <w:shd w:val="clear" w:color="auto" w:fill="auto"/>
            <w:vAlign w:val="center"/>
            <w:hideMark/>
          </w:tcPr>
          <w:p w:rsidR="00FC53D3" w:rsidRPr="00853B7E" w:rsidRDefault="00FC53D3"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Financial expenses</w:t>
            </w:r>
          </w:p>
        </w:tc>
        <w:tc>
          <w:tcPr>
            <w:tcW w:w="1094" w:type="dxa"/>
            <w:shd w:val="clear" w:color="auto" w:fill="auto"/>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9.683</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22.315</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14.356</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148.957</w:t>
            </w:r>
          </w:p>
        </w:tc>
        <w:tc>
          <w:tcPr>
            <w:tcW w:w="811"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43,39</w:t>
            </w:r>
          </w:p>
        </w:tc>
        <w:tc>
          <w:tcPr>
            <w:tcW w:w="83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155,43</w:t>
            </w:r>
          </w:p>
        </w:tc>
        <w:tc>
          <w:tcPr>
            <w:tcW w:w="80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9,64</w:t>
            </w:r>
          </w:p>
        </w:tc>
        <w:tc>
          <w:tcPr>
            <w:tcW w:w="739"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14,98</w:t>
            </w:r>
          </w:p>
        </w:tc>
      </w:tr>
      <w:tr w:rsidR="00FC53D3" w:rsidRPr="00050011" w:rsidTr="001C15B8">
        <w:trPr>
          <w:trHeight w:val="285"/>
          <w:tblCellSpacing w:w="20" w:type="dxa"/>
        </w:trPr>
        <w:tc>
          <w:tcPr>
            <w:tcW w:w="508" w:type="dxa"/>
            <w:shd w:val="clear" w:color="000000" w:fill="C5D9F1"/>
            <w:vAlign w:val="center"/>
            <w:hideMark/>
          </w:tcPr>
          <w:p w:rsidR="00FC53D3" w:rsidRPr="00864939" w:rsidRDefault="00FC53D3"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t>3.</w:t>
            </w:r>
          </w:p>
        </w:tc>
        <w:tc>
          <w:tcPr>
            <w:tcW w:w="1378" w:type="dxa"/>
            <w:shd w:val="clear" w:color="000000" w:fill="C5D9F1"/>
            <w:vAlign w:val="center"/>
            <w:hideMark/>
          </w:tcPr>
          <w:p w:rsidR="00FC53D3" w:rsidRPr="00853B7E" w:rsidRDefault="00FC53D3" w:rsidP="001C15B8">
            <w:pPr>
              <w:spacing w:after="0" w:line="240" w:lineRule="auto"/>
              <w:ind w:firstLine="0"/>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GROSS PROFIT, of which:</w:t>
            </w:r>
          </w:p>
        </w:tc>
        <w:tc>
          <w:tcPr>
            <w:tcW w:w="1094" w:type="dxa"/>
            <w:shd w:val="clear" w:color="000000" w:fill="C5D9F1"/>
            <w:vAlign w:val="center"/>
            <w:hideMark/>
          </w:tcPr>
          <w:p w:rsidR="00FC53D3" w:rsidRPr="00050011" w:rsidRDefault="00FC53D3" w:rsidP="001C15B8">
            <w:pPr>
              <w:spacing w:after="0" w:line="240" w:lineRule="auto"/>
              <w:ind w:firstLine="0"/>
              <w:jc w:val="right"/>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713.975</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607.101</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610.587</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426.758</w:t>
            </w:r>
          </w:p>
        </w:tc>
        <w:tc>
          <w:tcPr>
            <w:tcW w:w="811" w:type="dxa"/>
            <w:shd w:val="clear" w:color="000000" w:fill="C5D9F1"/>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117,60 </w:t>
            </w:r>
          </w:p>
        </w:tc>
        <w:tc>
          <w:tcPr>
            <w:tcW w:w="83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99,43</w:t>
            </w:r>
          </w:p>
        </w:tc>
        <w:tc>
          <w:tcPr>
            <w:tcW w:w="80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143,08</w:t>
            </w:r>
          </w:p>
        </w:tc>
        <w:tc>
          <w:tcPr>
            <w:tcW w:w="739"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142,26</w:t>
            </w:r>
          </w:p>
        </w:tc>
      </w:tr>
      <w:tr w:rsidR="00FC53D3" w:rsidRPr="00050011" w:rsidTr="001C15B8">
        <w:trPr>
          <w:trHeight w:val="810"/>
          <w:tblCellSpacing w:w="20" w:type="dxa"/>
        </w:trPr>
        <w:tc>
          <w:tcPr>
            <w:tcW w:w="508" w:type="dxa"/>
            <w:shd w:val="clear" w:color="auto" w:fill="auto"/>
            <w:vAlign w:val="center"/>
            <w:hideMark/>
          </w:tcPr>
          <w:p w:rsidR="00FC53D3" w:rsidRPr="00864939" w:rsidRDefault="00FC53D3"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3.1</w:t>
            </w:r>
          </w:p>
        </w:tc>
        <w:tc>
          <w:tcPr>
            <w:tcW w:w="1378" w:type="dxa"/>
            <w:shd w:val="clear" w:color="auto" w:fill="auto"/>
            <w:vAlign w:val="center"/>
            <w:hideMark/>
          </w:tcPr>
          <w:p w:rsidR="00FC53D3" w:rsidRPr="00853B7E" w:rsidRDefault="00FC53D3"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 xml:space="preserve">Exploitation Result before </w:t>
            </w:r>
            <w:r>
              <w:rPr>
                <w:rFonts w:asciiTheme="majorHAnsi" w:eastAsia="Times New Roman" w:hAnsiTheme="majorHAnsi" w:cs="Arial"/>
                <w:sz w:val="18"/>
                <w:szCs w:val="18"/>
                <w:lang w:val="en-GB" w:eastAsia="ro-RO"/>
              </w:rPr>
              <w:t xml:space="preserve">balancing and </w:t>
            </w:r>
            <w:r w:rsidRPr="00853B7E">
              <w:rPr>
                <w:rFonts w:asciiTheme="majorHAnsi" w:eastAsia="Times New Roman" w:hAnsiTheme="majorHAnsi" w:cs="Arial"/>
                <w:sz w:val="18"/>
                <w:szCs w:val="18"/>
                <w:lang w:val="en-GB" w:eastAsia="ro-RO"/>
              </w:rPr>
              <w:t>the construction activity according to IFRIC12</w:t>
            </w:r>
          </w:p>
        </w:tc>
        <w:tc>
          <w:tcPr>
            <w:tcW w:w="1094" w:type="dxa"/>
            <w:shd w:val="clear" w:color="auto" w:fill="auto"/>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690.117</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586.179</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591.568</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534.994</w:t>
            </w:r>
          </w:p>
        </w:tc>
        <w:tc>
          <w:tcPr>
            <w:tcW w:w="811"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117,95</w:t>
            </w:r>
          </w:p>
        </w:tc>
        <w:tc>
          <w:tcPr>
            <w:tcW w:w="83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99,09</w:t>
            </w:r>
          </w:p>
        </w:tc>
        <w:tc>
          <w:tcPr>
            <w:tcW w:w="80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110,57</w:t>
            </w:r>
          </w:p>
        </w:tc>
        <w:tc>
          <w:tcPr>
            <w:tcW w:w="739"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109,57</w:t>
            </w:r>
          </w:p>
        </w:tc>
      </w:tr>
      <w:tr w:rsidR="00FC53D3" w:rsidRPr="00050011" w:rsidTr="001C15B8">
        <w:trPr>
          <w:trHeight w:val="285"/>
          <w:tblCellSpacing w:w="20" w:type="dxa"/>
        </w:trPr>
        <w:tc>
          <w:tcPr>
            <w:tcW w:w="508" w:type="dxa"/>
            <w:shd w:val="clear" w:color="auto" w:fill="auto"/>
            <w:vAlign w:val="center"/>
            <w:hideMark/>
          </w:tcPr>
          <w:p w:rsidR="00FC53D3" w:rsidRPr="00864939" w:rsidRDefault="00FC53D3"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3.2</w:t>
            </w:r>
          </w:p>
        </w:tc>
        <w:tc>
          <w:tcPr>
            <w:tcW w:w="1378" w:type="dxa"/>
            <w:shd w:val="clear" w:color="auto" w:fill="auto"/>
            <w:vAlign w:val="center"/>
            <w:hideMark/>
          </w:tcPr>
          <w:p w:rsidR="00FC53D3" w:rsidRPr="00853B7E" w:rsidRDefault="00FC53D3" w:rsidP="001C15B8">
            <w:pPr>
              <w:spacing w:after="0" w:line="240" w:lineRule="auto"/>
              <w:ind w:firstLine="0"/>
              <w:rPr>
                <w:rFonts w:asciiTheme="majorHAnsi" w:eastAsia="Times New Roman" w:hAnsiTheme="majorHAnsi" w:cs="Arial"/>
                <w:sz w:val="18"/>
                <w:szCs w:val="18"/>
                <w:lang w:val="en-GB" w:eastAsia="ro-RO"/>
              </w:rPr>
            </w:pPr>
            <w:r>
              <w:rPr>
                <w:rFonts w:asciiTheme="majorHAnsi" w:eastAsia="Times New Roman" w:hAnsiTheme="majorHAnsi" w:cs="Arial"/>
                <w:sz w:val="18"/>
                <w:szCs w:val="18"/>
                <w:lang w:val="en-GB" w:eastAsia="ro-RO"/>
              </w:rPr>
              <w:t xml:space="preserve">Balancing activity </w:t>
            </w:r>
            <w:r w:rsidRPr="00853B7E">
              <w:rPr>
                <w:rFonts w:asciiTheme="majorHAnsi" w:eastAsia="Times New Roman" w:hAnsiTheme="majorHAnsi" w:cs="Arial"/>
                <w:sz w:val="18"/>
                <w:szCs w:val="18"/>
                <w:lang w:val="en-GB" w:eastAsia="ro-RO"/>
              </w:rPr>
              <w:t xml:space="preserve">Result </w:t>
            </w:r>
          </w:p>
        </w:tc>
        <w:tc>
          <w:tcPr>
            <w:tcW w:w="1094" w:type="dxa"/>
            <w:shd w:val="clear" w:color="auto" w:fill="auto"/>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1.311</w:t>
            </w:r>
          </w:p>
        </w:tc>
        <w:tc>
          <w:tcPr>
            <w:tcW w:w="952"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952"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952"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811"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830"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800"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c>
          <w:tcPr>
            <w:tcW w:w="739" w:type="dxa"/>
            <w:shd w:val="clear" w:color="auto" w:fill="auto"/>
            <w:noWrap/>
            <w:vAlign w:val="center"/>
            <w:hideMark/>
          </w:tcPr>
          <w:p w:rsidR="00FC53D3" w:rsidRPr="007949E7" w:rsidRDefault="00FC53D3" w:rsidP="00F21009">
            <w:pPr>
              <w:spacing w:after="0" w:line="240" w:lineRule="auto"/>
              <w:ind w:firstLine="0"/>
              <w:jc w:val="right"/>
              <w:rPr>
                <w:rFonts w:ascii="Cambria" w:eastAsia="Times New Roman" w:hAnsi="Cambria" w:cs="Times New Roman"/>
                <w:sz w:val="16"/>
                <w:szCs w:val="16"/>
                <w:lang w:eastAsia="en-US"/>
              </w:rPr>
            </w:pPr>
            <w:r w:rsidRPr="007949E7">
              <w:rPr>
                <w:rFonts w:ascii="Cambria" w:eastAsia="Times New Roman" w:hAnsi="Cambria" w:cs="Times New Roman"/>
                <w:sz w:val="16"/>
                <w:szCs w:val="16"/>
                <w:lang w:eastAsia="en-US"/>
              </w:rPr>
              <w:t>X</w:t>
            </w:r>
          </w:p>
        </w:tc>
      </w:tr>
      <w:tr w:rsidR="00FC53D3" w:rsidRPr="00050011" w:rsidTr="001C15B8">
        <w:trPr>
          <w:trHeight w:val="285"/>
          <w:tblCellSpacing w:w="20" w:type="dxa"/>
        </w:trPr>
        <w:tc>
          <w:tcPr>
            <w:tcW w:w="508" w:type="dxa"/>
            <w:shd w:val="clear" w:color="auto" w:fill="auto"/>
            <w:vAlign w:val="center"/>
            <w:hideMark/>
          </w:tcPr>
          <w:p w:rsidR="00FC53D3" w:rsidRPr="00864939" w:rsidRDefault="00FC53D3" w:rsidP="001C15B8">
            <w:pPr>
              <w:spacing w:after="0" w:line="240" w:lineRule="auto"/>
              <w:ind w:firstLine="0"/>
              <w:jc w:val="both"/>
              <w:rPr>
                <w:rFonts w:ascii="Cambria" w:eastAsia="Times New Roman" w:hAnsi="Cambria" w:cs="Times New Roman"/>
                <w:sz w:val="16"/>
                <w:szCs w:val="16"/>
                <w:lang w:eastAsia="en-US"/>
              </w:rPr>
            </w:pPr>
            <w:r w:rsidRPr="00864939">
              <w:rPr>
                <w:rFonts w:ascii="Cambria" w:eastAsia="Times New Roman" w:hAnsi="Cambria" w:cs="Times New Roman"/>
                <w:sz w:val="16"/>
                <w:szCs w:val="16"/>
                <w:lang w:eastAsia="en-US"/>
              </w:rPr>
              <w:t xml:space="preserve"> 3.3</w:t>
            </w:r>
          </w:p>
        </w:tc>
        <w:tc>
          <w:tcPr>
            <w:tcW w:w="1378" w:type="dxa"/>
            <w:shd w:val="clear" w:color="auto" w:fill="auto"/>
            <w:vAlign w:val="center"/>
            <w:hideMark/>
          </w:tcPr>
          <w:p w:rsidR="00FC53D3" w:rsidRPr="00853B7E" w:rsidRDefault="00FC53D3" w:rsidP="001C15B8">
            <w:pPr>
              <w:spacing w:after="0" w:line="240" w:lineRule="auto"/>
              <w:ind w:firstLine="0"/>
              <w:rPr>
                <w:rFonts w:asciiTheme="majorHAnsi" w:eastAsia="Times New Roman" w:hAnsiTheme="majorHAnsi" w:cs="Arial"/>
                <w:sz w:val="18"/>
                <w:szCs w:val="18"/>
                <w:lang w:val="en-GB" w:eastAsia="ro-RO"/>
              </w:rPr>
            </w:pPr>
            <w:r w:rsidRPr="00853B7E">
              <w:rPr>
                <w:rFonts w:asciiTheme="majorHAnsi" w:eastAsia="Times New Roman" w:hAnsiTheme="majorHAnsi" w:cs="Arial"/>
                <w:sz w:val="18"/>
                <w:szCs w:val="18"/>
                <w:lang w:val="en-GB" w:eastAsia="ro-RO"/>
              </w:rPr>
              <w:t>Financial Result</w:t>
            </w:r>
          </w:p>
        </w:tc>
        <w:tc>
          <w:tcPr>
            <w:tcW w:w="1094" w:type="dxa"/>
            <w:shd w:val="clear" w:color="auto" w:fill="auto"/>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22.547</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20.922</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19.019</w:t>
            </w:r>
          </w:p>
        </w:tc>
        <w:tc>
          <w:tcPr>
            <w:tcW w:w="952"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-108.236</w:t>
            </w:r>
          </w:p>
        </w:tc>
        <w:tc>
          <w:tcPr>
            <w:tcW w:w="811"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107,77</w:t>
            </w:r>
          </w:p>
        </w:tc>
        <w:tc>
          <w:tcPr>
            <w:tcW w:w="83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110,01</w:t>
            </w:r>
          </w:p>
        </w:tc>
        <w:tc>
          <w:tcPr>
            <w:tcW w:w="800"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X</w:t>
            </w:r>
          </w:p>
        </w:tc>
        <w:tc>
          <w:tcPr>
            <w:tcW w:w="739" w:type="dxa"/>
            <w:shd w:val="clear" w:color="auto" w:fill="auto"/>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X</w:t>
            </w:r>
          </w:p>
        </w:tc>
      </w:tr>
      <w:tr w:rsidR="00FC53D3" w:rsidRPr="00050011" w:rsidTr="001C15B8">
        <w:trPr>
          <w:trHeight w:val="285"/>
          <w:tblCellSpacing w:w="20" w:type="dxa"/>
        </w:trPr>
        <w:tc>
          <w:tcPr>
            <w:tcW w:w="508" w:type="dxa"/>
            <w:shd w:val="clear" w:color="000000" w:fill="C5D9F1"/>
            <w:vAlign w:val="center"/>
            <w:hideMark/>
          </w:tcPr>
          <w:p w:rsidR="00FC53D3" w:rsidRPr="00864939" w:rsidRDefault="00FC53D3"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t>4.</w:t>
            </w:r>
          </w:p>
        </w:tc>
        <w:tc>
          <w:tcPr>
            <w:tcW w:w="1378" w:type="dxa"/>
            <w:shd w:val="clear" w:color="000000" w:fill="C5D9F1"/>
            <w:vAlign w:val="center"/>
            <w:hideMark/>
          </w:tcPr>
          <w:p w:rsidR="00FC53D3" w:rsidRPr="00853B7E" w:rsidRDefault="00FC53D3" w:rsidP="001C15B8">
            <w:pPr>
              <w:spacing w:after="0" w:line="240" w:lineRule="auto"/>
              <w:ind w:firstLine="0"/>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TAX ON PROFIT</w:t>
            </w:r>
          </w:p>
        </w:tc>
        <w:tc>
          <w:tcPr>
            <w:tcW w:w="1094" w:type="dxa"/>
            <w:shd w:val="clear" w:color="000000" w:fill="C5D9F1"/>
            <w:vAlign w:val="center"/>
            <w:hideMark/>
          </w:tcPr>
          <w:p w:rsidR="00FC53D3" w:rsidRPr="00050011" w:rsidRDefault="00FC53D3" w:rsidP="001C15B8">
            <w:pPr>
              <w:spacing w:after="0" w:line="240" w:lineRule="auto"/>
              <w:ind w:firstLine="0"/>
              <w:jc w:val="right"/>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119.410</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118.372</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108.071</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99.954</w:t>
            </w:r>
          </w:p>
        </w:tc>
        <w:tc>
          <w:tcPr>
            <w:tcW w:w="811"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100,88</w:t>
            </w:r>
          </w:p>
        </w:tc>
        <w:tc>
          <w:tcPr>
            <w:tcW w:w="83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109,53</w:t>
            </w:r>
          </w:p>
        </w:tc>
        <w:tc>
          <w:tcPr>
            <w:tcW w:w="80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113,34</w:t>
            </w:r>
          </w:p>
        </w:tc>
        <w:tc>
          <w:tcPr>
            <w:tcW w:w="739"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124,14</w:t>
            </w:r>
          </w:p>
        </w:tc>
      </w:tr>
      <w:tr w:rsidR="00FC53D3" w:rsidRPr="00050011" w:rsidTr="001C15B8">
        <w:trPr>
          <w:trHeight w:val="285"/>
          <w:tblCellSpacing w:w="20" w:type="dxa"/>
        </w:trPr>
        <w:tc>
          <w:tcPr>
            <w:tcW w:w="508" w:type="dxa"/>
            <w:shd w:val="clear" w:color="000000" w:fill="C5D9F1"/>
            <w:vAlign w:val="center"/>
            <w:hideMark/>
          </w:tcPr>
          <w:p w:rsidR="00FC53D3" w:rsidRPr="00864939" w:rsidRDefault="00FC53D3"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t>5.</w:t>
            </w:r>
          </w:p>
        </w:tc>
        <w:tc>
          <w:tcPr>
            <w:tcW w:w="1378" w:type="dxa"/>
            <w:shd w:val="clear" w:color="000000" w:fill="C5D9F1"/>
            <w:vAlign w:val="center"/>
            <w:hideMark/>
          </w:tcPr>
          <w:p w:rsidR="00FC53D3" w:rsidRPr="00853B7E" w:rsidRDefault="00FC53D3" w:rsidP="001C15B8">
            <w:pPr>
              <w:spacing w:after="0" w:line="240" w:lineRule="auto"/>
              <w:ind w:firstLine="0"/>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NET PROFIT</w:t>
            </w:r>
          </w:p>
        </w:tc>
        <w:tc>
          <w:tcPr>
            <w:tcW w:w="1094" w:type="dxa"/>
            <w:shd w:val="clear" w:color="000000" w:fill="C5D9F1"/>
            <w:vAlign w:val="center"/>
            <w:hideMark/>
          </w:tcPr>
          <w:p w:rsidR="00FC53D3" w:rsidRPr="00050011" w:rsidRDefault="00FC53D3" w:rsidP="001C15B8">
            <w:pPr>
              <w:spacing w:after="0" w:line="240" w:lineRule="auto"/>
              <w:ind w:firstLine="0"/>
              <w:jc w:val="right"/>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594.565</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488.729</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502.516</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331.408</w:t>
            </w:r>
          </w:p>
        </w:tc>
        <w:tc>
          <w:tcPr>
            <w:tcW w:w="811"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121,66</w:t>
            </w:r>
          </w:p>
        </w:tc>
        <w:tc>
          <w:tcPr>
            <w:tcW w:w="83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97,26</w:t>
            </w:r>
          </w:p>
        </w:tc>
        <w:tc>
          <w:tcPr>
            <w:tcW w:w="80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151,63</w:t>
            </w:r>
          </w:p>
        </w:tc>
        <w:tc>
          <w:tcPr>
            <w:tcW w:w="739"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147,47</w:t>
            </w:r>
          </w:p>
        </w:tc>
      </w:tr>
      <w:tr w:rsidR="00FC53D3" w:rsidRPr="00050011" w:rsidTr="001C15B8">
        <w:trPr>
          <w:trHeight w:val="405"/>
          <w:tblCellSpacing w:w="20" w:type="dxa"/>
        </w:trPr>
        <w:tc>
          <w:tcPr>
            <w:tcW w:w="508" w:type="dxa"/>
            <w:shd w:val="clear" w:color="000000" w:fill="C5D9F1"/>
            <w:vAlign w:val="center"/>
            <w:hideMark/>
          </w:tcPr>
          <w:p w:rsidR="00FC53D3" w:rsidRPr="00864939" w:rsidRDefault="00FC53D3"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t>6.</w:t>
            </w:r>
          </w:p>
        </w:tc>
        <w:tc>
          <w:tcPr>
            <w:tcW w:w="1378" w:type="dxa"/>
            <w:shd w:val="clear" w:color="000000" w:fill="C5D9F1"/>
            <w:vAlign w:val="center"/>
            <w:hideMark/>
          </w:tcPr>
          <w:p w:rsidR="00FC53D3" w:rsidRPr="00853B7E" w:rsidRDefault="00FC53D3" w:rsidP="001C15B8">
            <w:pPr>
              <w:spacing w:after="0" w:line="240" w:lineRule="auto"/>
              <w:ind w:firstLine="0"/>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Other items of the comprehensive income</w:t>
            </w:r>
          </w:p>
        </w:tc>
        <w:tc>
          <w:tcPr>
            <w:tcW w:w="1094" w:type="dxa"/>
            <w:shd w:val="clear" w:color="000000" w:fill="C5D9F1"/>
            <w:vAlign w:val="center"/>
            <w:hideMark/>
          </w:tcPr>
          <w:p w:rsidR="00FC53D3" w:rsidRPr="00050011" w:rsidRDefault="00FC53D3" w:rsidP="001C15B8">
            <w:pPr>
              <w:spacing w:after="0" w:line="240" w:lineRule="auto"/>
              <w:ind w:firstLine="0"/>
              <w:jc w:val="right"/>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-1.026</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10.211</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-16.131</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3.832</w:t>
            </w:r>
          </w:p>
        </w:tc>
        <w:tc>
          <w:tcPr>
            <w:tcW w:w="811"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-10,04</w:t>
            </w:r>
          </w:p>
        </w:tc>
        <w:tc>
          <w:tcPr>
            <w:tcW w:w="83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-63,30</w:t>
            </w:r>
          </w:p>
        </w:tc>
        <w:tc>
          <w:tcPr>
            <w:tcW w:w="80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-420,98</w:t>
            </w:r>
          </w:p>
        </w:tc>
        <w:tc>
          <w:tcPr>
            <w:tcW w:w="739"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266,49</w:t>
            </w:r>
          </w:p>
        </w:tc>
      </w:tr>
      <w:tr w:rsidR="00FC53D3" w:rsidRPr="00050011" w:rsidTr="001C15B8">
        <w:trPr>
          <w:trHeight w:val="405"/>
          <w:tblCellSpacing w:w="20" w:type="dxa"/>
        </w:trPr>
        <w:tc>
          <w:tcPr>
            <w:tcW w:w="508" w:type="dxa"/>
            <w:shd w:val="clear" w:color="000000" w:fill="C5D9F1"/>
            <w:vAlign w:val="center"/>
            <w:hideMark/>
          </w:tcPr>
          <w:p w:rsidR="00FC53D3" w:rsidRPr="00864939" w:rsidRDefault="00FC53D3" w:rsidP="001C15B8">
            <w:pPr>
              <w:spacing w:after="0" w:line="240" w:lineRule="auto"/>
              <w:ind w:firstLine="0"/>
              <w:jc w:val="both"/>
              <w:rPr>
                <w:rFonts w:ascii="Cambria" w:eastAsia="Times New Roman" w:hAnsi="Cambria" w:cs="Times New Roman"/>
                <w:b/>
                <w:bCs/>
                <w:sz w:val="16"/>
                <w:szCs w:val="16"/>
                <w:lang w:eastAsia="en-US"/>
              </w:rPr>
            </w:pPr>
            <w:r w:rsidRPr="00864939">
              <w:rPr>
                <w:rFonts w:ascii="Cambria" w:eastAsia="Times New Roman" w:hAnsi="Cambria" w:cs="Times New Roman"/>
                <w:b/>
                <w:bCs/>
                <w:sz w:val="16"/>
                <w:szCs w:val="16"/>
                <w:lang w:eastAsia="en-US"/>
              </w:rPr>
              <w:t>7.</w:t>
            </w:r>
          </w:p>
        </w:tc>
        <w:tc>
          <w:tcPr>
            <w:tcW w:w="1378" w:type="dxa"/>
            <w:shd w:val="clear" w:color="000000" w:fill="C5D9F1"/>
            <w:vAlign w:val="center"/>
            <w:hideMark/>
          </w:tcPr>
          <w:p w:rsidR="00FC53D3" w:rsidRPr="00853B7E" w:rsidRDefault="00FC53D3" w:rsidP="001C15B8">
            <w:pPr>
              <w:spacing w:after="0" w:line="240" w:lineRule="auto"/>
              <w:ind w:firstLine="0"/>
              <w:rPr>
                <w:rFonts w:asciiTheme="majorHAnsi" w:eastAsia="Times New Roman" w:hAnsiTheme="majorHAnsi" w:cs="Arial"/>
                <w:b/>
                <w:bCs/>
                <w:sz w:val="18"/>
                <w:szCs w:val="18"/>
                <w:lang w:val="en-GB" w:eastAsia="ro-RO"/>
              </w:rPr>
            </w:pPr>
            <w:r w:rsidRPr="00853B7E">
              <w:rPr>
                <w:rFonts w:asciiTheme="majorHAnsi" w:eastAsia="Times New Roman" w:hAnsiTheme="majorHAnsi" w:cs="Arial"/>
                <w:b/>
                <w:bCs/>
                <w:sz w:val="18"/>
                <w:szCs w:val="18"/>
                <w:lang w:val="en-GB" w:eastAsia="ro-RO"/>
              </w:rPr>
              <w:t>Total comprehensive income for the period</w:t>
            </w:r>
          </w:p>
        </w:tc>
        <w:tc>
          <w:tcPr>
            <w:tcW w:w="1094" w:type="dxa"/>
            <w:shd w:val="clear" w:color="000000" w:fill="C5D9F1"/>
            <w:vAlign w:val="center"/>
            <w:hideMark/>
          </w:tcPr>
          <w:p w:rsidR="00FC53D3" w:rsidRPr="00050011" w:rsidRDefault="00FC53D3" w:rsidP="001C15B8">
            <w:pPr>
              <w:spacing w:after="0" w:line="240" w:lineRule="auto"/>
              <w:ind w:firstLine="0"/>
              <w:jc w:val="right"/>
              <w:rPr>
                <w:rFonts w:ascii="Cambria" w:eastAsia="Times New Roman" w:hAnsi="Cambria" w:cs="Times New Roman"/>
                <w:b/>
                <w:bCs/>
                <w:sz w:val="16"/>
                <w:szCs w:val="16"/>
                <w:lang w:eastAsia="en-US"/>
              </w:rPr>
            </w:pPr>
            <w:r w:rsidRPr="00050011">
              <w:rPr>
                <w:rFonts w:ascii="Cambria" w:eastAsia="Times New Roman" w:hAnsi="Cambria" w:cs="Times New Roman"/>
                <w:b/>
                <w:bCs/>
                <w:sz w:val="16"/>
                <w:szCs w:val="16"/>
                <w:lang w:eastAsia="en-US"/>
              </w:rPr>
              <w:t>593.539</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498.940</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486.385</w:t>
            </w:r>
          </w:p>
        </w:tc>
        <w:tc>
          <w:tcPr>
            <w:tcW w:w="952"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335.240</w:t>
            </w:r>
          </w:p>
        </w:tc>
        <w:tc>
          <w:tcPr>
            <w:tcW w:w="811"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118,96</w:t>
            </w:r>
          </w:p>
        </w:tc>
        <w:tc>
          <w:tcPr>
            <w:tcW w:w="83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102,58</w:t>
            </w:r>
          </w:p>
        </w:tc>
        <w:tc>
          <w:tcPr>
            <w:tcW w:w="800"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145,09</w:t>
            </w:r>
          </w:p>
        </w:tc>
        <w:tc>
          <w:tcPr>
            <w:tcW w:w="739" w:type="dxa"/>
            <w:shd w:val="clear" w:color="000000" w:fill="C5D9F1"/>
            <w:noWrap/>
            <w:vAlign w:val="center"/>
            <w:hideMark/>
          </w:tcPr>
          <w:p w:rsidR="00FC53D3" w:rsidRPr="00050011" w:rsidRDefault="00FC53D3" w:rsidP="001C15B8">
            <w:pPr>
              <w:spacing w:after="0" w:line="240" w:lineRule="auto"/>
              <w:ind w:firstLine="0"/>
              <w:jc w:val="right"/>
              <w:rPr>
                <w:rFonts w:ascii="Cambria" w:eastAsia="Times New Roman" w:hAnsi="Cambria" w:cs="Times New Roman"/>
                <w:sz w:val="16"/>
                <w:szCs w:val="16"/>
                <w:lang w:eastAsia="en-US"/>
              </w:rPr>
            </w:pPr>
            <w:r w:rsidRPr="00050011">
              <w:rPr>
                <w:rFonts w:ascii="Cambria" w:eastAsia="Times New Roman" w:hAnsi="Cambria" w:cs="Times New Roman"/>
                <w:sz w:val="16"/>
                <w:szCs w:val="16"/>
                <w:lang w:eastAsia="en-US"/>
              </w:rPr>
              <w:t>148,83</w:t>
            </w:r>
          </w:p>
        </w:tc>
      </w:tr>
    </w:tbl>
    <w:p w:rsidR="00F52BF8" w:rsidRPr="0037604E" w:rsidRDefault="00F52BF8" w:rsidP="0037604E">
      <w:pPr>
        <w:spacing w:after="0" w:line="240" w:lineRule="auto"/>
        <w:ind w:firstLine="0"/>
        <w:jc w:val="both"/>
        <w:rPr>
          <w:rFonts w:ascii="Cambria" w:eastAsia="Times New Roman" w:hAnsi="Cambria" w:cs="Times New Roman"/>
          <w:sz w:val="24"/>
          <w:szCs w:val="24"/>
          <w:highlight w:val="yellow"/>
          <w:lang w:val="en-GB" w:eastAsia="ro-RO"/>
        </w:rPr>
      </w:pPr>
    </w:p>
    <w:p w:rsidR="0037604E" w:rsidRPr="00853B7E" w:rsidRDefault="00E80C4A"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40</w:t>
      </w:r>
      <w:r w:rsidR="0037604E" w:rsidRPr="00853B7E">
        <w:rPr>
          <w:rFonts w:ascii="Cambria" w:eastAsia="Times New Roman" w:hAnsi="Cambria" w:cs="Times New Roman"/>
          <w:b/>
          <w:i/>
          <w:sz w:val="16"/>
          <w:szCs w:val="16"/>
          <w:lang w:val="en-GB" w:eastAsia="ro-RO"/>
        </w:rPr>
        <w:t>–Profit and loss account situation in the period 2013 - 2016</w:t>
      </w: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853B7E"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853B7E">
        <w:rPr>
          <w:rFonts w:ascii="Cambria" w:eastAsia="Times New Roman" w:hAnsi="Cambria" w:cs="Times New Roman"/>
          <w:b/>
          <w:i/>
          <w:sz w:val="24"/>
          <w:szCs w:val="24"/>
          <w:lang w:val="en-GB" w:eastAsia="ro-RO"/>
        </w:rPr>
        <w:t xml:space="preserve">Operating income </w:t>
      </w: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853B7E" w:rsidRDefault="0037604E" w:rsidP="0037604E">
      <w:pPr>
        <w:spacing w:after="0" w:line="240" w:lineRule="auto"/>
        <w:ind w:firstLine="0"/>
        <w:jc w:val="both"/>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The income from the ope</w:t>
      </w:r>
      <w:r w:rsidR="00853B7E">
        <w:rPr>
          <w:rFonts w:ascii="Cambria" w:eastAsia="Times New Roman" w:hAnsi="Cambria" w:cs="Times New Roman"/>
          <w:sz w:val="24"/>
          <w:szCs w:val="24"/>
          <w:lang w:val="en-GB" w:eastAsia="ro-RO"/>
        </w:rPr>
        <w:t>rating activity achieved in 2016</w:t>
      </w:r>
      <w:r w:rsidRPr="00853B7E">
        <w:rPr>
          <w:rFonts w:ascii="Cambria" w:eastAsia="Times New Roman" w:hAnsi="Cambria" w:cs="Times New Roman"/>
          <w:sz w:val="24"/>
          <w:szCs w:val="24"/>
          <w:lang w:val="en-GB" w:eastAsia="ro-RO"/>
        </w:rPr>
        <w:t xml:space="preserve"> is as follows:</w:t>
      </w:r>
    </w:p>
    <w:tbl>
      <w:tblPr>
        <w:tblpPr w:leftFromText="180" w:rightFromText="180" w:vertAnchor="text" w:horzAnchor="margin" w:tblpX="99" w:tblpY="56"/>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000" w:firstRow="0" w:lastRow="0" w:firstColumn="0" w:lastColumn="0" w:noHBand="0" w:noVBand="0"/>
      </w:tblPr>
      <w:tblGrid>
        <w:gridCol w:w="656"/>
        <w:gridCol w:w="2075"/>
        <w:gridCol w:w="1237"/>
        <w:gridCol w:w="1237"/>
        <w:gridCol w:w="1269"/>
        <w:gridCol w:w="1237"/>
        <w:gridCol w:w="1310"/>
      </w:tblGrid>
      <w:tr w:rsidR="00037AE2" w:rsidRPr="00853B7E" w:rsidTr="00037AE2">
        <w:trPr>
          <w:trHeight w:val="310"/>
          <w:tblCellSpacing w:w="20" w:type="dxa"/>
        </w:trPr>
        <w:tc>
          <w:tcPr>
            <w:tcW w:w="633" w:type="dxa"/>
            <w:vMerge w:val="restart"/>
            <w:shd w:val="clear" w:color="auto" w:fill="D6E0F4"/>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Pr>
                <w:rFonts w:ascii="Cambria" w:eastAsia="Times New Roman" w:hAnsi="Cambria" w:cs="Times New Roman"/>
                <w:b/>
                <w:bCs/>
                <w:sz w:val="20"/>
                <w:szCs w:val="20"/>
                <w:lang w:val="en-GB" w:eastAsia="ro-RO"/>
              </w:rPr>
              <w:t>No</w:t>
            </w:r>
          </w:p>
        </w:tc>
        <w:tc>
          <w:tcPr>
            <w:tcW w:w="2195" w:type="dxa"/>
            <w:vMerge w:val="restart"/>
            <w:shd w:val="clear" w:color="auto" w:fill="D6E0F4"/>
            <w:vAlign w:val="center"/>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sidRPr="00853B7E">
              <w:rPr>
                <w:rFonts w:ascii="Cambria" w:eastAsia="Times New Roman" w:hAnsi="Cambria" w:cs="Times New Roman"/>
                <w:b/>
                <w:bCs/>
                <w:sz w:val="20"/>
                <w:szCs w:val="20"/>
                <w:lang w:val="en-GB" w:eastAsia="ro-RO"/>
              </w:rPr>
              <w:t>Specifications</w:t>
            </w:r>
          </w:p>
        </w:tc>
        <w:tc>
          <w:tcPr>
            <w:tcW w:w="4949" w:type="dxa"/>
            <w:gridSpan w:val="4"/>
            <w:shd w:val="clear" w:color="auto" w:fill="D6E0F4"/>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Pr>
                <w:rFonts w:ascii="Cambria" w:eastAsia="Times New Roman" w:hAnsi="Cambria" w:cs="Times New Roman"/>
                <w:b/>
                <w:bCs/>
                <w:sz w:val="20"/>
                <w:szCs w:val="20"/>
                <w:lang w:val="en-GB" w:eastAsia="ro-RO"/>
              </w:rPr>
              <w:t>Achieved</w:t>
            </w:r>
            <w:r w:rsidRPr="00853B7E">
              <w:rPr>
                <w:rFonts w:ascii="Cambria" w:eastAsia="Times New Roman" w:hAnsi="Cambria" w:cs="Times New Roman"/>
                <w:b/>
                <w:bCs/>
                <w:sz w:val="20"/>
                <w:szCs w:val="20"/>
                <w:lang w:val="en-GB" w:eastAsia="ro-RO"/>
              </w:rPr>
              <w:t xml:space="preserve"> </w:t>
            </w:r>
            <w:r>
              <w:rPr>
                <w:rFonts w:ascii="Cambria" w:eastAsia="Times New Roman" w:hAnsi="Cambria" w:cs="Arial"/>
                <w:b/>
                <w:bCs/>
                <w:sz w:val="20"/>
                <w:szCs w:val="20"/>
                <w:lang w:val="en-GB" w:eastAsia="ro-RO"/>
              </w:rPr>
              <w:t xml:space="preserve">31 December </w:t>
            </w:r>
          </w:p>
        </w:tc>
        <w:tc>
          <w:tcPr>
            <w:tcW w:w="1287" w:type="dxa"/>
            <w:vMerge w:val="restart"/>
            <w:shd w:val="clear" w:color="auto" w:fill="D6E0F4"/>
            <w:vAlign w:val="center"/>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sidRPr="00853B7E">
              <w:rPr>
                <w:rFonts w:ascii="Cambria" w:eastAsia="Times New Roman" w:hAnsi="Cambria" w:cs="Times New Roman"/>
                <w:b/>
                <w:bCs/>
                <w:sz w:val="20"/>
                <w:szCs w:val="20"/>
                <w:lang w:val="en-GB" w:eastAsia="ro-RO"/>
              </w:rPr>
              <w:t>Dynamics (%)</w:t>
            </w:r>
          </w:p>
        </w:tc>
      </w:tr>
      <w:tr w:rsidR="00037AE2" w:rsidRPr="00853B7E" w:rsidTr="00037AE2">
        <w:trPr>
          <w:trHeight w:val="255"/>
          <w:tblCellSpacing w:w="20" w:type="dxa"/>
        </w:trPr>
        <w:tc>
          <w:tcPr>
            <w:tcW w:w="633" w:type="dxa"/>
            <w:vMerge/>
            <w:shd w:val="clear" w:color="auto" w:fill="D6E0F4"/>
          </w:tcPr>
          <w:p w:rsidR="00037AE2" w:rsidRPr="00853B7E" w:rsidRDefault="00037AE2" w:rsidP="0037604E">
            <w:pPr>
              <w:spacing w:after="0" w:line="240" w:lineRule="auto"/>
              <w:ind w:firstLine="0"/>
              <w:jc w:val="both"/>
              <w:rPr>
                <w:rFonts w:ascii="Cambria" w:eastAsia="Times New Roman" w:hAnsi="Cambria" w:cs="Times New Roman"/>
                <w:b/>
                <w:bCs/>
                <w:sz w:val="20"/>
                <w:szCs w:val="20"/>
                <w:lang w:val="en-GB" w:eastAsia="ro-RO"/>
              </w:rPr>
            </w:pPr>
          </w:p>
        </w:tc>
        <w:tc>
          <w:tcPr>
            <w:tcW w:w="2195" w:type="dxa"/>
            <w:vMerge/>
            <w:shd w:val="clear" w:color="auto" w:fill="D6E0F4"/>
            <w:vAlign w:val="center"/>
          </w:tcPr>
          <w:p w:rsidR="00037AE2" w:rsidRPr="00853B7E" w:rsidRDefault="00037AE2" w:rsidP="0037604E">
            <w:pPr>
              <w:spacing w:after="0" w:line="240" w:lineRule="auto"/>
              <w:ind w:firstLine="0"/>
              <w:jc w:val="both"/>
              <w:rPr>
                <w:rFonts w:ascii="Cambria" w:eastAsia="Times New Roman" w:hAnsi="Cambria" w:cs="Times New Roman"/>
                <w:b/>
                <w:bCs/>
                <w:sz w:val="20"/>
                <w:szCs w:val="20"/>
                <w:lang w:val="en-GB" w:eastAsia="ro-RO"/>
              </w:rPr>
            </w:pPr>
          </w:p>
        </w:tc>
        <w:tc>
          <w:tcPr>
            <w:tcW w:w="1197" w:type="dxa"/>
            <w:shd w:val="clear" w:color="auto" w:fill="D6E0F4"/>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Pr>
                <w:rFonts w:ascii="Cambria" w:eastAsia="Times New Roman" w:hAnsi="Cambria" w:cs="Times New Roman"/>
                <w:b/>
                <w:bCs/>
                <w:sz w:val="20"/>
                <w:szCs w:val="20"/>
                <w:lang w:val="en-GB" w:eastAsia="ro-RO"/>
              </w:rPr>
              <w:t>2016</w:t>
            </w:r>
          </w:p>
        </w:tc>
        <w:tc>
          <w:tcPr>
            <w:tcW w:w="1197" w:type="dxa"/>
            <w:shd w:val="clear" w:color="auto" w:fill="D6E0F4"/>
            <w:vAlign w:val="center"/>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sidRPr="00853B7E">
              <w:rPr>
                <w:rFonts w:ascii="Cambria" w:eastAsia="Times New Roman" w:hAnsi="Cambria" w:cs="Times New Roman"/>
                <w:b/>
                <w:bCs/>
                <w:sz w:val="20"/>
                <w:szCs w:val="20"/>
                <w:lang w:val="en-GB" w:eastAsia="ro-RO"/>
              </w:rPr>
              <w:t>2015</w:t>
            </w:r>
          </w:p>
        </w:tc>
        <w:tc>
          <w:tcPr>
            <w:tcW w:w="1238" w:type="dxa"/>
            <w:shd w:val="clear" w:color="auto" w:fill="D6E0F4"/>
            <w:vAlign w:val="center"/>
          </w:tcPr>
          <w:p w:rsidR="00037AE2" w:rsidRPr="00853B7E" w:rsidRDefault="00037AE2" w:rsidP="0037604E">
            <w:pPr>
              <w:spacing w:after="0" w:line="240" w:lineRule="auto"/>
              <w:ind w:firstLine="0"/>
              <w:jc w:val="center"/>
              <w:rPr>
                <w:rFonts w:ascii="Cambria" w:eastAsia="Times New Roman" w:hAnsi="Cambria" w:cs="Times New Roman"/>
                <w:b/>
                <w:bCs/>
                <w:sz w:val="20"/>
                <w:szCs w:val="20"/>
                <w:lang w:val="en-GB" w:eastAsia="ro-RO"/>
              </w:rPr>
            </w:pPr>
            <w:r w:rsidRPr="00853B7E">
              <w:rPr>
                <w:rFonts w:ascii="Cambria" w:eastAsia="Times New Roman" w:hAnsi="Cambria" w:cs="Times New Roman"/>
                <w:b/>
                <w:bCs/>
                <w:sz w:val="20"/>
                <w:szCs w:val="20"/>
                <w:lang w:val="en-GB" w:eastAsia="ro-RO"/>
              </w:rPr>
              <w:t>2014</w:t>
            </w:r>
          </w:p>
        </w:tc>
        <w:tc>
          <w:tcPr>
            <w:tcW w:w="1197" w:type="dxa"/>
            <w:shd w:val="clear" w:color="auto" w:fill="D6E0F4"/>
          </w:tcPr>
          <w:p w:rsidR="00037AE2" w:rsidRPr="00853B7E" w:rsidRDefault="00037AE2" w:rsidP="0037604E">
            <w:pPr>
              <w:spacing w:after="0" w:line="240" w:lineRule="auto"/>
              <w:ind w:firstLine="0"/>
              <w:jc w:val="both"/>
              <w:rPr>
                <w:rFonts w:ascii="Cambria" w:eastAsia="Times New Roman" w:hAnsi="Cambria" w:cs="Times New Roman"/>
                <w:b/>
                <w:bCs/>
                <w:sz w:val="20"/>
                <w:szCs w:val="20"/>
                <w:lang w:val="en-GB" w:eastAsia="ro-RO"/>
              </w:rPr>
            </w:pPr>
            <w:r>
              <w:rPr>
                <w:rFonts w:ascii="Cambria" w:eastAsia="Times New Roman" w:hAnsi="Cambria" w:cs="Times New Roman"/>
                <w:b/>
                <w:bCs/>
                <w:sz w:val="20"/>
                <w:szCs w:val="20"/>
                <w:lang w:val="en-GB" w:eastAsia="ro-RO"/>
              </w:rPr>
              <w:t>2013</w:t>
            </w:r>
          </w:p>
        </w:tc>
        <w:tc>
          <w:tcPr>
            <w:tcW w:w="1287" w:type="dxa"/>
            <w:vMerge/>
            <w:shd w:val="clear" w:color="auto" w:fill="D6E0F4"/>
            <w:vAlign w:val="center"/>
          </w:tcPr>
          <w:p w:rsidR="00037AE2" w:rsidRPr="00853B7E" w:rsidRDefault="00037AE2" w:rsidP="0037604E">
            <w:pPr>
              <w:spacing w:after="0" w:line="240" w:lineRule="auto"/>
              <w:ind w:firstLine="0"/>
              <w:jc w:val="both"/>
              <w:rPr>
                <w:rFonts w:ascii="Cambria" w:eastAsia="Times New Roman" w:hAnsi="Cambria" w:cs="Times New Roman"/>
                <w:b/>
                <w:bCs/>
                <w:sz w:val="20"/>
                <w:szCs w:val="20"/>
                <w:lang w:val="en-GB" w:eastAsia="ro-RO"/>
              </w:rPr>
            </w:pPr>
          </w:p>
        </w:tc>
      </w:tr>
      <w:tr w:rsidR="00037AE2" w:rsidRPr="00853B7E" w:rsidTr="00037AE2">
        <w:trPr>
          <w:trHeight w:val="185"/>
          <w:tblCellSpacing w:w="20" w:type="dxa"/>
        </w:trPr>
        <w:tc>
          <w:tcPr>
            <w:tcW w:w="633" w:type="dxa"/>
          </w:tcPr>
          <w:p w:rsidR="00037AE2" w:rsidRPr="00853B7E" w:rsidRDefault="00037AE2" w:rsidP="00037AE2">
            <w:pPr>
              <w:spacing w:after="0" w:line="240" w:lineRule="auto"/>
              <w:ind w:firstLine="0"/>
              <w:jc w:val="center"/>
              <w:rPr>
                <w:rFonts w:ascii="Cambria" w:eastAsia="Times New Roman" w:hAnsi="Cambria" w:cs="Times New Roman"/>
                <w:bCs/>
                <w:sz w:val="18"/>
                <w:szCs w:val="18"/>
                <w:lang w:val="en-GB" w:eastAsia="ro-RO"/>
              </w:rPr>
            </w:pPr>
            <w:r>
              <w:rPr>
                <w:rFonts w:ascii="Cambria" w:eastAsia="Times New Roman" w:hAnsi="Cambria" w:cs="Times New Roman"/>
                <w:bCs/>
                <w:sz w:val="18"/>
                <w:szCs w:val="18"/>
                <w:lang w:val="en-GB" w:eastAsia="ro-RO"/>
              </w:rPr>
              <w:t>0</w:t>
            </w:r>
          </w:p>
        </w:tc>
        <w:tc>
          <w:tcPr>
            <w:tcW w:w="2195" w:type="dxa"/>
            <w:shd w:val="clear" w:color="auto" w:fill="auto"/>
            <w:vAlign w:val="bottom"/>
          </w:tcPr>
          <w:p w:rsidR="00037AE2" w:rsidRPr="00853B7E" w:rsidRDefault="00037AE2" w:rsidP="00037AE2">
            <w:pPr>
              <w:spacing w:after="0" w:line="240" w:lineRule="auto"/>
              <w:ind w:firstLine="0"/>
              <w:jc w:val="center"/>
              <w:rPr>
                <w:rFonts w:ascii="Cambria" w:eastAsia="Times New Roman" w:hAnsi="Cambria" w:cs="Times New Roman"/>
                <w:sz w:val="18"/>
                <w:szCs w:val="18"/>
                <w:lang w:val="en-GB" w:eastAsia="ro-RO"/>
              </w:rPr>
            </w:pPr>
            <w:r w:rsidRPr="00853B7E">
              <w:rPr>
                <w:rFonts w:ascii="Cambria" w:eastAsia="Times New Roman" w:hAnsi="Cambria" w:cs="Times New Roman"/>
                <w:bCs/>
                <w:sz w:val="18"/>
                <w:szCs w:val="18"/>
                <w:lang w:val="en-GB" w:eastAsia="ro-RO"/>
              </w:rPr>
              <w:t>1</w:t>
            </w:r>
          </w:p>
        </w:tc>
        <w:tc>
          <w:tcPr>
            <w:tcW w:w="1197" w:type="dxa"/>
            <w:vAlign w:val="bottom"/>
          </w:tcPr>
          <w:p w:rsidR="00037AE2" w:rsidRPr="00853B7E" w:rsidRDefault="00037AE2" w:rsidP="00037AE2">
            <w:pPr>
              <w:spacing w:after="0" w:line="240" w:lineRule="auto"/>
              <w:ind w:firstLine="0"/>
              <w:jc w:val="center"/>
              <w:rPr>
                <w:rFonts w:ascii="Cambria" w:eastAsia="Times New Roman" w:hAnsi="Cambria" w:cs="Times New Roman"/>
                <w:sz w:val="18"/>
                <w:szCs w:val="18"/>
                <w:lang w:val="en-GB" w:eastAsia="ro-RO"/>
              </w:rPr>
            </w:pPr>
            <w:r w:rsidRPr="00853B7E">
              <w:rPr>
                <w:rFonts w:ascii="Cambria" w:eastAsia="Times New Roman" w:hAnsi="Cambria" w:cs="Times New Roman"/>
                <w:bCs/>
                <w:sz w:val="18"/>
                <w:szCs w:val="18"/>
                <w:lang w:val="en-GB" w:eastAsia="ro-RO"/>
              </w:rPr>
              <w:t>2</w:t>
            </w:r>
          </w:p>
        </w:tc>
        <w:tc>
          <w:tcPr>
            <w:tcW w:w="1197" w:type="dxa"/>
            <w:vAlign w:val="bottom"/>
          </w:tcPr>
          <w:p w:rsidR="00037AE2" w:rsidRPr="00853B7E" w:rsidRDefault="00037AE2" w:rsidP="00037AE2">
            <w:pPr>
              <w:spacing w:after="0" w:line="240" w:lineRule="auto"/>
              <w:ind w:firstLine="0"/>
              <w:jc w:val="center"/>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3</w:t>
            </w:r>
          </w:p>
        </w:tc>
        <w:tc>
          <w:tcPr>
            <w:tcW w:w="1238" w:type="dxa"/>
            <w:shd w:val="clear" w:color="auto" w:fill="auto"/>
            <w:vAlign w:val="bottom"/>
          </w:tcPr>
          <w:p w:rsidR="00037AE2" w:rsidRPr="00853B7E" w:rsidRDefault="00037AE2" w:rsidP="00037AE2">
            <w:pPr>
              <w:spacing w:after="0" w:line="240" w:lineRule="auto"/>
              <w:ind w:firstLine="0"/>
              <w:jc w:val="center"/>
              <w:rPr>
                <w:rFonts w:ascii="Cambria" w:eastAsia="Times New Roman" w:hAnsi="Cambria" w:cs="Times New Roman"/>
                <w:sz w:val="18"/>
                <w:szCs w:val="18"/>
                <w:lang w:val="en-GB" w:eastAsia="ro-RO"/>
              </w:rPr>
            </w:pPr>
            <w:r>
              <w:rPr>
                <w:rFonts w:ascii="Cambria" w:eastAsia="Times New Roman" w:hAnsi="Cambria" w:cs="Times New Roman"/>
                <w:sz w:val="18"/>
                <w:szCs w:val="18"/>
                <w:lang w:val="en-GB" w:eastAsia="ro-RO"/>
              </w:rPr>
              <w:t>4</w:t>
            </w:r>
          </w:p>
        </w:tc>
        <w:tc>
          <w:tcPr>
            <w:tcW w:w="1197" w:type="dxa"/>
          </w:tcPr>
          <w:p w:rsidR="00037AE2" w:rsidRPr="00853B7E" w:rsidRDefault="00037AE2" w:rsidP="00037AE2">
            <w:pPr>
              <w:spacing w:after="0" w:line="240" w:lineRule="auto"/>
              <w:ind w:firstLine="0"/>
              <w:jc w:val="center"/>
              <w:rPr>
                <w:rFonts w:ascii="Cambria" w:eastAsia="Times New Roman" w:hAnsi="Cambria" w:cs="Times New Roman"/>
                <w:bCs/>
                <w:sz w:val="18"/>
                <w:szCs w:val="18"/>
                <w:lang w:val="en-GB" w:eastAsia="ro-RO"/>
              </w:rPr>
            </w:pPr>
            <w:r>
              <w:rPr>
                <w:rFonts w:ascii="Cambria" w:eastAsia="Times New Roman" w:hAnsi="Cambria" w:cs="Times New Roman"/>
                <w:bCs/>
                <w:sz w:val="18"/>
                <w:szCs w:val="18"/>
                <w:lang w:val="en-GB" w:eastAsia="ro-RO"/>
              </w:rPr>
              <w:t>5</w:t>
            </w:r>
          </w:p>
        </w:tc>
        <w:tc>
          <w:tcPr>
            <w:tcW w:w="1287" w:type="dxa"/>
            <w:shd w:val="clear" w:color="auto" w:fill="auto"/>
            <w:vAlign w:val="bottom"/>
          </w:tcPr>
          <w:p w:rsidR="00037AE2" w:rsidRPr="00853B7E" w:rsidRDefault="00037AE2" w:rsidP="00037AE2">
            <w:pPr>
              <w:spacing w:after="0" w:line="240" w:lineRule="auto"/>
              <w:ind w:firstLine="0"/>
              <w:jc w:val="center"/>
              <w:rPr>
                <w:rFonts w:ascii="Cambria" w:eastAsia="Times New Roman" w:hAnsi="Cambria" w:cs="Times New Roman"/>
                <w:sz w:val="18"/>
                <w:szCs w:val="18"/>
                <w:lang w:val="en-GB" w:eastAsia="ro-RO"/>
              </w:rPr>
            </w:pPr>
            <w:r w:rsidRPr="00DE498D">
              <w:rPr>
                <w:rFonts w:ascii="Cambria" w:eastAsia="Times New Roman" w:hAnsi="Cambria" w:cs="Arial"/>
                <w:sz w:val="18"/>
                <w:szCs w:val="18"/>
                <w:lang w:val="ro-RO" w:eastAsia="ro-RO"/>
              </w:rPr>
              <w:t>6=2/3*100</w:t>
            </w:r>
          </w:p>
        </w:tc>
      </w:tr>
      <w:tr w:rsidR="00037AE2" w:rsidRPr="00853B7E" w:rsidTr="00037AE2">
        <w:trPr>
          <w:trHeight w:val="218"/>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b/>
                <w:bCs/>
                <w:sz w:val="18"/>
                <w:szCs w:val="18"/>
                <w:lang w:val="en-GB" w:eastAsia="ro-RO"/>
              </w:rPr>
            </w:pPr>
            <w:r>
              <w:rPr>
                <w:rFonts w:ascii="Cambria" w:eastAsia="Times New Roman" w:hAnsi="Cambria" w:cs="Times New Roman"/>
                <w:b/>
                <w:bCs/>
                <w:sz w:val="18"/>
                <w:szCs w:val="18"/>
                <w:lang w:val="en-GB" w:eastAsia="ro-RO"/>
              </w:rPr>
              <w:t>1.</w:t>
            </w: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b/>
                <w:bCs/>
                <w:sz w:val="18"/>
                <w:szCs w:val="18"/>
                <w:lang w:val="en-GB" w:eastAsia="ro-RO"/>
              </w:rPr>
            </w:pPr>
            <w:r w:rsidRPr="00853B7E">
              <w:rPr>
                <w:rFonts w:ascii="Cambria" w:eastAsia="Times New Roman" w:hAnsi="Cambria" w:cs="Times New Roman"/>
                <w:b/>
                <w:bCs/>
                <w:sz w:val="18"/>
                <w:szCs w:val="18"/>
                <w:lang w:val="en-GB" w:eastAsia="ro-RO"/>
              </w:rPr>
              <w:t>Revenues from the domestic transmission activity</w:t>
            </w:r>
          </w:p>
        </w:tc>
        <w:tc>
          <w:tcPr>
            <w:tcW w:w="1197" w:type="dxa"/>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197" w:type="dxa"/>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238" w:type="dxa"/>
            <w:shd w:val="clear" w:color="auto" w:fill="auto"/>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r w:rsidRPr="00E4455B">
              <w:rPr>
                <w:rFonts w:ascii="Cambria" w:eastAsia="Times New Roman" w:hAnsi="Cambria" w:cs="Times New Roman"/>
                <w:sz w:val="18"/>
                <w:szCs w:val="18"/>
                <w:lang w:eastAsia="ro-RO"/>
              </w:rPr>
              <w:t> </w:t>
            </w:r>
          </w:p>
        </w:tc>
        <w:tc>
          <w:tcPr>
            <w:tcW w:w="1197" w:type="dxa"/>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287" w:type="dxa"/>
            <w:shd w:val="clear" w:color="auto" w:fill="auto"/>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r>
      <w:tr w:rsidR="00037AE2" w:rsidRPr="00853B7E" w:rsidTr="00037AE2">
        <w:trPr>
          <w:trHeight w:val="177"/>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thousand RON</w:t>
            </w:r>
          </w:p>
        </w:tc>
        <w:tc>
          <w:tcPr>
            <w:tcW w:w="1197" w:type="dxa"/>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1.360.355</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1.259.788</w:t>
            </w:r>
          </w:p>
        </w:tc>
        <w:tc>
          <w:tcPr>
            <w:tcW w:w="1238" w:type="dxa"/>
            <w:shd w:val="clear" w:color="auto" w:fill="auto"/>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1.340.853</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1.210.480</w:t>
            </w:r>
          </w:p>
        </w:tc>
        <w:tc>
          <w:tcPr>
            <w:tcW w:w="1287" w:type="dxa"/>
            <w:shd w:val="clear" w:color="auto" w:fill="auto"/>
          </w:tcPr>
          <w:p w:rsidR="00037AE2" w:rsidRPr="00E4455B" w:rsidRDefault="00037AE2" w:rsidP="006D6854">
            <w:pPr>
              <w:spacing w:after="0" w:line="240" w:lineRule="auto"/>
              <w:ind w:firstLine="0"/>
              <w:jc w:val="right"/>
              <w:rPr>
                <w:rFonts w:ascii="Cambria" w:eastAsia="Calibri" w:hAnsi="Cambria" w:cs="Times New Roman"/>
                <w:sz w:val="18"/>
                <w:szCs w:val="18"/>
                <w:lang w:eastAsia="en-US"/>
              </w:rPr>
            </w:pPr>
            <w:r w:rsidRPr="00E4455B">
              <w:rPr>
                <w:rFonts w:ascii="Cambria" w:eastAsia="Calibri" w:hAnsi="Cambria" w:cs="Times New Roman"/>
                <w:sz w:val="18"/>
                <w:szCs w:val="18"/>
                <w:lang w:eastAsia="en-US"/>
              </w:rPr>
              <w:t>107,98</w:t>
            </w:r>
          </w:p>
        </w:tc>
      </w:tr>
      <w:tr w:rsidR="00037AE2" w:rsidRPr="00853B7E" w:rsidTr="00037AE2">
        <w:trPr>
          <w:trHeight w:val="255"/>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MWh</w:t>
            </w:r>
          </w:p>
        </w:tc>
        <w:tc>
          <w:tcPr>
            <w:tcW w:w="1197" w:type="dxa"/>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129.786.374</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131.259.673</w:t>
            </w:r>
          </w:p>
        </w:tc>
        <w:tc>
          <w:tcPr>
            <w:tcW w:w="1238" w:type="dxa"/>
            <w:shd w:val="clear" w:color="auto" w:fill="auto"/>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126.703.188</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119.741.363</w:t>
            </w:r>
          </w:p>
        </w:tc>
        <w:tc>
          <w:tcPr>
            <w:tcW w:w="1287" w:type="dxa"/>
            <w:shd w:val="clear" w:color="auto" w:fill="auto"/>
          </w:tcPr>
          <w:p w:rsidR="00037AE2" w:rsidRPr="00E4455B" w:rsidRDefault="00037AE2" w:rsidP="006D6854">
            <w:pPr>
              <w:spacing w:after="0" w:line="240" w:lineRule="auto"/>
              <w:ind w:firstLine="0"/>
              <w:jc w:val="right"/>
              <w:rPr>
                <w:rFonts w:ascii="Cambria" w:eastAsia="Calibri" w:hAnsi="Cambria" w:cs="Times New Roman"/>
                <w:sz w:val="18"/>
                <w:szCs w:val="18"/>
                <w:lang w:eastAsia="en-US"/>
              </w:rPr>
            </w:pPr>
            <w:r w:rsidRPr="00E4455B">
              <w:rPr>
                <w:rFonts w:ascii="Cambria" w:eastAsia="Calibri" w:hAnsi="Cambria" w:cs="Times New Roman"/>
                <w:sz w:val="18"/>
                <w:szCs w:val="18"/>
                <w:lang w:eastAsia="en-US"/>
              </w:rPr>
              <w:t>98,88</w:t>
            </w:r>
          </w:p>
        </w:tc>
      </w:tr>
      <w:tr w:rsidR="00037AE2" w:rsidRPr="00853B7E" w:rsidTr="00037AE2">
        <w:trPr>
          <w:trHeight w:val="102"/>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RON/MWh</w:t>
            </w:r>
          </w:p>
        </w:tc>
        <w:tc>
          <w:tcPr>
            <w:tcW w:w="1197" w:type="dxa"/>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10,48</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9,60</w:t>
            </w:r>
          </w:p>
        </w:tc>
        <w:tc>
          <w:tcPr>
            <w:tcW w:w="1238" w:type="dxa"/>
            <w:shd w:val="clear" w:color="auto" w:fill="auto"/>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10,58</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10,11</w:t>
            </w:r>
          </w:p>
        </w:tc>
        <w:tc>
          <w:tcPr>
            <w:tcW w:w="1287" w:type="dxa"/>
            <w:shd w:val="clear" w:color="auto" w:fill="auto"/>
          </w:tcPr>
          <w:p w:rsidR="00037AE2" w:rsidRPr="00E4455B" w:rsidRDefault="00037AE2" w:rsidP="006D6854">
            <w:pPr>
              <w:spacing w:after="0" w:line="240" w:lineRule="auto"/>
              <w:ind w:firstLine="0"/>
              <w:jc w:val="right"/>
              <w:rPr>
                <w:rFonts w:ascii="Cambria" w:eastAsia="Calibri" w:hAnsi="Cambria" w:cs="Times New Roman"/>
                <w:sz w:val="18"/>
                <w:szCs w:val="18"/>
                <w:lang w:eastAsia="en-US"/>
              </w:rPr>
            </w:pPr>
            <w:r w:rsidRPr="00E4455B">
              <w:rPr>
                <w:rFonts w:ascii="Cambria" w:eastAsia="Calibri" w:hAnsi="Cambria" w:cs="Times New Roman"/>
                <w:sz w:val="18"/>
                <w:szCs w:val="18"/>
                <w:lang w:eastAsia="en-US"/>
              </w:rPr>
              <w:t>109,21</w:t>
            </w:r>
          </w:p>
        </w:tc>
      </w:tr>
      <w:tr w:rsidR="00037AE2" w:rsidRPr="00853B7E" w:rsidTr="00037AE2">
        <w:trPr>
          <w:trHeight w:val="255"/>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thousand cm</w:t>
            </w:r>
          </w:p>
        </w:tc>
        <w:tc>
          <w:tcPr>
            <w:tcW w:w="1197" w:type="dxa"/>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12.074.677</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12.294.693</w:t>
            </w:r>
          </w:p>
        </w:tc>
        <w:tc>
          <w:tcPr>
            <w:tcW w:w="1238" w:type="dxa"/>
            <w:shd w:val="clear" w:color="auto" w:fill="auto"/>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11.883.713</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11.258.941</w:t>
            </w:r>
          </w:p>
        </w:tc>
        <w:tc>
          <w:tcPr>
            <w:tcW w:w="1287" w:type="dxa"/>
            <w:shd w:val="clear" w:color="auto" w:fill="auto"/>
          </w:tcPr>
          <w:p w:rsidR="00037AE2" w:rsidRPr="00E4455B" w:rsidRDefault="00037AE2" w:rsidP="006D6854">
            <w:pPr>
              <w:spacing w:after="0" w:line="240" w:lineRule="auto"/>
              <w:ind w:firstLine="0"/>
              <w:jc w:val="right"/>
              <w:rPr>
                <w:rFonts w:ascii="Cambria" w:eastAsia="Calibri" w:hAnsi="Cambria" w:cs="Times New Roman"/>
                <w:sz w:val="18"/>
                <w:szCs w:val="18"/>
                <w:lang w:eastAsia="en-US"/>
              </w:rPr>
            </w:pPr>
            <w:r w:rsidRPr="00E4455B">
              <w:rPr>
                <w:rFonts w:ascii="Cambria" w:eastAsia="Calibri" w:hAnsi="Cambria" w:cs="Times New Roman"/>
                <w:sz w:val="18"/>
                <w:szCs w:val="18"/>
                <w:lang w:eastAsia="en-US"/>
              </w:rPr>
              <w:t>98,21</w:t>
            </w:r>
          </w:p>
        </w:tc>
      </w:tr>
      <w:tr w:rsidR="00037AE2" w:rsidRPr="00853B7E" w:rsidTr="00037AE2">
        <w:trPr>
          <w:trHeight w:val="255"/>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RON/1000 cm</w:t>
            </w:r>
          </w:p>
        </w:tc>
        <w:tc>
          <w:tcPr>
            <w:tcW w:w="1197" w:type="dxa"/>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112,66</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102,47</w:t>
            </w:r>
          </w:p>
        </w:tc>
        <w:tc>
          <w:tcPr>
            <w:tcW w:w="1238" w:type="dxa"/>
            <w:shd w:val="clear" w:color="auto" w:fill="auto"/>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112,83</w:t>
            </w:r>
          </w:p>
        </w:tc>
        <w:tc>
          <w:tcPr>
            <w:tcW w:w="1197" w:type="dxa"/>
            <w:vAlign w:val="center"/>
          </w:tcPr>
          <w:p w:rsidR="00037AE2" w:rsidRPr="00DE498D" w:rsidRDefault="00037AE2"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107,51</w:t>
            </w:r>
          </w:p>
        </w:tc>
        <w:tc>
          <w:tcPr>
            <w:tcW w:w="1287" w:type="dxa"/>
            <w:shd w:val="clear" w:color="auto" w:fill="auto"/>
          </w:tcPr>
          <w:p w:rsidR="00037AE2" w:rsidRPr="00E4455B" w:rsidRDefault="00037AE2" w:rsidP="006D6854">
            <w:pPr>
              <w:spacing w:after="0" w:line="240" w:lineRule="auto"/>
              <w:ind w:firstLine="0"/>
              <w:jc w:val="right"/>
              <w:rPr>
                <w:rFonts w:ascii="Cambria" w:eastAsia="Calibri" w:hAnsi="Cambria" w:cs="Times New Roman"/>
                <w:sz w:val="18"/>
                <w:szCs w:val="18"/>
                <w:lang w:eastAsia="en-US"/>
              </w:rPr>
            </w:pPr>
            <w:r w:rsidRPr="00E4455B">
              <w:rPr>
                <w:rFonts w:ascii="Cambria" w:eastAsia="Calibri" w:hAnsi="Cambria" w:cs="Times New Roman"/>
                <w:sz w:val="18"/>
                <w:szCs w:val="18"/>
                <w:lang w:eastAsia="en-US"/>
              </w:rPr>
              <w:t>109,95</w:t>
            </w:r>
          </w:p>
        </w:tc>
      </w:tr>
      <w:tr w:rsidR="00037AE2" w:rsidRPr="00853B7E" w:rsidTr="00037AE2">
        <w:trPr>
          <w:trHeight w:val="248"/>
          <w:tblCellSpacing w:w="20" w:type="dxa"/>
        </w:trPr>
        <w:tc>
          <w:tcPr>
            <w:tcW w:w="633" w:type="dxa"/>
          </w:tcPr>
          <w:p w:rsidR="00037AE2" w:rsidRPr="00853B7E" w:rsidRDefault="00037AE2" w:rsidP="006D6854">
            <w:pPr>
              <w:spacing w:after="0" w:line="240" w:lineRule="auto"/>
              <w:ind w:firstLine="0"/>
              <w:rPr>
                <w:rFonts w:ascii="Cambria" w:eastAsia="Times New Roman" w:hAnsi="Cambria" w:cs="Times New Roman"/>
                <w:b/>
                <w:bCs/>
                <w:sz w:val="18"/>
                <w:szCs w:val="18"/>
                <w:lang w:val="en-GB" w:eastAsia="ro-RO"/>
              </w:rPr>
            </w:pPr>
            <w:r>
              <w:rPr>
                <w:rFonts w:ascii="Cambria" w:eastAsia="Times New Roman" w:hAnsi="Cambria" w:cs="Times New Roman"/>
                <w:b/>
                <w:bCs/>
                <w:sz w:val="18"/>
                <w:szCs w:val="18"/>
                <w:lang w:val="en-GB" w:eastAsia="ro-RO"/>
              </w:rPr>
              <w:t>2.</w:t>
            </w:r>
          </w:p>
        </w:tc>
        <w:tc>
          <w:tcPr>
            <w:tcW w:w="8511" w:type="dxa"/>
            <w:gridSpan w:val="6"/>
            <w:shd w:val="clear" w:color="auto" w:fill="auto"/>
            <w:vAlign w:val="center"/>
          </w:tcPr>
          <w:p w:rsidR="00037AE2" w:rsidRPr="00037AE2" w:rsidRDefault="00037AE2" w:rsidP="00037AE2">
            <w:pPr>
              <w:spacing w:after="0" w:line="240" w:lineRule="auto"/>
              <w:ind w:firstLine="0"/>
              <w:rPr>
                <w:rFonts w:ascii="Cambria" w:eastAsia="Times New Roman" w:hAnsi="Cambria" w:cs="Times New Roman"/>
                <w:b/>
                <w:bCs/>
                <w:sz w:val="18"/>
                <w:szCs w:val="18"/>
                <w:lang w:val="en-GB" w:eastAsia="ro-RO"/>
              </w:rPr>
            </w:pPr>
            <w:r w:rsidRPr="00853B7E">
              <w:rPr>
                <w:rFonts w:ascii="Cambria" w:eastAsia="Times New Roman" w:hAnsi="Cambria" w:cs="Times New Roman"/>
                <w:b/>
                <w:bCs/>
                <w:sz w:val="18"/>
                <w:szCs w:val="18"/>
                <w:lang w:val="en-GB" w:eastAsia="ro-RO"/>
              </w:rPr>
              <w:t xml:space="preserve">Revenues from </w:t>
            </w:r>
            <w:r>
              <w:rPr>
                <w:rFonts w:ascii="Cambria" w:eastAsia="Times New Roman" w:hAnsi="Cambria" w:cs="Times New Roman"/>
                <w:b/>
                <w:bCs/>
                <w:sz w:val="18"/>
                <w:szCs w:val="18"/>
                <w:lang w:val="en-GB" w:eastAsia="ro-RO"/>
              </w:rPr>
              <w:t xml:space="preserve">the international transmission </w:t>
            </w:r>
            <w:r w:rsidRPr="00853B7E">
              <w:rPr>
                <w:rFonts w:ascii="Cambria" w:eastAsia="Times New Roman" w:hAnsi="Cambria" w:cs="Times New Roman"/>
                <w:b/>
                <w:bCs/>
                <w:sz w:val="18"/>
                <w:szCs w:val="18"/>
                <w:lang w:val="en-GB" w:eastAsia="ro-RO"/>
              </w:rPr>
              <w:t>activity</w:t>
            </w:r>
          </w:p>
        </w:tc>
      </w:tr>
      <w:tr w:rsidR="007776DB" w:rsidRPr="00853B7E" w:rsidTr="00F21009">
        <w:trPr>
          <w:trHeight w:val="255"/>
          <w:tblCellSpacing w:w="20" w:type="dxa"/>
        </w:trPr>
        <w:tc>
          <w:tcPr>
            <w:tcW w:w="633" w:type="dxa"/>
          </w:tcPr>
          <w:p w:rsidR="007776DB" w:rsidRPr="00853B7E" w:rsidRDefault="007776DB"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7776DB" w:rsidRPr="00853B7E" w:rsidRDefault="007776DB"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w:t>
            </w:r>
            <w:r w:rsidRPr="00853B7E">
              <w:rPr>
                <w:lang w:val="en-GB"/>
              </w:rPr>
              <w:t xml:space="preserve"> </w:t>
            </w:r>
            <w:r w:rsidRPr="00853B7E">
              <w:rPr>
                <w:rFonts w:ascii="Cambria" w:eastAsia="Times New Roman" w:hAnsi="Cambria" w:cs="Times New Roman"/>
                <w:sz w:val="18"/>
                <w:szCs w:val="18"/>
                <w:lang w:val="en-GB" w:eastAsia="ro-RO"/>
              </w:rPr>
              <w:t>thousand RON</w:t>
            </w:r>
          </w:p>
        </w:tc>
        <w:tc>
          <w:tcPr>
            <w:tcW w:w="1197" w:type="dxa"/>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328.571</w:t>
            </w:r>
          </w:p>
        </w:tc>
        <w:tc>
          <w:tcPr>
            <w:tcW w:w="1197" w:type="dxa"/>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318.752</w:t>
            </w:r>
          </w:p>
        </w:tc>
        <w:tc>
          <w:tcPr>
            <w:tcW w:w="1238" w:type="dxa"/>
            <w:shd w:val="clear" w:color="auto" w:fill="auto"/>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273.760</w:t>
            </w:r>
          </w:p>
        </w:tc>
        <w:tc>
          <w:tcPr>
            <w:tcW w:w="1197" w:type="dxa"/>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268.537</w:t>
            </w:r>
          </w:p>
        </w:tc>
        <w:tc>
          <w:tcPr>
            <w:tcW w:w="1287" w:type="dxa"/>
            <w:shd w:val="clear" w:color="auto" w:fill="auto"/>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103,08</w:t>
            </w:r>
          </w:p>
        </w:tc>
      </w:tr>
      <w:tr w:rsidR="00037AE2" w:rsidRPr="00853B7E" w:rsidTr="00037AE2">
        <w:trPr>
          <w:trHeight w:val="182"/>
          <w:tblCellSpacing w:w="20" w:type="dxa"/>
        </w:trPr>
        <w:tc>
          <w:tcPr>
            <w:tcW w:w="633" w:type="dxa"/>
          </w:tcPr>
          <w:p w:rsidR="00037AE2" w:rsidRPr="00853B7E" w:rsidRDefault="007776DB" w:rsidP="006D6854">
            <w:pPr>
              <w:spacing w:after="0" w:line="240" w:lineRule="auto"/>
              <w:ind w:firstLine="0"/>
              <w:rPr>
                <w:rFonts w:ascii="Cambria" w:eastAsia="Times New Roman" w:hAnsi="Cambria" w:cs="Times New Roman"/>
                <w:b/>
                <w:bCs/>
                <w:sz w:val="18"/>
                <w:szCs w:val="18"/>
                <w:lang w:val="en-GB" w:eastAsia="ro-RO"/>
              </w:rPr>
            </w:pPr>
            <w:r>
              <w:rPr>
                <w:rFonts w:ascii="Cambria" w:eastAsia="Times New Roman" w:hAnsi="Cambria" w:cs="Times New Roman"/>
                <w:b/>
                <w:bCs/>
                <w:sz w:val="18"/>
                <w:szCs w:val="18"/>
                <w:lang w:val="en-GB" w:eastAsia="ro-RO"/>
              </w:rPr>
              <w:t>3.</w:t>
            </w:r>
          </w:p>
        </w:tc>
        <w:tc>
          <w:tcPr>
            <w:tcW w:w="2195" w:type="dxa"/>
            <w:shd w:val="clear" w:color="auto" w:fill="auto"/>
            <w:vAlign w:val="center"/>
          </w:tcPr>
          <w:p w:rsidR="00037AE2" w:rsidRPr="00853B7E" w:rsidRDefault="00037AE2" w:rsidP="006D6854">
            <w:pPr>
              <w:spacing w:after="0" w:line="240" w:lineRule="auto"/>
              <w:ind w:firstLine="0"/>
              <w:rPr>
                <w:rFonts w:ascii="Cambria" w:eastAsia="Times New Roman" w:hAnsi="Cambria" w:cs="Times New Roman"/>
                <w:b/>
                <w:bCs/>
                <w:sz w:val="18"/>
                <w:szCs w:val="18"/>
                <w:lang w:val="en-GB" w:eastAsia="ro-RO"/>
              </w:rPr>
            </w:pPr>
            <w:r w:rsidRPr="00853B7E">
              <w:rPr>
                <w:rFonts w:ascii="Cambria" w:eastAsia="Times New Roman" w:hAnsi="Cambria" w:cs="Times New Roman"/>
                <w:b/>
                <w:bCs/>
                <w:sz w:val="18"/>
                <w:szCs w:val="18"/>
                <w:lang w:val="en-GB" w:eastAsia="ro-RO"/>
              </w:rPr>
              <w:t>Other operating revenues</w:t>
            </w:r>
          </w:p>
        </w:tc>
        <w:tc>
          <w:tcPr>
            <w:tcW w:w="1197" w:type="dxa"/>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197" w:type="dxa"/>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238" w:type="dxa"/>
            <w:shd w:val="clear" w:color="auto" w:fill="auto"/>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197" w:type="dxa"/>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c>
          <w:tcPr>
            <w:tcW w:w="1287" w:type="dxa"/>
            <w:shd w:val="clear" w:color="auto" w:fill="auto"/>
            <w:vAlign w:val="center"/>
          </w:tcPr>
          <w:p w:rsidR="00037AE2" w:rsidRPr="00E4455B" w:rsidRDefault="00037AE2" w:rsidP="006D6854">
            <w:pPr>
              <w:spacing w:after="0" w:line="240" w:lineRule="auto"/>
              <w:ind w:firstLine="0"/>
              <w:jc w:val="right"/>
              <w:rPr>
                <w:rFonts w:ascii="Cambria" w:eastAsia="Times New Roman" w:hAnsi="Cambria" w:cs="Times New Roman"/>
                <w:sz w:val="18"/>
                <w:szCs w:val="18"/>
                <w:lang w:eastAsia="ro-RO"/>
              </w:rPr>
            </w:pPr>
          </w:p>
        </w:tc>
      </w:tr>
      <w:tr w:rsidR="007776DB" w:rsidRPr="00853B7E" w:rsidTr="00F21009">
        <w:trPr>
          <w:trHeight w:val="225"/>
          <w:tblCellSpacing w:w="20" w:type="dxa"/>
        </w:trPr>
        <w:tc>
          <w:tcPr>
            <w:tcW w:w="633" w:type="dxa"/>
          </w:tcPr>
          <w:p w:rsidR="007776DB" w:rsidRPr="00853B7E" w:rsidRDefault="007776DB" w:rsidP="006D6854">
            <w:pPr>
              <w:spacing w:after="0" w:line="240" w:lineRule="auto"/>
              <w:ind w:firstLine="0"/>
              <w:rPr>
                <w:rFonts w:ascii="Cambria" w:eastAsia="Times New Roman" w:hAnsi="Cambria" w:cs="Times New Roman"/>
                <w:sz w:val="18"/>
                <w:szCs w:val="18"/>
                <w:lang w:val="en-GB" w:eastAsia="ro-RO"/>
              </w:rPr>
            </w:pPr>
          </w:p>
        </w:tc>
        <w:tc>
          <w:tcPr>
            <w:tcW w:w="2195" w:type="dxa"/>
            <w:shd w:val="clear" w:color="auto" w:fill="auto"/>
            <w:vAlign w:val="center"/>
          </w:tcPr>
          <w:p w:rsidR="007776DB" w:rsidRPr="00853B7E" w:rsidRDefault="007776DB" w:rsidP="006D6854">
            <w:pPr>
              <w:spacing w:after="0" w:line="240" w:lineRule="auto"/>
              <w:ind w:firstLine="0"/>
              <w:rPr>
                <w:rFonts w:ascii="Cambria" w:eastAsia="Times New Roman" w:hAnsi="Cambria" w:cs="Times New Roman"/>
                <w:sz w:val="18"/>
                <w:szCs w:val="18"/>
                <w:lang w:val="en-GB" w:eastAsia="ro-RO"/>
              </w:rPr>
            </w:pPr>
            <w:r w:rsidRPr="00853B7E">
              <w:rPr>
                <w:rFonts w:ascii="Cambria" w:eastAsia="Times New Roman" w:hAnsi="Cambria" w:cs="Times New Roman"/>
                <w:sz w:val="18"/>
                <w:szCs w:val="18"/>
                <w:lang w:val="en-GB" w:eastAsia="ro-RO"/>
              </w:rPr>
              <w:t xml:space="preserve"> - </w:t>
            </w:r>
            <w:r w:rsidRPr="00853B7E">
              <w:rPr>
                <w:lang w:val="en-GB"/>
              </w:rPr>
              <w:t xml:space="preserve"> </w:t>
            </w:r>
            <w:r w:rsidRPr="00853B7E">
              <w:rPr>
                <w:rFonts w:ascii="Cambria" w:eastAsia="Times New Roman" w:hAnsi="Cambria" w:cs="Times New Roman"/>
                <w:sz w:val="18"/>
                <w:szCs w:val="18"/>
                <w:lang w:val="en-GB" w:eastAsia="ro-RO"/>
              </w:rPr>
              <w:t>thousand RON</w:t>
            </w:r>
          </w:p>
        </w:tc>
        <w:tc>
          <w:tcPr>
            <w:tcW w:w="1197" w:type="dxa"/>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126.459</w:t>
            </w:r>
          </w:p>
        </w:tc>
        <w:tc>
          <w:tcPr>
            <w:tcW w:w="1197" w:type="dxa"/>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84.858</w:t>
            </w:r>
          </w:p>
        </w:tc>
        <w:tc>
          <w:tcPr>
            <w:tcW w:w="1238" w:type="dxa"/>
            <w:shd w:val="clear" w:color="auto" w:fill="auto"/>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40.706</w:t>
            </w:r>
          </w:p>
        </w:tc>
        <w:tc>
          <w:tcPr>
            <w:tcW w:w="1197" w:type="dxa"/>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37.623</w:t>
            </w:r>
          </w:p>
        </w:tc>
        <w:tc>
          <w:tcPr>
            <w:tcW w:w="1287" w:type="dxa"/>
            <w:shd w:val="clear" w:color="auto" w:fill="auto"/>
            <w:vAlign w:val="center"/>
          </w:tcPr>
          <w:p w:rsidR="007776DB" w:rsidRPr="00DE498D" w:rsidRDefault="007776DB" w:rsidP="00F21009">
            <w:pPr>
              <w:spacing w:after="0" w:line="240" w:lineRule="auto"/>
              <w:ind w:firstLine="0"/>
              <w:jc w:val="right"/>
              <w:rPr>
                <w:rFonts w:ascii="Cambria" w:eastAsia="Times New Roman" w:hAnsi="Cambria" w:cs="Arial"/>
                <w:sz w:val="18"/>
                <w:szCs w:val="18"/>
                <w:lang w:val="ro-RO" w:eastAsia="ro-RO"/>
              </w:rPr>
            </w:pPr>
            <w:r w:rsidRPr="00DE498D">
              <w:rPr>
                <w:rFonts w:ascii="Cambria" w:eastAsia="Times New Roman" w:hAnsi="Cambria" w:cs="Arial"/>
                <w:sz w:val="18"/>
                <w:szCs w:val="18"/>
                <w:lang w:val="ro-RO" w:eastAsia="ro-RO"/>
              </w:rPr>
              <w:t>149,02</w:t>
            </w:r>
          </w:p>
        </w:tc>
      </w:tr>
      <w:tr w:rsidR="007776DB" w:rsidRPr="00853B7E" w:rsidTr="007776DB">
        <w:trPr>
          <w:trHeight w:val="365"/>
          <w:tblCellSpacing w:w="20" w:type="dxa"/>
        </w:trPr>
        <w:tc>
          <w:tcPr>
            <w:tcW w:w="633" w:type="dxa"/>
            <w:vMerge w:val="restart"/>
            <w:shd w:val="clear" w:color="auto" w:fill="FFFFFF" w:themeFill="background1"/>
          </w:tcPr>
          <w:p w:rsidR="007776DB" w:rsidRPr="00853B7E" w:rsidRDefault="007776DB" w:rsidP="006D6854">
            <w:pPr>
              <w:spacing w:after="0" w:line="240" w:lineRule="auto"/>
              <w:ind w:firstLine="0"/>
              <w:jc w:val="both"/>
              <w:rPr>
                <w:rFonts w:ascii="Cambria" w:eastAsia="Times New Roman" w:hAnsi="Cambria" w:cs="Times New Roman"/>
                <w:b/>
                <w:bCs/>
                <w:sz w:val="18"/>
                <w:szCs w:val="18"/>
                <w:lang w:val="en-GB" w:eastAsia="ro-RO"/>
              </w:rPr>
            </w:pPr>
          </w:p>
        </w:tc>
        <w:tc>
          <w:tcPr>
            <w:tcW w:w="8511" w:type="dxa"/>
            <w:gridSpan w:val="6"/>
            <w:shd w:val="clear" w:color="auto" w:fill="D6E0F4"/>
            <w:vAlign w:val="center"/>
          </w:tcPr>
          <w:p w:rsidR="007776DB" w:rsidRPr="00E4455B" w:rsidRDefault="007776DB" w:rsidP="007776DB">
            <w:pPr>
              <w:spacing w:after="0" w:line="240" w:lineRule="auto"/>
              <w:ind w:firstLine="0"/>
              <w:rPr>
                <w:rFonts w:ascii="Cambria" w:eastAsia="Calibri" w:hAnsi="Cambria" w:cs="Arial"/>
                <w:b/>
                <w:sz w:val="18"/>
                <w:szCs w:val="18"/>
                <w:lang w:eastAsia="en-US"/>
              </w:rPr>
            </w:pPr>
            <w:r>
              <w:rPr>
                <w:rFonts w:ascii="Cambria" w:eastAsia="Times New Roman" w:hAnsi="Cambria" w:cs="Times New Roman"/>
                <w:b/>
                <w:bCs/>
                <w:sz w:val="18"/>
                <w:szCs w:val="18"/>
                <w:lang w:val="en-GB" w:eastAsia="ro-RO"/>
              </w:rPr>
              <w:t xml:space="preserve">TOTAL </w:t>
            </w:r>
            <w:r w:rsidRPr="00853B7E">
              <w:rPr>
                <w:rFonts w:ascii="Cambria" w:eastAsia="Times New Roman" w:hAnsi="Cambria" w:cs="Times New Roman"/>
                <w:b/>
                <w:bCs/>
                <w:sz w:val="18"/>
                <w:szCs w:val="18"/>
                <w:lang w:val="en-GB" w:eastAsia="ro-RO"/>
              </w:rPr>
              <w:t xml:space="preserve">REVENUES FROM THE OPERATING ACTIVITY before the </w:t>
            </w:r>
            <w:r>
              <w:rPr>
                <w:rFonts w:ascii="Cambria" w:eastAsia="Times New Roman" w:hAnsi="Cambria" w:cs="Times New Roman"/>
                <w:b/>
                <w:bCs/>
                <w:sz w:val="18"/>
                <w:szCs w:val="18"/>
                <w:lang w:val="en-GB" w:eastAsia="ro-RO"/>
              </w:rPr>
              <w:t xml:space="preserve">balancing and the </w:t>
            </w:r>
            <w:r w:rsidRPr="00853B7E">
              <w:rPr>
                <w:rFonts w:ascii="Cambria" w:eastAsia="Times New Roman" w:hAnsi="Cambria" w:cs="Times New Roman"/>
                <w:b/>
                <w:bCs/>
                <w:sz w:val="18"/>
                <w:szCs w:val="18"/>
                <w:lang w:val="en-GB" w:eastAsia="ro-RO"/>
              </w:rPr>
              <w:t>construction activity according to IFRIC12</w:t>
            </w:r>
          </w:p>
        </w:tc>
      </w:tr>
      <w:tr w:rsidR="007776DB" w:rsidRPr="00853B7E" w:rsidTr="007776DB">
        <w:trPr>
          <w:trHeight w:val="365"/>
          <w:tblCellSpacing w:w="20" w:type="dxa"/>
        </w:trPr>
        <w:tc>
          <w:tcPr>
            <w:tcW w:w="633" w:type="dxa"/>
            <w:vMerge/>
            <w:shd w:val="clear" w:color="auto" w:fill="FFFFFF" w:themeFill="background1"/>
          </w:tcPr>
          <w:p w:rsidR="007776DB" w:rsidRPr="00853B7E" w:rsidRDefault="007776DB" w:rsidP="006D6854">
            <w:pPr>
              <w:spacing w:after="0" w:line="240" w:lineRule="auto"/>
              <w:ind w:firstLine="0"/>
              <w:jc w:val="both"/>
              <w:rPr>
                <w:rFonts w:ascii="Cambria" w:eastAsia="Times New Roman" w:hAnsi="Cambria" w:cs="Times New Roman"/>
                <w:b/>
                <w:bCs/>
                <w:sz w:val="18"/>
                <w:szCs w:val="18"/>
                <w:lang w:val="en-GB" w:eastAsia="ro-RO"/>
              </w:rPr>
            </w:pPr>
          </w:p>
        </w:tc>
        <w:tc>
          <w:tcPr>
            <w:tcW w:w="2195" w:type="dxa"/>
            <w:shd w:val="clear" w:color="auto" w:fill="FFFFFF" w:themeFill="background1"/>
            <w:vAlign w:val="center"/>
          </w:tcPr>
          <w:p w:rsidR="007776DB" w:rsidRPr="007776DB" w:rsidRDefault="007776DB" w:rsidP="006D6854">
            <w:pPr>
              <w:spacing w:after="0" w:line="240" w:lineRule="auto"/>
              <w:ind w:firstLine="0"/>
              <w:jc w:val="both"/>
              <w:rPr>
                <w:rFonts w:ascii="Cambria" w:eastAsia="Times New Roman" w:hAnsi="Cambria" w:cs="Times New Roman"/>
                <w:b/>
                <w:bCs/>
                <w:sz w:val="18"/>
                <w:szCs w:val="18"/>
                <w:lang w:val="en-GB" w:eastAsia="ro-RO"/>
              </w:rPr>
            </w:pPr>
            <w:r w:rsidRPr="007776DB">
              <w:rPr>
                <w:rFonts w:ascii="Cambria" w:eastAsia="Times New Roman" w:hAnsi="Cambria" w:cs="Times New Roman"/>
                <w:b/>
                <w:sz w:val="18"/>
                <w:szCs w:val="18"/>
                <w:lang w:val="en-GB" w:eastAsia="ro-RO"/>
              </w:rPr>
              <w:t xml:space="preserve">- </w:t>
            </w:r>
            <w:r w:rsidRPr="007776DB">
              <w:rPr>
                <w:b/>
                <w:lang w:val="en-GB"/>
              </w:rPr>
              <w:t xml:space="preserve"> </w:t>
            </w:r>
            <w:r w:rsidRPr="007776DB">
              <w:rPr>
                <w:rFonts w:ascii="Cambria" w:eastAsia="Times New Roman" w:hAnsi="Cambria" w:cs="Times New Roman"/>
                <w:b/>
                <w:sz w:val="18"/>
                <w:szCs w:val="18"/>
                <w:lang w:val="en-GB" w:eastAsia="ro-RO"/>
              </w:rPr>
              <w:t>thousand RON</w:t>
            </w:r>
          </w:p>
        </w:tc>
        <w:tc>
          <w:tcPr>
            <w:tcW w:w="1197" w:type="dxa"/>
            <w:shd w:val="clear" w:color="auto" w:fill="FFFFFF" w:themeFill="background1"/>
          </w:tcPr>
          <w:p w:rsidR="007776DB" w:rsidRPr="00DE498D" w:rsidRDefault="007776DB" w:rsidP="007776DB">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1.8</w:t>
            </w:r>
            <w:r>
              <w:rPr>
                <w:rFonts w:ascii="Cambria" w:eastAsia="Times New Roman" w:hAnsi="Cambria" w:cs="Arial"/>
                <w:b/>
                <w:bCs/>
                <w:sz w:val="18"/>
                <w:szCs w:val="18"/>
                <w:lang w:val="ro-RO" w:eastAsia="ro-RO"/>
              </w:rPr>
              <w:t>15</w:t>
            </w:r>
            <w:r w:rsidRPr="00DE498D">
              <w:rPr>
                <w:rFonts w:ascii="Cambria" w:eastAsia="Times New Roman" w:hAnsi="Cambria" w:cs="Arial"/>
                <w:b/>
                <w:bCs/>
                <w:sz w:val="18"/>
                <w:szCs w:val="18"/>
                <w:lang w:val="ro-RO" w:eastAsia="ro-RO"/>
              </w:rPr>
              <w:t>.</w:t>
            </w:r>
            <w:r>
              <w:rPr>
                <w:rFonts w:ascii="Cambria" w:eastAsia="Times New Roman" w:hAnsi="Cambria" w:cs="Arial"/>
                <w:b/>
                <w:bCs/>
                <w:sz w:val="18"/>
                <w:szCs w:val="18"/>
                <w:lang w:val="ro-RO" w:eastAsia="ro-RO"/>
              </w:rPr>
              <w:t>385</w:t>
            </w:r>
          </w:p>
        </w:tc>
        <w:tc>
          <w:tcPr>
            <w:tcW w:w="1197" w:type="dxa"/>
            <w:shd w:val="clear" w:color="auto" w:fill="FFFFFF" w:themeFill="background1"/>
          </w:tcPr>
          <w:p w:rsidR="007776DB" w:rsidRPr="00DE498D" w:rsidRDefault="007776DB" w:rsidP="007776DB">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1.663.398</w:t>
            </w:r>
          </w:p>
        </w:tc>
        <w:tc>
          <w:tcPr>
            <w:tcW w:w="1238" w:type="dxa"/>
            <w:shd w:val="clear" w:color="auto" w:fill="FFFFFF" w:themeFill="background1"/>
            <w:vAlign w:val="center"/>
          </w:tcPr>
          <w:p w:rsidR="007776DB" w:rsidRPr="00DE498D" w:rsidRDefault="007776DB" w:rsidP="007776DB">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1.655.319</w:t>
            </w:r>
          </w:p>
        </w:tc>
        <w:tc>
          <w:tcPr>
            <w:tcW w:w="1197" w:type="dxa"/>
            <w:shd w:val="clear" w:color="auto" w:fill="FFFFFF" w:themeFill="background1"/>
            <w:vAlign w:val="center"/>
          </w:tcPr>
          <w:p w:rsidR="007776DB" w:rsidRPr="00DE498D" w:rsidRDefault="007776DB" w:rsidP="007776DB">
            <w:pPr>
              <w:spacing w:after="0" w:line="240" w:lineRule="auto"/>
              <w:ind w:firstLine="0"/>
              <w:jc w:val="right"/>
              <w:rPr>
                <w:rFonts w:ascii="Cambria" w:eastAsia="Times New Roman" w:hAnsi="Cambria" w:cs="Arial"/>
                <w:b/>
                <w:bCs/>
                <w:sz w:val="18"/>
                <w:szCs w:val="18"/>
                <w:lang w:val="ro-RO" w:eastAsia="ro-RO"/>
              </w:rPr>
            </w:pPr>
            <w:r w:rsidRPr="00DE498D">
              <w:rPr>
                <w:rFonts w:ascii="Cambria" w:eastAsia="Times New Roman" w:hAnsi="Cambria" w:cs="Arial"/>
                <w:b/>
                <w:bCs/>
                <w:sz w:val="18"/>
                <w:szCs w:val="18"/>
                <w:lang w:val="ro-RO" w:eastAsia="ro-RO"/>
              </w:rPr>
              <w:t>1.516.640</w:t>
            </w:r>
          </w:p>
        </w:tc>
        <w:tc>
          <w:tcPr>
            <w:tcW w:w="1287" w:type="dxa"/>
            <w:shd w:val="clear" w:color="auto" w:fill="FFFFFF" w:themeFill="background1"/>
            <w:vAlign w:val="center"/>
          </w:tcPr>
          <w:p w:rsidR="007776DB" w:rsidRPr="00DE498D" w:rsidRDefault="007776DB" w:rsidP="007776DB">
            <w:pPr>
              <w:spacing w:after="0" w:line="240" w:lineRule="auto"/>
              <w:ind w:firstLine="0"/>
              <w:jc w:val="right"/>
              <w:rPr>
                <w:rFonts w:ascii="Cambria" w:eastAsia="Times New Roman" w:hAnsi="Cambria" w:cs="Arial"/>
                <w:b/>
                <w:sz w:val="18"/>
                <w:szCs w:val="18"/>
                <w:lang w:val="ro-RO" w:eastAsia="ro-RO"/>
              </w:rPr>
            </w:pPr>
            <w:r w:rsidRPr="00DE498D">
              <w:rPr>
                <w:rFonts w:ascii="Cambria" w:eastAsia="Times New Roman" w:hAnsi="Cambria" w:cs="Arial"/>
                <w:b/>
                <w:sz w:val="18"/>
                <w:szCs w:val="18"/>
                <w:lang w:val="ro-RO" w:eastAsia="ro-RO"/>
              </w:rPr>
              <w:t>1</w:t>
            </w:r>
            <w:r>
              <w:rPr>
                <w:rFonts w:ascii="Cambria" w:eastAsia="Times New Roman" w:hAnsi="Cambria" w:cs="Arial"/>
                <w:b/>
                <w:sz w:val="18"/>
                <w:szCs w:val="18"/>
                <w:lang w:val="ro-RO" w:eastAsia="ro-RO"/>
              </w:rPr>
              <w:t>09</w:t>
            </w:r>
            <w:r w:rsidRPr="00DE498D">
              <w:rPr>
                <w:rFonts w:ascii="Cambria" w:eastAsia="Times New Roman" w:hAnsi="Cambria" w:cs="Arial"/>
                <w:b/>
                <w:sz w:val="18"/>
                <w:szCs w:val="18"/>
                <w:lang w:val="ro-RO" w:eastAsia="ro-RO"/>
              </w:rPr>
              <w:t>,</w:t>
            </w:r>
            <w:r>
              <w:rPr>
                <w:rFonts w:ascii="Cambria" w:eastAsia="Times New Roman" w:hAnsi="Cambria" w:cs="Arial"/>
                <w:b/>
                <w:sz w:val="18"/>
                <w:szCs w:val="18"/>
                <w:lang w:val="ro-RO" w:eastAsia="ro-RO"/>
              </w:rPr>
              <w:t>14</w:t>
            </w:r>
          </w:p>
        </w:tc>
      </w:tr>
    </w:tbl>
    <w:p w:rsidR="0037604E" w:rsidRPr="00853B7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853B7E" w:rsidRDefault="00E80C4A"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Table 41</w:t>
      </w:r>
      <w:r w:rsidR="0037604E" w:rsidRPr="00853B7E">
        <w:rPr>
          <w:rFonts w:ascii="Cambria" w:eastAsia="Times New Roman" w:hAnsi="Cambria" w:cs="Times New Roman"/>
          <w:b/>
          <w:i/>
          <w:sz w:val="16"/>
          <w:szCs w:val="16"/>
          <w:lang w:val="en-GB" w:eastAsia="ro-RO"/>
        </w:rPr>
        <w:t>–Income from the operating activity achieved in 2016 vs 2015</w:t>
      </w: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853B7E" w:rsidRDefault="0037604E" w:rsidP="0037604E">
      <w:pPr>
        <w:spacing w:after="0" w:line="240" w:lineRule="auto"/>
        <w:ind w:firstLine="0"/>
        <w:jc w:val="both"/>
        <w:rPr>
          <w:rFonts w:ascii="Cambria" w:eastAsia="Times New Roman" w:hAnsi="Cambria" w:cs="Times New Roman"/>
          <w:b/>
          <w:i/>
          <w:sz w:val="24"/>
          <w:szCs w:val="24"/>
          <w:highlight w:val="yellow"/>
          <w:lang w:val="en-GB" w:eastAsia="ro-RO"/>
        </w:rPr>
      </w:pP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r w:rsidRPr="00853B7E">
        <w:rPr>
          <w:rFonts w:ascii="Cambria" w:eastAsia="Times New Roman" w:hAnsi="Cambria" w:cs="Times New Roman"/>
          <w:b/>
          <w:i/>
          <w:sz w:val="24"/>
          <w:szCs w:val="24"/>
          <w:lang w:val="en-GB" w:eastAsia="ro-RO"/>
        </w:rPr>
        <w:t>Operating expenses</w:t>
      </w:r>
    </w:p>
    <w:p w:rsidR="0037604E" w:rsidRPr="00853B7E" w:rsidRDefault="0037604E" w:rsidP="0037604E">
      <w:pPr>
        <w:spacing w:after="0" w:line="240" w:lineRule="auto"/>
        <w:ind w:firstLine="0"/>
        <w:jc w:val="both"/>
        <w:rPr>
          <w:rFonts w:ascii="Cambria" w:eastAsia="Times New Roman" w:hAnsi="Cambria" w:cs="Times New Roman"/>
          <w:b/>
          <w:i/>
          <w:sz w:val="24"/>
          <w:szCs w:val="24"/>
          <w:lang w:val="en-GB" w:eastAsia="ro-RO"/>
        </w:rPr>
      </w:pPr>
    </w:p>
    <w:p w:rsidR="0037604E" w:rsidRPr="00853B7E" w:rsidRDefault="0037604E" w:rsidP="0037604E">
      <w:pPr>
        <w:spacing w:after="0" w:line="240" w:lineRule="auto"/>
        <w:ind w:firstLine="0"/>
        <w:jc w:val="both"/>
        <w:rPr>
          <w:rFonts w:ascii="Cambria" w:eastAsia="Times New Roman" w:hAnsi="Cambria" w:cs="Times New Roman"/>
          <w:sz w:val="24"/>
          <w:szCs w:val="24"/>
          <w:lang w:val="en-GB" w:eastAsia="ro-RO"/>
        </w:rPr>
      </w:pPr>
      <w:r w:rsidRPr="00853B7E">
        <w:rPr>
          <w:rFonts w:ascii="Cambria" w:eastAsia="Times New Roman" w:hAnsi="Cambria" w:cs="Times New Roman"/>
          <w:sz w:val="24"/>
          <w:szCs w:val="24"/>
          <w:lang w:val="en-GB" w:eastAsia="ro-RO"/>
        </w:rPr>
        <w:t>The expenses from the ope</w:t>
      </w:r>
      <w:r w:rsidR="00853B7E">
        <w:rPr>
          <w:rFonts w:ascii="Cambria" w:eastAsia="Times New Roman" w:hAnsi="Cambria" w:cs="Times New Roman"/>
          <w:sz w:val="24"/>
          <w:szCs w:val="24"/>
          <w:lang w:val="en-GB" w:eastAsia="ro-RO"/>
        </w:rPr>
        <w:t>rating activity achieved in 2016</w:t>
      </w:r>
      <w:r w:rsidRPr="00853B7E">
        <w:rPr>
          <w:rFonts w:ascii="Cambria" w:eastAsia="Times New Roman" w:hAnsi="Cambria" w:cs="Times New Roman"/>
          <w:sz w:val="24"/>
          <w:szCs w:val="24"/>
          <w:lang w:val="en-GB" w:eastAsia="ro-RO"/>
        </w:rPr>
        <w:t xml:space="preserve"> are:</w:t>
      </w:r>
    </w:p>
    <w:tbl>
      <w:tblPr>
        <w:tblW w:w="9150" w:type="dxa"/>
        <w:tblCellSpacing w:w="20" w:type="dxa"/>
        <w:tblInd w:w="93"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ayout w:type="fixed"/>
        <w:tblLook w:val="04A0" w:firstRow="1" w:lastRow="0" w:firstColumn="1" w:lastColumn="0" w:noHBand="0" w:noVBand="1"/>
      </w:tblPr>
      <w:tblGrid>
        <w:gridCol w:w="755"/>
        <w:gridCol w:w="4615"/>
        <w:gridCol w:w="1260"/>
        <w:gridCol w:w="1170"/>
        <w:gridCol w:w="1350"/>
      </w:tblGrid>
      <w:tr w:rsidR="006D6854" w:rsidRPr="00853B7E" w:rsidTr="006D6854">
        <w:trPr>
          <w:trHeight w:val="400"/>
          <w:tblCellSpacing w:w="20" w:type="dxa"/>
        </w:trPr>
        <w:tc>
          <w:tcPr>
            <w:tcW w:w="695" w:type="dxa"/>
            <w:vMerge w:val="restart"/>
            <w:shd w:val="clear" w:color="auto" w:fill="D6E0F4"/>
            <w:noWrap/>
            <w:vAlign w:val="center"/>
            <w:hideMark/>
          </w:tcPr>
          <w:p w:rsidR="006D6854" w:rsidRPr="00853B7E" w:rsidRDefault="006D6854" w:rsidP="0037604E">
            <w:pPr>
              <w:spacing w:after="0" w:line="240" w:lineRule="auto"/>
              <w:ind w:firstLine="0"/>
              <w:jc w:val="center"/>
              <w:rPr>
                <w:rFonts w:ascii="Cambria" w:eastAsia="Times New Roman" w:hAnsi="Cambria" w:cs="Arial"/>
                <w:b/>
                <w:bCs/>
                <w:sz w:val="20"/>
                <w:szCs w:val="20"/>
                <w:lang w:val="en-GB" w:eastAsia="en-US"/>
              </w:rPr>
            </w:pPr>
            <w:r w:rsidRPr="00853B7E">
              <w:rPr>
                <w:rFonts w:ascii="Cambria" w:eastAsia="Times New Roman" w:hAnsi="Cambria" w:cs="Times New Roman"/>
                <w:b/>
                <w:i/>
                <w:sz w:val="16"/>
                <w:szCs w:val="16"/>
                <w:lang w:val="en-GB" w:eastAsia="ro-RO"/>
              </w:rPr>
              <w:t xml:space="preserve">    </w:t>
            </w:r>
            <w:r w:rsidRPr="00853B7E">
              <w:rPr>
                <w:rFonts w:ascii="Cambria" w:eastAsia="Times New Roman" w:hAnsi="Cambria" w:cs="Arial"/>
                <w:b/>
                <w:bCs/>
                <w:sz w:val="20"/>
                <w:szCs w:val="20"/>
                <w:lang w:val="en-GB" w:eastAsia="en-US"/>
              </w:rPr>
              <w:t>Tag no.</w:t>
            </w:r>
          </w:p>
        </w:tc>
        <w:tc>
          <w:tcPr>
            <w:tcW w:w="4575" w:type="dxa"/>
            <w:vMerge w:val="restart"/>
            <w:shd w:val="clear" w:color="auto" w:fill="D6E0F4"/>
            <w:noWrap/>
            <w:vAlign w:val="center"/>
            <w:hideMark/>
          </w:tcPr>
          <w:p w:rsidR="006D6854" w:rsidRPr="00853B7E" w:rsidRDefault="006D6854" w:rsidP="0037604E">
            <w:pPr>
              <w:spacing w:after="0" w:line="240" w:lineRule="auto"/>
              <w:ind w:firstLine="0"/>
              <w:jc w:val="center"/>
              <w:rPr>
                <w:rFonts w:ascii="Cambria" w:eastAsia="Times New Roman" w:hAnsi="Cambria" w:cs="Arial"/>
                <w:b/>
                <w:bCs/>
                <w:sz w:val="20"/>
                <w:szCs w:val="20"/>
                <w:lang w:val="en-GB" w:eastAsia="en-US"/>
              </w:rPr>
            </w:pPr>
            <w:r w:rsidRPr="00853B7E">
              <w:rPr>
                <w:rFonts w:ascii="Cambria" w:eastAsia="Times New Roman" w:hAnsi="Cambria" w:cs="Arial"/>
                <w:b/>
                <w:bCs/>
                <w:sz w:val="20"/>
                <w:szCs w:val="20"/>
                <w:lang w:val="en-GB" w:eastAsia="en-US"/>
              </w:rPr>
              <w:t>SPECIFICATION</w:t>
            </w:r>
          </w:p>
        </w:tc>
        <w:tc>
          <w:tcPr>
            <w:tcW w:w="2390" w:type="dxa"/>
            <w:gridSpan w:val="2"/>
            <w:shd w:val="clear" w:color="auto" w:fill="D6E0F4"/>
            <w:vAlign w:val="center"/>
            <w:hideMark/>
          </w:tcPr>
          <w:p w:rsidR="006D6854" w:rsidRPr="00622843" w:rsidRDefault="006D6854" w:rsidP="006D6854">
            <w:pPr>
              <w:spacing w:after="0" w:line="240" w:lineRule="auto"/>
              <w:ind w:firstLine="0"/>
              <w:jc w:val="center"/>
              <w:rPr>
                <w:rFonts w:ascii="Cambria" w:eastAsia="Times New Roman" w:hAnsi="Cambria" w:cs="Arial"/>
                <w:b/>
                <w:bCs/>
                <w:sz w:val="20"/>
                <w:szCs w:val="20"/>
                <w:lang w:eastAsia="en-US"/>
              </w:rPr>
            </w:pPr>
            <w:r>
              <w:rPr>
                <w:rFonts w:ascii="Cambria" w:eastAsia="Times New Roman" w:hAnsi="Cambria" w:cs="Arial"/>
                <w:b/>
                <w:bCs/>
                <w:sz w:val="20"/>
                <w:szCs w:val="20"/>
                <w:lang w:eastAsia="en-US"/>
              </w:rPr>
              <w:t>Achievements</w:t>
            </w:r>
            <w:r w:rsidRPr="00622843">
              <w:rPr>
                <w:rFonts w:ascii="Cambria" w:eastAsia="Times New Roman" w:hAnsi="Cambria" w:cs="Arial"/>
                <w:b/>
                <w:bCs/>
                <w:sz w:val="20"/>
                <w:szCs w:val="20"/>
                <w:lang w:eastAsia="en-US"/>
              </w:rPr>
              <w:t xml:space="preserve"> </w:t>
            </w:r>
            <w:r>
              <w:rPr>
                <w:rFonts w:ascii="Cambria" w:eastAsia="Times New Roman" w:hAnsi="Cambria" w:cs="Arial"/>
                <w:b/>
                <w:bCs/>
                <w:sz w:val="20"/>
                <w:szCs w:val="20"/>
                <w:lang w:eastAsia="en-US"/>
              </w:rPr>
              <w:t xml:space="preserve">           </w:t>
            </w:r>
            <w:r w:rsidRPr="00622843">
              <w:rPr>
                <w:rFonts w:ascii="Cambria" w:eastAsia="Times New Roman" w:hAnsi="Cambria" w:cs="Arial"/>
                <w:b/>
                <w:bCs/>
                <w:sz w:val="20"/>
                <w:szCs w:val="20"/>
                <w:lang w:eastAsia="en-US"/>
              </w:rPr>
              <w:t>(</w:t>
            </w:r>
            <w:r>
              <w:rPr>
                <w:rFonts w:ascii="Cambria" w:eastAsia="Times New Roman" w:hAnsi="Cambria" w:cs="Arial"/>
                <w:b/>
                <w:bCs/>
                <w:sz w:val="20"/>
                <w:szCs w:val="20"/>
                <w:lang w:eastAsia="en-US"/>
              </w:rPr>
              <w:t>RON thousand</w:t>
            </w:r>
            <w:r w:rsidRPr="00622843">
              <w:rPr>
                <w:rFonts w:ascii="Cambria" w:eastAsia="Times New Roman" w:hAnsi="Cambria" w:cs="Arial"/>
                <w:b/>
                <w:bCs/>
                <w:sz w:val="20"/>
                <w:szCs w:val="20"/>
                <w:lang w:eastAsia="en-US"/>
              </w:rPr>
              <w:t xml:space="preserve">) </w:t>
            </w:r>
          </w:p>
        </w:tc>
        <w:tc>
          <w:tcPr>
            <w:tcW w:w="1290" w:type="dxa"/>
            <w:vMerge w:val="restart"/>
            <w:shd w:val="clear" w:color="auto" w:fill="D6E0F4"/>
          </w:tcPr>
          <w:p w:rsidR="006D6854" w:rsidRDefault="0033477A" w:rsidP="006D6854">
            <w:pPr>
              <w:spacing w:after="0" w:line="240" w:lineRule="auto"/>
              <w:ind w:firstLine="0"/>
              <w:jc w:val="center"/>
              <w:rPr>
                <w:rFonts w:ascii="Cambria" w:eastAsia="Times New Roman" w:hAnsi="Cambria" w:cs="Arial"/>
                <w:b/>
                <w:bCs/>
                <w:sz w:val="20"/>
                <w:szCs w:val="20"/>
                <w:lang w:eastAsia="en-US"/>
              </w:rPr>
            </w:pPr>
            <w:r>
              <w:rPr>
                <w:rFonts w:ascii="Cambria" w:eastAsia="Times New Roman" w:hAnsi="Cambria" w:cs="Arial"/>
                <w:b/>
                <w:bCs/>
                <w:sz w:val="20"/>
                <w:szCs w:val="20"/>
                <w:lang w:eastAsia="en-US"/>
              </w:rPr>
              <w:t>Dynamics</w:t>
            </w:r>
            <w:r w:rsidRPr="00622843">
              <w:rPr>
                <w:rFonts w:ascii="Cambria" w:eastAsia="Times New Roman" w:hAnsi="Cambria" w:cs="Arial"/>
                <w:b/>
                <w:bCs/>
                <w:sz w:val="20"/>
                <w:szCs w:val="20"/>
                <w:lang w:eastAsia="en-US"/>
              </w:rPr>
              <w:t xml:space="preserve"> (%)</w:t>
            </w:r>
          </w:p>
        </w:tc>
      </w:tr>
      <w:tr w:rsidR="006D6854" w:rsidRPr="00853B7E" w:rsidTr="006D6854">
        <w:trPr>
          <w:trHeight w:val="220"/>
          <w:tblCellSpacing w:w="20" w:type="dxa"/>
        </w:trPr>
        <w:tc>
          <w:tcPr>
            <w:tcW w:w="695" w:type="dxa"/>
            <w:vMerge/>
            <w:shd w:val="clear" w:color="auto" w:fill="D6E0F4"/>
            <w:noWrap/>
            <w:vAlign w:val="center"/>
            <w:hideMark/>
          </w:tcPr>
          <w:p w:rsidR="006D6854" w:rsidRPr="00853B7E" w:rsidRDefault="006D6854" w:rsidP="0037604E">
            <w:pPr>
              <w:spacing w:after="0" w:line="240" w:lineRule="auto"/>
              <w:ind w:firstLine="0"/>
              <w:rPr>
                <w:rFonts w:ascii="Cambria" w:eastAsia="Times New Roman" w:hAnsi="Cambria" w:cs="Arial"/>
                <w:sz w:val="20"/>
                <w:szCs w:val="20"/>
                <w:lang w:val="en-GB" w:eastAsia="en-US"/>
              </w:rPr>
            </w:pPr>
          </w:p>
        </w:tc>
        <w:tc>
          <w:tcPr>
            <w:tcW w:w="4575" w:type="dxa"/>
            <w:vMerge/>
            <w:shd w:val="clear" w:color="auto" w:fill="D6E0F4"/>
            <w:noWrap/>
            <w:vAlign w:val="center"/>
            <w:hideMark/>
          </w:tcPr>
          <w:p w:rsidR="006D6854" w:rsidRPr="00853B7E" w:rsidRDefault="006D6854" w:rsidP="0037604E">
            <w:pPr>
              <w:spacing w:after="0" w:line="240" w:lineRule="auto"/>
              <w:ind w:firstLine="0"/>
              <w:jc w:val="center"/>
              <w:rPr>
                <w:rFonts w:ascii="Cambria" w:eastAsia="Times New Roman" w:hAnsi="Cambria" w:cs="Arial"/>
                <w:b/>
                <w:bCs/>
                <w:sz w:val="20"/>
                <w:szCs w:val="20"/>
                <w:lang w:val="en-GB" w:eastAsia="en-US"/>
              </w:rPr>
            </w:pPr>
          </w:p>
        </w:tc>
        <w:tc>
          <w:tcPr>
            <w:tcW w:w="1220" w:type="dxa"/>
            <w:shd w:val="clear" w:color="auto" w:fill="D6E0F4"/>
            <w:vAlign w:val="center"/>
            <w:hideMark/>
          </w:tcPr>
          <w:p w:rsidR="006D6854" w:rsidRPr="00622843" w:rsidRDefault="006D6854" w:rsidP="001C15B8">
            <w:pPr>
              <w:spacing w:after="0" w:line="240" w:lineRule="auto"/>
              <w:ind w:firstLine="0"/>
              <w:jc w:val="center"/>
              <w:rPr>
                <w:rFonts w:ascii="Cambria" w:eastAsia="Times New Roman" w:hAnsi="Cambria" w:cs="Arial"/>
                <w:b/>
                <w:bCs/>
                <w:sz w:val="20"/>
                <w:szCs w:val="20"/>
                <w:lang w:eastAsia="en-US"/>
              </w:rPr>
            </w:pPr>
            <w:r w:rsidRPr="00622843">
              <w:rPr>
                <w:rFonts w:ascii="Cambria" w:eastAsia="Times New Roman" w:hAnsi="Cambria" w:cs="Arial"/>
                <w:b/>
                <w:bCs/>
                <w:sz w:val="20"/>
                <w:szCs w:val="20"/>
                <w:lang w:eastAsia="en-US"/>
              </w:rPr>
              <w:t>2016</w:t>
            </w:r>
          </w:p>
        </w:tc>
        <w:tc>
          <w:tcPr>
            <w:tcW w:w="1130" w:type="dxa"/>
            <w:shd w:val="clear" w:color="auto" w:fill="D6E0F4"/>
            <w:vAlign w:val="center"/>
            <w:hideMark/>
          </w:tcPr>
          <w:p w:rsidR="006D6854" w:rsidRPr="00622843" w:rsidRDefault="006D6854" w:rsidP="001C15B8">
            <w:pPr>
              <w:spacing w:after="0" w:line="240" w:lineRule="auto"/>
              <w:ind w:firstLine="0"/>
              <w:jc w:val="center"/>
              <w:rPr>
                <w:rFonts w:ascii="Cambria" w:eastAsia="Times New Roman" w:hAnsi="Cambria" w:cs="Arial"/>
                <w:b/>
                <w:bCs/>
                <w:sz w:val="20"/>
                <w:szCs w:val="20"/>
                <w:lang w:eastAsia="en-US"/>
              </w:rPr>
            </w:pPr>
            <w:r w:rsidRPr="00622843">
              <w:rPr>
                <w:rFonts w:ascii="Cambria" w:eastAsia="Times New Roman" w:hAnsi="Cambria" w:cs="Arial"/>
                <w:b/>
                <w:bCs/>
                <w:sz w:val="20"/>
                <w:szCs w:val="20"/>
                <w:lang w:eastAsia="en-US"/>
              </w:rPr>
              <w:t>2015</w:t>
            </w:r>
          </w:p>
        </w:tc>
        <w:tc>
          <w:tcPr>
            <w:tcW w:w="1290" w:type="dxa"/>
            <w:vMerge/>
            <w:shd w:val="clear" w:color="auto" w:fill="D6E0F4"/>
          </w:tcPr>
          <w:p w:rsidR="006D6854" w:rsidRPr="00622843" w:rsidRDefault="006D6854" w:rsidP="001C15B8">
            <w:pPr>
              <w:spacing w:after="0" w:line="240" w:lineRule="auto"/>
              <w:ind w:firstLine="0"/>
              <w:jc w:val="center"/>
              <w:rPr>
                <w:rFonts w:ascii="Cambria" w:eastAsia="Times New Roman" w:hAnsi="Cambria" w:cs="Arial"/>
                <w:b/>
                <w:bCs/>
                <w:sz w:val="20"/>
                <w:szCs w:val="20"/>
                <w:lang w:eastAsia="en-US"/>
              </w:rPr>
            </w:pPr>
          </w:p>
        </w:tc>
      </w:tr>
      <w:tr w:rsidR="006D6854" w:rsidRPr="00853B7E" w:rsidTr="006D6854">
        <w:trPr>
          <w:trHeight w:val="290"/>
          <w:tblCellSpacing w:w="20" w:type="dxa"/>
        </w:trPr>
        <w:tc>
          <w:tcPr>
            <w:tcW w:w="695" w:type="dxa"/>
            <w:shd w:val="clear" w:color="auto" w:fill="D6E0F4"/>
            <w:noWrap/>
            <w:vAlign w:val="center"/>
            <w:hideMark/>
          </w:tcPr>
          <w:p w:rsidR="006D6854" w:rsidRPr="00853B7E" w:rsidRDefault="006D6854"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0</w:t>
            </w:r>
          </w:p>
        </w:tc>
        <w:tc>
          <w:tcPr>
            <w:tcW w:w="4575" w:type="dxa"/>
            <w:shd w:val="clear" w:color="auto" w:fill="D6E0F4"/>
            <w:noWrap/>
            <w:vAlign w:val="center"/>
            <w:hideMark/>
          </w:tcPr>
          <w:p w:rsidR="006D6854" w:rsidRPr="00853B7E" w:rsidRDefault="006D6854"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1</w:t>
            </w:r>
          </w:p>
        </w:tc>
        <w:tc>
          <w:tcPr>
            <w:tcW w:w="1220" w:type="dxa"/>
            <w:shd w:val="clear" w:color="auto" w:fill="D6E0F4"/>
            <w:vAlign w:val="center"/>
            <w:hideMark/>
          </w:tcPr>
          <w:p w:rsidR="006D6854" w:rsidRPr="00622843" w:rsidRDefault="006D6854" w:rsidP="001C15B8">
            <w:pPr>
              <w:spacing w:after="0" w:line="240" w:lineRule="auto"/>
              <w:ind w:firstLine="0"/>
              <w:jc w:val="center"/>
              <w:rPr>
                <w:rFonts w:ascii="Cambria" w:eastAsia="Times New Roman" w:hAnsi="Cambria" w:cs="Arial"/>
                <w:sz w:val="18"/>
                <w:szCs w:val="18"/>
                <w:lang w:eastAsia="en-US"/>
              </w:rPr>
            </w:pPr>
            <w:r w:rsidRPr="00622843">
              <w:rPr>
                <w:rFonts w:ascii="Cambria" w:eastAsia="Times New Roman" w:hAnsi="Cambria" w:cs="Arial"/>
                <w:sz w:val="18"/>
                <w:szCs w:val="18"/>
                <w:lang w:eastAsia="en-US"/>
              </w:rPr>
              <w:t>2</w:t>
            </w:r>
          </w:p>
        </w:tc>
        <w:tc>
          <w:tcPr>
            <w:tcW w:w="1130" w:type="dxa"/>
            <w:shd w:val="clear" w:color="auto" w:fill="D6E0F4"/>
            <w:vAlign w:val="center"/>
            <w:hideMark/>
          </w:tcPr>
          <w:p w:rsidR="006D6854" w:rsidRPr="00622843" w:rsidRDefault="006D6854" w:rsidP="001C15B8">
            <w:pPr>
              <w:spacing w:after="0" w:line="240" w:lineRule="auto"/>
              <w:ind w:firstLine="0"/>
              <w:jc w:val="center"/>
              <w:rPr>
                <w:rFonts w:ascii="Cambria" w:eastAsia="Times New Roman" w:hAnsi="Cambria" w:cs="Arial"/>
                <w:sz w:val="18"/>
                <w:szCs w:val="18"/>
                <w:lang w:eastAsia="en-US"/>
              </w:rPr>
            </w:pPr>
            <w:r w:rsidRPr="00622843">
              <w:rPr>
                <w:rFonts w:ascii="Cambria" w:eastAsia="Times New Roman" w:hAnsi="Cambria" w:cs="Arial"/>
                <w:sz w:val="18"/>
                <w:szCs w:val="18"/>
                <w:lang w:eastAsia="en-US"/>
              </w:rPr>
              <w:t>3</w:t>
            </w:r>
          </w:p>
        </w:tc>
        <w:tc>
          <w:tcPr>
            <w:tcW w:w="1290" w:type="dxa"/>
            <w:shd w:val="clear" w:color="auto" w:fill="D6E0F4"/>
          </w:tcPr>
          <w:p w:rsidR="006D6854" w:rsidRPr="00622843" w:rsidRDefault="0033477A" w:rsidP="001C15B8">
            <w:pPr>
              <w:spacing w:after="0" w:line="240" w:lineRule="auto"/>
              <w:ind w:firstLine="0"/>
              <w:jc w:val="center"/>
              <w:rPr>
                <w:rFonts w:ascii="Cambria" w:eastAsia="Times New Roman" w:hAnsi="Cambria" w:cs="Arial"/>
                <w:sz w:val="18"/>
                <w:szCs w:val="18"/>
                <w:lang w:eastAsia="en-US"/>
              </w:rPr>
            </w:pPr>
            <w:r w:rsidRPr="00622843">
              <w:rPr>
                <w:rFonts w:ascii="Cambria" w:eastAsia="Times New Roman" w:hAnsi="Cambria" w:cs="Arial"/>
                <w:sz w:val="18"/>
                <w:szCs w:val="18"/>
                <w:lang w:eastAsia="en-US"/>
              </w:rPr>
              <w:t>4=2/3*100</w:t>
            </w:r>
          </w:p>
        </w:tc>
      </w:tr>
      <w:tr w:rsidR="0033477A" w:rsidRPr="00853B7E" w:rsidTr="001C15B8">
        <w:trPr>
          <w:trHeight w:val="218"/>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1.</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Depreciation</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208.663</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193.401</w:t>
            </w:r>
          </w:p>
        </w:tc>
        <w:tc>
          <w:tcPr>
            <w:tcW w:w="1290" w:type="dxa"/>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107,89</w:t>
            </w:r>
          </w:p>
        </w:tc>
      </w:tr>
      <w:tr w:rsidR="0033477A" w:rsidRPr="00853B7E" w:rsidTr="001C15B8">
        <w:trPr>
          <w:trHeight w:val="330"/>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2.</w:t>
            </w:r>
          </w:p>
        </w:tc>
        <w:tc>
          <w:tcPr>
            <w:tcW w:w="4575" w:type="dxa"/>
            <w:shd w:val="clear" w:color="auto" w:fill="auto"/>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Times New Roman"/>
                <w:sz w:val="18"/>
                <w:szCs w:val="18"/>
                <w:lang w:val="en-GB" w:eastAsia="ro-RO"/>
              </w:rPr>
              <w:t xml:space="preserve">Allowances, salaries, other salary related expenses and benefits granted to employees </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369.161</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357.731</w:t>
            </w:r>
          </w:p>
        </w:tc>
        <w:tc>
          <w:tcPr>
            <w:tcW w:w="1290" w:type="dxa"/>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103,19</w:t>
            </w:r>
          </w:p>
        </w:tc>
      </w:tr>
      <w:tr w:rsidR="0033477A" w:rsidRPr="00853B7E" w:rsidTr="001C15B8">
        <w:trPr>
          <w:trHeight w:val="423"/>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3.</w:t>
            </w:r>
          </w:p>
        </w:tc>
        <w:tc>
          <w:tcPr>
            <w:tcW w:w="4575" w:type="dxa"/>
            <w:shd w:val="clear" w:color="auto" w:fill="auto"/>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Technological consumption, materials and consumables used, of which:</w:t>
            </w:r>
          </w:p>
        </w:tc>
        <w:tc>
          <w:tcPr>
            <w:tcW w:w="1220" w:type="dxa"/>
            <w:shd w:val="clear" w:color="auto" w:fill="auto"/>
            <w:noWrap/>
            <w:vAlign w:val="center"/>
          </w:tcPr>
          <w:p w:rsidR="0033477A" w:rsidRPr="00622843" w:rsidRDefault="000168EB"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w:t>
            </w:r>
            <w:r>
              <w:rPr>
                <w:rFonts w:ascii="Cambria" w:eastAsia="Calibri" w:hAnsi="Cambria" w:cs="Arial"/>
                <w:sz w:val="18"/>
                <w:szCs w:val="18"/>
                <w:lang w:eastAsia="en-US"/>
              </w:rPr>
              <w:t>10</w:t>
            </w:r>
            <w:r w:rsidRPr="00622843">
              <w:rPr>
                <w:rFonts w:ascii="Cambria" w:eastAsia="Calibri" w:hAnsi="Cambria" w:cs="Arial"/>
                <w:sz w:val="18"/>
                <w:szCs w:val="18"/>
                <w:lang w:eastAsia="en-US"/>
              </w:rPr>
              <w:t>.</w:t>
            </w:r>
            <w:r>
              <w:rPr>
                <w:rFonts w:ascii="Cambria" w:eastAsia="Calibri" w:hAnsi="Cambria" w:cs="Arial"/>
                <w:sz w:val="18"/>
                <w:szCs w:val="18"/>
                <w:lang w:eastAsia="en-US"/>
              </w:rPr>
              <w:t>011</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106.966</w:t>
            </w:r>
          </w:p>
        </w:tc>
        <w:tc>
          <w:tcPr>
            <w:tcW w:w="1290" w:type="dxa"/>
            <w:vAlign w:val="center"/>
          </w:tcPr>
          <w:p w:rsidR="0033477A" w:rsidRPr="00622843" w:rsidRDefault="000168EB"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w:t>
            </w:r>
            <w:r>
              <w:rPr>
                <w:rFonts w:ascii="Cambria" w:eastAsia="Calibri" w:hAnsi="Cambria" w:cs="Arial"/>
                <w:sz w:val="18"/>
                <w:szCs w:val="18"/>
                <w:lang w:eastAsia="en-US"/>
              </w:rPr>
              <w:t>02</w:t>
            </w:r>
            <w:r w:rsidRPr="00622843">
              <w:rPr>
                <w:rFonts w:ascii="Cambria" w:eastAsia="Calibri" w:hAnsi="Cambria" w:cs="Arial"/>
                <w:sz w:val="18"/>
                <w:szCs w:val="18"/>
                <w:lang w:eastAsia="en-US"/>
              </w:rPr>
              <w:t>,</w:t>
            </w:r>
            <w:r>
              <w:rPr>
                <w:rFonts w:ascii="Cambria" w:eastAsia="Calibri" w:hAnsi="Cambria" w:cs="Arial"/>
                <w:sz w:val="18"/>
                <w:szCs w:val="18"/>
                <w:lang w:eastAsia="en-US"/>
              </w:rPr>
              <w:t>85</w:t>
            </w:r>
          </w:p>
        </w:tc>
      </w:tr>
      <w:tr w:rsidR="0033477A" w:rsidRPr="00853B7E" w:rsidTr="001C15B8">
        <w:trPr>
          <w:trHeight w:val="315"/>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w:t>
            </w:r>
            <w:r w:rsidRPr="00853B7E">
              <w:rPr>
                <w:rFonts w:ascii="Cambria" w:eastAsia="Times New Roman" w:hAnsi="Cambria" w:cs="Arial"/>
                <w:sz w:val="18"/>
                <w:szCs w:val="18"/>
                <w:lang w:val="en-GB" w:eastAsia="en-US"/>
              </w:rPr>
              <w:t>Technological consumption, materials and consumables used</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84.406</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83.146</w:t>
            </w:r>
          </w:p>
        </w:tc>
        <w:tc>
          <w:tcPr>
            <w:tcW w:w="1290" w:type="dxa"/>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101,52</w:t>
            </w:r>
          </w:p>
        </w:tc>
      </w:tr>
      <w:tr w:rsidR="0033477A" w:rsidRPr="00853B7E" w:rsidTr="006D6854">
        <w:trPr>
          <w:trHeight w:val="55"/>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xml:space="preserve">          Technological consumption quantity MWh</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1.184.300</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965.920</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122,61</w:t>
            </w:r>
          </w:p>
        </w:tc>
      </w:tr>
      <w:tr w:rsidR="0033477A" w:rsidRPr="00853B7E" w:rsidTr="006D6854">
        <w:trPr>
          <w:trHeight w:val="131"/>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xml:space="preserve">          Technological consumption quantity thousand cm</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108.873</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88.103</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123,58</w:t>
            </w:r>
          </w:p>
        </w:tc>
      </w:tr>
      <w:tr w:rsidR="0033477A" w:rsidRPr="00853B7E" w:rsidTr="006D6854">
        <w:trPr>
          <w:trHeight w:val="220"/>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xml:space="preserve">     Auxiliary </w:t>
            </w:r>
            <w:r w:rsidRPr="00853B7E">
              <w:rPr>
                <w:rFonts w:ascii="Cambria" w:eastAsia="Times New Roman" w:hAnsi="Cambria" w:cs="Arial"/>
                <w:sz w:val="18"/>
                <w:szCs w:val="18"/>
                <w:lang w:val="en-GB" w:eastAsia="en-US"/>
              </w:rPr>
              <w:t>materials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21.580</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19.511</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110,60</w:t>
            </w:r>
          </w:p>
        </w:tc>
      </w:tr>
      <w:tr w:rsidR="0033477A" w:rsidRPr="00853B7E" w:rsidTr="006D6854">
        <w:trPr>
          <w:trHeight w:val="55"/>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w:t>
            </w:r>
            <w:r w:rsidRPr="00853B7E">
              <w:rPr>
                <w:rFonts w:ascii="Cambria" w:eastAsia="Times New Roman" w:hAnsi="Cambria" w:cs="Arial"/>
                <w:sz w:val="18"/>
                <w:szCs w:val="18"/>
                <w:lang w:val="en-GB" w:eastAsia="en-US"/>
              </w:rPr>
              <w:t>Other material expenses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4.025</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4.308</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93,43</w:t>
            </w:r>
          </w:p>
        </w:tc>
      </w:tr>
      <w:tr w:rsidR="0033477A" w:rsidRPr="00853B7E" w:rsidTr="006D6854">
        <w:trPr>
          <w:trHeight w:val="231"/>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4.</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Expenses with royalties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168.893</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157.854</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106,99</w:t>
            </w:r>
          </w:p>
        </w:tc>
      </w:tr>
      <w:tr w:rsidR="0033477A" w:rsidRPr="00853B7E" w:rsidTr="006D6854">
        <w:trPr>
          <w:trHeight w:val="227"/>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5.</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Maintenance and transport, of which</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29.569</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33.181</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89,12</w:t>
            </w:r>
          </w:p>
        </w:tc>
      </w:tr>
      <w:tr w:rsidR="0033477A" w:rsidRPr="00853B7E" w:rsidTr="006D6854">
        <w:trPr>
          <w:trHeight w:val="263"/>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w:t>
            </w:r>
            <w:r w:rsidRPr="00853B7E">
              <w:rPr>
                <w:rFonts w:ascii="Cambria" w:eastAsia="Times New Roman" w:hAnsi="Cambria" w:cs="Arial"/>
                <w:sz w:val="18"/>
                <w:szCs w:val="18"/>
                <w:lang w:val="en-GB" w:eastAsia="en-US"/>
              </w:rPr>
              <w:t>Works, services executed by third parties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16.547</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20.020</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82,65</w:t>
            </w:r>
          </w:p>
        </w:tc>
      </w:tr>
      <w:tr w:rsidR="0033477A" w:rsidRPr="00853B7E" w:rsidTr="006D6854">
        <w:trPr>
          <w:trHeight w:val="270"/>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6.</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Tax and other amounts owed to the state, of which:</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67.544</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70.183</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96,24</w:t>
            </w:r>
          </w:p>
        </w:tc>
      </w:tr>
      <w:tr w:rsidR="0033477A" w:rsidRPr="00853B7E" w:rsidTr="001C15B8">
        <w:trPr>
          <w:trHeight w:val="315"/>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w:t>
            </w:r>
            <w:r w:rsidRPr="00853B7E">
              <w:rPr>
                <w:rFonts w:ascii="Cambria" w:eastAsia="Times New Roman" w:hAnsi="Cambria" w:cs="Arial"/>
                <w:sz w:val="18"/>
                <w:szCs w:val="18"/>
                <w:lang w:val="en-GB" w:eastAsia="en-US"/>
              </w:rPr>
              <w:t xml:space="preserve">Tax related to granting the gas transmission and international gas transit license  </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7.275</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6.509</w:t>
            </w:r>
          </w:p>
        </w:tc>
        <w:tc>
          <w:tcPr>
            <w:tcW w:w="1290" w:type="dxa"/>
            <w:vAlign w:val="center"/>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111,77</w:t>
            </w:r>
          </w:p>
        </w:tc>
      </w:tr>
      <w:tr w:rsidR="0033477A" w:rsidRPr="00853B7E" w:rsidTr="006D6854">
        <w:trPr>
          <w:trHeight w:val="281"/>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xml:space="preserve">  </w:t>
            </w:r>
            <w:r w:rsidRPr="00853B7E">
              <w:rPr>
                <w:rFonts w:ascii="Cambria" w:eastAsia="Times New Roman" w:hAnsi="Cambria" w:cs="Arial"/>
                <w:sz w:val="18"/>
                <w:szCs w:val="18"/>
                <w:lang w:val="en-GB" w:eastAsia="en-US"/>
              </w:rPr>
              <w:t>Tax on monopoly</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52.989</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56.781</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93,32</w:t>
            </w:r>
          </w:p>
        </w:tc>
      </w:tr>
      <w:tr w:rsidR="0033477A" w:rsidRPr="00853B7E" w:rsidTr="006D6854">
        <w:trPr>
          <w:trHeight w:val="227"/>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 </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w:t>
            </w:r>
            <w:r w:rsidRPr="00853B7E">
              <w:rPr>
                <w:rFonts w:ascii="Cambria" w:eastAsia="Times New Roman" w:hAnsi="Cambria" w:cs="Times New Roman"/>
                <w:sz w:val="18"/>
                <w:szCs w:val="18"/>
                <w:lang w:val="en-GB" w:eastAsia="en-US"/>
              </w:rPr>
              <w:t>  </w:t>
            </w:r>
            <w:r w:rsidRPr="00853B7E">
              <w:rPr>
                <w:rFonts w:ascii="Cambria" w:eastAsia="Times New Roman" w:hAnsi="Cambria" w:cs="Arial"/>
                <w:sz w:val="18"/>
                <w:szCs w:val="18"/>
                <w:lang w:val="en-GB" w:eastAsia="en-US"/>
              </w:rPr>
              <w:t>Tax on special constructions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1.418</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1.238</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114,54</w:t>
            </w:r>
          </w:p>
        </w:tc>
      </w:tr>
      <w:tr w:rsidR="0033477A" w:rsidRPr="00853B7E" w:rsidTr="006D6854">
        <w:trPr>
          <w:trHeight w:val="209"/>
          <w:tblCellSpacing w:w="20" w:type="dxa"/>
        </w:trPr>
        <w:tc>
          <w:tcPr>
            <w:tcW w:w="695" w:type="dxa"/>
            <w:shd w:val="clear" w:color="auto" w:fill="auto"/>
            <w:noWrap/>
            <w:vAlign w:val="center"/>
            <w:hideMark/>
          </w:tcPr>
          <w:p w:rsidR="0033477A" w:rsidRPr="00853B7E" w:rsidRDefault="0033477A"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7.</w:t>
            </w:r>
          </w:p>
        </w:tc>
        <w:tc>
          <w:tcPr>
            <w:tcW w:w="4575" w:type="dxa"/>
            <w:shd w:val="clear" w:color="auto" w:fill="auto"/>
            <w:noWrap/>
            <w:vAlign w:val="center"/>
            <w:hideMark/>
          </w:tcPr>
          <w:p w:rsidR="0033477A" w:rsidRPr="00853B7E" w:rsidRDefault="0033477A"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Expenses  with provisions for risks and expenses</w:t>
            </w:r>
          </w:p>
        </w:tc>
        <w:tc>
          <w:tcPr>
            <w:tcW w:w="122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1.707</w:t>
            </w:r>
          </w:p>
        </w:tc>
        <w:tc>
          <w:tcPr>
            <w:tcW w:w="1130" w:type="dxa"/>
            <w:shd w:val="clear" w:color="auto" w:fill="auto"/>
            <w:noWrap/>
            <w:vAlign w:val="center"/>
          </w:tcPr>
          <w:p w:rsidR="0033477A"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-1.255</w:t>
            </w:r>
          </w:p>
        </w:tc>
        <w:tc>
          <w:tcPr>
            <w:tcW w:w="1290" w:type="dxa"/>
          </w:tcPr>
          <w:p w:rsidR="0033477A" w:rsidRPr="00622843" w:rsidRDefault="0033477A" w:rsidP="001C15B8">
            <w:pPr>
              <w:spacing w:after="0" w:line="240" w:lineRule="auto"/>
              <w:ind w:firstLine="0"/>
              <w:jc w:val="right"/>
              <w:rPr>
                <w:rFonts w:ascii="Cambria" w:eastAsia="Calibri" w:hAnsi="Cambria" w:cs="Times New Roman"/>
                <w:sz w:val="18"/>
                <w:szCs w:val="18"/>
                <w:lang w:eastAsia="en-US"/>
              </w:rPr>
            </w:pPr>
            <w:r w:rsidRPr="00622843">
              <w:rPr>
                <w:rFonts w:ascii="Cambria" w:eastAsia="Calibri" w:hAnsi="Cambria" w:cs="Times New Roman"/>
                <w:sz w:val="18"/>
                <w:szCs w:val="18"/>
                <w:lang w:eastAsia="en-US"/>
              </w:rPr>
              <w:t>X</w:t>
            </w:r>
          </w:p>
        </w:tc>
      </w:tr>
      <w:tr w:rsidR="006D6854" w:rsidRPr="00853B7E" w:rsidTr="006D6854">
        <w:trPr>
          <w:trHeight w:val="263"/>
          <w:tblCellSpacing w:w="20" w:type="dxa"/>
        </w:trPr>
        <w:tc>
          <w:tcPr>
            <w:tcW w:w="695" w:type="dxa"/>
            <w:shd w:val="clear" w:color="auto" w:fill="auto"/>
            <w:noWrap/>
            <w:vAlign w:val="center"/>
            <w:hideMark/>
          </w:tcPr>
          <w:p w:rsidR="006D6854" w:rsidRPr="00853B7E" w:rsidRDefault="006D6854" w:rsidP="0037604E">
            <w:pPr>
              <w:spacing w:after="0" w:line="240" w:lineRule="auto"/>
              <w:ind w:firstLine="0"/>
              <w:jc w:val="center"/>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8.</w:t>
            </w:r>
          </w:p>
        </w:tc>
        <w:tc>
          <w:tcPr>
            <w:tcW w:w="4575" w:type="dxa"/>
            <w:shd w:val="clear" w:color="auto" w:fill="auto"/>
            <w:noWrap/>
            <w:vAlign w:val="center"/>
            <w:hideMark/>
          </w:tcPr>
          <w:p w:rsidR="006D6854" w:rsidRPr="00853B7E" w:rsidRDefault="006D6854" w:rsidP="0037604E">
            <w:pPr>
              <w:spacing w:after="0" w:line="240" w:lineRule="auto"/>
              <w:ind w:firstLine="0"/>
              <w:rPr>
                <w:rFonts w:ascii="Cambria" w:eastAsia="Times New Roman" w:hAnsi="Cambria" w:cs="Arial"/>
                <w:sz w:val="18"/>
                <w:szCs w:val="18"/>
                <w:lang w:val="en-GB" w:eastAsia="en-US"/>
              </w:rPr>
            </w:pPr>
            <w:r w:rsidRPr="00853B7E">
              <w:rPr>
                <w:rFonts w:ascii="Cambria" w:eastAsia="Times New Roman" w:hAnsi="Cambria" w:cs="Arial"/>
                <w:sz w:val="18"/>
                <w:szCs w:val="18"/>
                <w:lang w:val="en-GB" w:eastAsia="en-US"/>
              </w:rPr>
              <w:t>Other operating expenses</w:t>
            </w:r>
          </w:p>
        </w:tc>
        <w:tc>
          <w:tcPr>
            <w:tcW w:w="1220" w:type="dxa"/>
            <w:shd w:val="clear" w:color="auto" w:fill="auto"/>
            <w:noWrap/>
            <w:vAlign w:val="center"/>
          </w:tcPr>
          <w:p w:rsidR="006D6854" w:rsidRPr="00622843" w:rsidRDefault="006D6854"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169.718</w:t>
            </w:r>
          </w:p>
        </w:tc>
        <w:tc>
          <w:tcPr>
            <w:tcW w:w="1130" w:type="dxa"/>
            <w:shd w:val="clear" w:color="auto" w:fill="auto"/>
            <w:noWrap/>
            <w:vAlign w:val="center"/>
          </w:tcPr>
          <w:p w:rsidR="006D6854" w:rsidRPr="00622843" w:rsidRDefault="006D6854"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Arial"/>
                <w:sz w:val="18"/>
                <w:szCs w:val="18"/>
                <w:lang w:eastAsia="en-US"/>
              </w:rPr>
              <w:t>159.160</w:t>
            </w:r>
          </w:p>
        </w:tc>
        <w:tc>
          <w:tcPr>
            <w:tcW w:w="1290" w:type="dxa"/>
          </w:tcPr>
          <w:p w:rsidR="006D6854" w:rsidRPr="00622843" w:rsidRDefault="0033477A" w:rsidP="001C15B8">
            <w:pPr>
              <w:spacing w:after="0" w:line="240" w:lineRule="auto"/>
              <w:ind w:firstLine="0"/>
              <w:jc w:val="right"/>
              <w:rPr>
                <w:rFonts w:ascii="Cambria" w:eastAsia="Calibri" w:hAnsi="Cambria" w:cs="Arial"/>
                <w:sz w:val="18"/>
                <w:szCs w:val="18"/>
                <w:lang w:eastAsia="en-US"/>
              </w:rPr>
            </w:pPr>
            <w:r w:rsidRPr="00622843">
              <w:rPr>
                <w:rFonts w:ascii="Cambria" w:eastAsia="Calibri" w:hAnsi="Cambria" w:cs="Times New Roman"/>
                <w:sz w:val="18"/>
                <w:szCs w:val="18"/>
                <w:lang w:eastAsia="en-US"/>
              </w:rPr>
              <w:t>106,63</w:t>
            </w:r>
          </w:p>
        </w:tc>
      </w:tr>
      <w:tr w:rsidR="000168EB" w:rsidRPr="00853B7E" w:rsidTr="001C15B8">
        <w:trPr>
          <w:trHeight w:val="270"/>
          <w:tblCellSpacing w:w="20" w:type="dxa"/>
        </w:trPr>
        <w:tc>
          <w:tcPr>
            <w:tcW w:w="5310" w:type="dxa"/>
            <w:gridSpan w:val="2"/>
            <w:shd w:val="clear" w:color="auto" w:fill="D6E0F4"/>
            <w:noWrap/>
            <w:vAlign w:val="center"/>
            <w:hideMark/>
          </w:tcPr>
          <w:p w:rsidR="000168EB" w:rsidRPr="00853B7E" w:rsidRDefault="000168EB" w:rsidP="0037604E">
            <w:pPr>
              <w:spacing w:after="0" w:line="240" w:lineRule="auto"/>
              <w:ind w:firstLine="0"/>
              <w:rPr>
                <w:rFonts w:ascii="Cambria" w:eastAsia="Times New Roman" w:hAnsi="Cambria" w:cs="Arial"/>
                <w:b/>
                <w:bCs/>
                <w:sz w:val="18"/>
                <w:szCs w:val="18"/>
                <w:lang w:val="en-GB" w:eastAsia="en-US"/>
              </w:rPr>
            </w:pPr>
            <w:r w:rsidRPr="00853B7E">
              <w:rPr>
                <w:rFonts w:ascii="Cambria" w:eastAsia="Times New Roman" w:hAnsi="Cambria" w:cs="Arial"/>
                <w:b/>
                <w:bCs/>
                <w:sz w:val="18"/>
                <w:szCs w:val="18"/>
                <w:lang w:val="en-GB" w:eastAsia="en-US"/>
              </w:rPr>
              <w:t xml:space="preserve">OPERATING EXPENSES before </w:t>
            </w:r>
            <w:r>
              <w:rPr>
                <w:rFonts w:ascii="Cambria" w:eastAsia="Times New Roman" w:hAnsi="Cambria" w:cs="Arial"/>
                <w:b/>
                <w:bCs/>
                <w:sz w:val="18"/>
                <w:szCs w:val="18"/>
                <w:lang w:val="en-GB" w:eastAsia="en-US"/>
              </w:rPr>
              <w:t xml:space="preserve">the balancing and </w:t>
            </w:r>
            <w:r w:rsidRPr="00853B7E">
              <w:rPr>
                <w:rFonts w:ascii="Cambria" w:eastAsia="Times New Roman" w:hAnsi="Cambria" w:cs="Arial"/>
                <w:b/>
                <w:bCs/>
                <w:sz w:val="18"/>
                <w:szCs w:val="18"/>
                <w:lang w:val="en-GB" w:eastAsia="en-US"/>
              </w:rPr>
              <w:t>the constructions activity  according to IFRIC12</w:t>
            </w:r>
          </w:p>
        </w:tc>
        <w:tc>
          <w:tcPr>
            <w:tcW w:w="1220" w:type="dxa"/>
            <w:shd w:val="clear" w:color="auto" w:fill="D6E0F4"/>
            <w:noWrap/>
            <w:vAlign w:val="center"/>
          </w:tcPr>
          <w:p w:rsidR="000168EB" w:rsidRPr="00622843" w:rsidRDefault="000168EB" w:rsidP="00F21009">
            <w:pPr>
              <w:spacing w:after="0" w:line="240" w:lineRule="auto"/>
              <w:ind w:firstLine="0"/>
              <w:jc w:val="right"/>
              <w:rPr>
                <w:rFonts w:ascii="Cambria" w:eastAsia="Calibri" w:hAnsi="Cambria" w:cs="Arial"/>
                <w:b/>
                <w:sz w:val="18"/>
                <w:szCs w:val="18"/>
                <w:lang w:eastAsia="en-US"/>
              </w:rPr>
            </w:pPr>
            <w:r w:rsidRPr="00622843">
              <w:rPr>
                <w:rFonts w:ascii="Cambria" w:eastAsia="Calibri" w:hAnsi="Cambria" w:cs="Arial"/>
                <w:b/>
                <w:sz w:val="18"/>
                <w:szCs w:val="18"/>
                <w:lang w:eastAsia="en-US"/>
              </w:rPr>
              <w:t>1.1</w:t>
            </w:r>
            <w:r>
              <w:rPr>
                <w:rFonts w:ascii="Cambria" w:eastAsia="Calibri" w:hAnsi="Cambria" w:cs="Arial"/>
                <w:b/>
                <w:sz w:val="18"/>
                <w:szCs w:val="18"/>
                <w:lang w:eastAsia="en-US"/>
              </w:rPr>
              <w:t>25</w:t>
            </w:r>
            <w:r w:rsidRPr="00622843">
              <w:rPr>
                <w:rFonts w:ascii="Cambria" w:eastAsia="Calibri" w:hAnsi="Cambria" w:cs="Arial"/>
                <w:b/>
                <w:sz w:val="18"/>
                <w:szCs w:val="18"/>
                <w:lang w:eastAsia="en-US"/>
              </w:rPr>
              <w:t>.</w:t>
            </w:r>
            <w:r>
              <w:rPr>
                <w:rFonts w:ascii="Cambria" w:eastAsia="Calibri" w:hAnsi="Cambria" w:cs="Arial"/>
                <w:b/>
                <w:sz w:val="18"/>
                <w:szCs w:val="18"/>
                <w:lang w:eastAsia="en-US"/>
              </w:rPr>
              <w:t>268</w:t>
            </w:r>
          </w:p>
        </w:tc>
        <w:tc>
          <w:tcPr>
            <w:tcW w:w="1130" w:type="dxa"/>
            <w:shd w:val="clear" w:color="auto" w:fill="D6E0F4"/>
            <w:noWrap/>
            <w:vAlign w:val="center"/>
          </w:tcPr>
          <w:p w:rsidR="000168EB" w:rsidRPr="00622843" w:rsidRDefault="000168EB" w:rsidP="001C15B8">
            <w:pPr>
              <w:spacing w:after="0" w:line="240" w:lineRule="auto"/>
              <w:ind w:firstLine="0"/>
              <w:jc w:val="right"/>
              <w:rPr>
                <w:rFonts w:ascii="Cambria" w:eastAsia="Calibri" w:hAnsi="Cambria" w:cs="Arial"/>
                <w:b/>
                <w:sz w:val="18"/>
                <w:szCs w:val="18"/>
                <w:lang w:eastAsia="en-US"/>
              </w:rPr>
            </w:pPr>
            <w:r w:rsidRPr="00853B7E">
              <w:rPr>
                <w:rFonts w:ascii="Cambria" w:eastAsia="Calibri" w:hAnsi="Cambria" w:cs="Arial"/>
                <w:b/>
                <w:sz w:val="18"/>
                <w:szCs w:val="18"/>
                <w:lang w:val="en-GB" w:eastAsia="en-US"/>
              </w:rPr>
              <w:t>1.077.219</w:t>
            </w:r>
          </w:p>
        </w:tc>
        <w:tc>
          <w:tcPr>
            <w:tcW w:w="1290" w:type="dxa"/>
            <w:shd w:val="clear" w:color="auto" w:fill="D6E0F4"/>
            <w:vAlign w:val="center"/>
          </w:tcPr>
          <w:p w:rsidR="000168EB" w:rsidRPr="00622843" w:rsidRDefault="000168EB" w:rsidP="00F21009">
            <w:pPr>
              <w:spacing w:after="0" w:line="240" w:lineRule="auto"/>
              <w:ind w:firstLine="0"/>
              <w:jc w:val="right"/>
              <w:rPr>
                <w:rFonts w:ascii="Cambria" w:eastAsia="Calibri" w:hAnsi="Cambria" w:cs="Arial"/>
                <w:b/>
                <w:sz w:val="18"/>
                <w:szCs w:val="18"/>
                <w:lang w:eastAsia="en-US"/>
              </w:rPr>
            </w:pPr>
            <w:r w:rsidRPr="00622843">
              <w:rPr>
                <w:rFonts w:ascii="Cambria" w:eastAsia="Calibri" w:hAnsi="Cambria" w:cs="Arial"/>
                <w:b/>
                <w:sz w:val="18"/>
                <w:szCs w:val="18"/>
                <w:lang w:eastAsia="en-US"/>
              </w:rPr>
              <w:t>10</w:t>
            </w:r>
            <w:r>
              <w:rPr>
                <w:rFonts w:ascii="Cambria" w:eastAsia="Calibri" w:hAnsi="Cambria" w:cs="Arial"/>
                <w:b/>
                <w:sz w:val="18"/>
                <w:szCs w:val="18"/>
                <w:lang w:eastAsia="en-US"/>
              </w:rPr>
              <w:t>4</w:t>
            </w:r>
            <w:r w:rsidRPr="00622843">
              <w:rPr>
                <w:rFonts w:ascii="Cambria" w:eastAsia="Calibri" w:hAnsi="Cambria" w:cs="Arial"/>
                <w:b/>
                <w:sz w:val="18"/>
                <w:szCs w:val="18"/>
                <w:lang w:eastAsia="en-US"/>
              </w:rPr>
              <w:t>,</w:t>
            </w:r>
            <w:r>
              <w:rPr>
                <w:rFonts w:ascii="Cambria" w:eastAsia="Calibri" w:hAnsi="Cambria" w:cs="Arial"/>
                <w:b/>
                <w:sz w:val="18"/>
                <w:szCs w:val="18"/>
                <w:lang w:eastAsia="en-US"/>
              </w:rPr>
              <w:t>4</w:t>
            </w:r>
            <w:r w:rsidRPr="00622843">
              <w:rPr>
                <w:rFonts w:ascii="Cambria" w:eastAsia="Calibri" w:hAnsi="Cambria" w:cs="Arial"/>
                <w:b/>
                <w:sz w:val="18"/>
                <w:szCs w:val="18"/>
                <w:lang w:eastAsia="en-US"/>
              </w:rPr>
              <w:t>6</w:t>
            </w:r>
          </w:p>
        </w:tc>
      </w:tr>
    </w:tbl>
    <w:p w:rsidR="0037604E" w:rsidRPr="00853B7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853B7E" w:rsidRDefault="00E80C4A"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t xml:space="preserve">Table 42 </w:t>
      </w:r>
      <w:r w:rsidR="0037604E" w:rsidRPr="00853B7E">
        <w:rPr>
          <w:rFonts w:ascii="Cambria" w:eastAsia="Times New Roman" w:hAnsi="Cambria" w:cs="Times New Roman"/>
          <w:b/>
          <w:i/>
          <w:sz w:val="16"/>
          <w:szCs w:val="16"/>
          <w:lang w:val="en-GB" w:eastAsia="ro-RO"/>
        </w:rPr>
        <w:t>- Operating Expenses achieved in 2016 vs 2015</w:t>
      </w:r>
    </w:p>
    <w:p w:rsidR="0037604E" w:rsidRPr="00853B7E" w:rsidRDefault="0037604E" w:rsidP="0037604E">
      <w:pPr>
        <w:spacing w:after="0" w:line="240" w:lineRule="auto"/>
        <w:ind w:firstLine="0"/>
        <w:rPr>
          <w:rFonts w:ascii="Cambria" w:eastAsia="Times New Roman" w:hAnsi="Cambria" w:cs="Times New Roman"/>
          <w:b/>
          <w:i/>
          <w:sz w:val="16"/>
          <w:szCs w:val="16"/>
          <w:highlight w:val="yellow"/>
          <w:lang w:val="en-GB" w:eastAsia="ro-RO"/>
        </w:rPr>
      </w:pPr>
    </w:p>
    <w:p w:rsidR="0037604E" w:rsidRPr="0037604E" w:rsidRDefault="0037604E" w:rsidP="0037604E">
      <w:pPr>
        <w:spacing w:after="0" w:line="240" w:lineRule="auto"/>
        <w:ind w:firstLine="0"/>
        <w:rPr>
          <w:rFonts w:ascii="Cambria" w:eastAsia="Times New Roman" w:hAnsi="Cambria" w:cs="Times New Roman"/>
          <w:b/>
          <w:i/>
          <w:color w:val="FF0000"/>
          <w:sz w:val="16"/>
          <w:szCs w:val="16"/>
          <w:highlight w:val="yellow"/>
          <w:lang w:val="en-GB" w:eastAsia="ro-RO"/>
        </w:rPr>
      </w:pPr>
    </w:p>
    <w:p w:rsidR="0037604E" w:rsidRPr="0037604E" w:rsidRDefault="0037604E" w:rsidP="0037604E">
      <w:pPr>
        <w:spacing w:after="0" w:line="240" w:lineRule="auto"/>
        <w:ind w:firstLine="0"/>
        <w:rPr>
          <w:rFonts w:ascii="Cambria" w:eastAsia="Times New Roman" w:hAnsi="Cambria" w:cs="Times New Roman"/>
          <w:b/>
          <w:i/>
          <w:color w:val="FF0000"/>
          <w:sz w:val="16"/>
          <w:szCs w:val="16"/>
          <w:highlight w:val="yellow"/>
          <w:lang w:val="en-GB" w:eastAsia="ro-RO"/>
        </w:rPr>
      </w:pPr>
    </w:p>
    <w:p w:rsidR="0037604E" w:rsidRPr="0037604E" w:rsidRDefault="0037604E" w:rsidP="0037604E">
      <w:pPr>
        <w:shd w:val="clear" w:color="auto" w:fill="DBE5F1" w:themeFill="accent1" w:themeFillTint="33"/>
        <w:spacing w:after="0" w:line="240" w:lineRule="auto"/>
        <w:ind w:firstLine="0"/>
        <w:jc w:val="both"/>
        <w:outlineLvl w:val="2"/>
        <w:rPr>
          <w:rFonts w:ascii="Cambria" w:eastAsia="Times New Roman" w:hAnsi="Cambria" w:cstheme="majorBidi"/>
          <w:b/>
          <w:bCs/>
          <w:iCs/>
          <w:sz w:val="24"/>
          <w:szCs w:val="24"/>
          <w:lang w:val="en-GB" w:eastAsia="ro-RO"/>
        </w:rPr>
      </w:pPr>
      <w:bookmarkStart w:id="144" w:name="_Toc445212622"/>
      <w:bookmarkStart w:id="145" w:name="_Toc446310881"/>
      <w:r w:rsidRPr="0037604E">
        <w:rPr>
          <w:rFonts w:ascii="Cambria" w:eastAsia="Times New Roman" w:hAnsi="Cambria" w:cstheme="majorBidi"/>
          <w:b/>
          <w:bCs/>
          <w:iCs/>
          <w:sz w:val="24"/>
          <w:szCs w:val="24"/>
          <w:lang w:val="en-GB" w:eastAsia="ro-RO"/>
        </w:rPr>
        <w:t xml:space="preserve">3.4.3 </w:t>
      </w:r>
      <w:bookmarkEnd w:id="144"/>
      <w:r w:rsidRPr="0037604E">
        <w:rPr>
          <w:rFonts w:ascii="Cambria" w:eastAsia="Times New Roman" w:hAnsi="Cambria" w:cstheme="majorBidi"/>
          <w:b/>
          <w:bCs/>
          <w:iCs/>
          <w:sz w:val="24"/>
          <w:szCs w:val="24"/>
          <w:lang w:val="en-GB" w:eastAsia="ro-RO"/>
        </w:rPr>
        <w:t>Cash flow statement</w:t>
      </w:r>
      <w:bookmarkEnd w:id="145"/>
      <w:r w:rsidRPr="0037604E">
        <w:rPr>
          <w:rFonts w:ascii="Cambria" w:eastAsia="Times New Roman" w:hAnsi="Cambria" w:cstheme="majorBidi"/>
          <w:b/>
          <w:bCs/>
          <w:iCs/>
          <w:sz w:val="24"/>
          <w:szCs w:val="24"/>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b/>
          <w:color w:val="FF0000"/>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 xml:space="preserve">The cash flow statement on 31 December 2016 is indicated below: </w:t>
      </w:r>
    </w:p>
    <w:p w:rsidR="0037604E" w:rsidRPr="0037604E" w:rsidRDefault="0037604E" w:rsidP="0037604E">
      <w:pPr>
        <w:spacing w:after="0" w:line="240" w:lineRule="auto"/>
        <w:ind w:firstLine="0"/>
        <w:jc w:val="both"/>
        <w:rPr>
          <w:rFonts w:ascii="Cambria" w:eastAsia="Times New Roman" w:hAnsi="Cambria" w:cs="Times New Roman"/>
          <w:color w:val="FF0000"/>
          <w:sz w:val="24"/>
          <w:szCs w:val="24"/>
          <w:lang w:val="en-GB" w:eastAsia="ro-RO"/>
        </w:rPr>
      </w:pPr>
    </w:p>
    <w:tbl>
      <w:tblPr>
        <w:tblW w:w="8971" w:type="dxa"/>
        <w:tblCellSpacing w:w="20" w:type="dxa"/>
        <w:tblInd w:w="9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165"/>
        <w:gridCol w:w="1822"/>
        <w:gridCol w:w="1984"/>
      </w:tblGrid>
      <w:tr w:rsidR="0037604E" w:rsidRPr="0037604E" w:rsidTr="0037604E">
        <w:trPr>
          <w:trHeight w:val="389"/>
          <w:tblHeader/>
          <w:tblCellSpacing w:w="20" w:type="dxa"/>
        </w:trPr>
        <w:tc>
          <w:tcPr>
            <w:tcW w:w="5105" w:type="dxa"/>
            <w:vMerge w:val="restart"/>
            <w:shd w:val="clear" w:color="auto" w:fill="D6E0F4"/>
            <w:vAlign w:val="center"/>
            <w:hideMark/>
          </w:tcPr>
          <w:p w:rsidR="0037604E" w:rsidRPr="00853B7E" w:rsidRDefault="0037604E" w:rsidP="0037604E">
            <w:pPr>
              <w:spacing w:after="0" w:line="240" w:lineRule="auto"/>
              <w:ind w:firstLine="0"/>
              <w:jc w:val="center"/>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Indicator</w:t>
            </w:r>
          </w:p>
        </w:tc>
        <w:tc>
          <w:tcPr>
            <w:tcW w:w="3746" w:type="dxa"/>
            <w:gridSpan w:val="2"/>
            <w:shd w:val="clear" w:color="auto" w:fill="D6E0F4"/>
            <w:vAlign w:val="center"/>
            <w:hideMark/>
          </w:tcPr>
          <w:p w:rsidR="0037604E" w:rsidRPr="00853B7E" w:rsidRDefault="0037604E" w:rsidP="0037604E">
            <w:pPr>
              <w:spacing w:after="0" w:line="240" w:lineRule="auto"/>
              <w:ind w:firstLine="0"/>
              <w:jc w:val="center"/>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The year ended on</w:t>
            </w:r>
          </w:p>
          <w:p w:rsidR="0037604E" w:rsidRPr="00853B7E" w:rsidRDefault="0037604E" w:rsidP="0037604E">
            <w:pPr>
              <w:spacing w:after="0" w:line="240" w:lineRule="auto"/>
              <w:ind w:firstLine="0"/>
              <w:jc w:val="center"/>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31 December (thousand RON)</w:t>
            </w:r>
          </w:p>
        </w:tc>
      </w:tr>
      <w:tr w:rsidR="00580860" w:rsidRPr="0037604E" w:rsidTr="0037604E">
        <w:trPr>
          <w:trHeight w:val="177"/>
          <w:tblHeader/>
          <w:tblCellSpacing w:w="20" w:type="dxa"/>
        </w:trPr>
        <w:tc>
          <w:tcPr>
            <w:tcW w:w="5105" w:type="dxa"/>
            <w:vMerge/>
            <w:shd w:val="clear" w:color="auto" w:fill="D6E0F4"/>
            <w:vAlign w:val="center"/>
            <w:hideMark/>
          </w:tcPr>
          <w:p w:rsidR="00580860" w:rsidRPr="00853B7E" w:rsidRDefault="00580860" w:rsidP="0037604E">
            <w:pPr>
              <w:spacing w:after="0" w:line="240" w:lineRule="auto"/>
              <w:ind w:firstLine="0"/>
              <w:rPr>
                <w:rFonts w:ascii="Cambria" w:eastAsia="Times New Roman" w:hAnsi="Cambria" w:cs="Calibri"/>
                <w:b/>
                <w:bCs/>
                <w:sz w:val="18"/>
                <w:szCs w:val="18"/>
                <w:lang w:val="en-GB" w:eastAsia="en-US"/>
              </w:rPr>
            </w:pPr>
          </w:p>
        </w:tc>
        <w:tc>
          <w:tcPr>
            <w:tcW w:w="1782" w:type="dxa"/>
            <w:shd w:val="clear" w:color="auto" w:fill="D6E0F4"/>
            <w:vAlign w:val="center"/>
            <w:hideMark/>
          </w:tcPr>
          <w:p w:rsidR="00580860" w:rsidRPr="00C71CDA" w:rsidRDefault="00580860" w:rsidP="001C15B8">
            <w:pPr>
              <w:spacing w:after="0" w:line="240" w:lineRule="auto"/>
              <w:ind w:firstLine="0"/>
              <w:jc w:val="center"/>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2016</w:t>
            </w:r>
          </w:p>
        </w:tc>
        <w:tc>
          <w:tcPr>
            <w:tcW w:w="1924" w:type="dxa"/>
            <w:shd w:val="clear" w:color="auto" w:fill="D6E0F4"/>
            <w:vAlign w:val="center"/>
            <w:hideMark/>
          </w:tcPr>
          <w:p w:rsidR="00580860" w:rsidRPr="00C71CDA" w:rsidRDefault="00580860" w:rsidP="001C15B8">
            <w:pPr>
              <w:spacing w:after="0" w:line="240" w:lineRule="auto"/>
              <w:ind w:firstLine="0"/>
              <w:jc w:val="center"/>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2015</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Profit before tax</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713.975</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607.101</w:t>
            </w:r>
          </w:p>
        </w:tc>
      </w:tr>
      <w:tr w:rsidR="00580860" w:rsidRPr="0037604E" w:rsidTr="0037604E">
        <w:trPr>
          <w:trHeight w:val="188"/>
          <w:tblCellSpacing w:w="20" w:type="dxa"/>
        </w:trPr>
        <w:tc>
          <w:tcPr>
            <w:tcW w:w="5105" w:type="dxa"/>
            <w:shd w:val="clear" w:color="auto" w:fill="auto"/>
            <w:vAlign w:val="center"/>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Pr>
                <w:rFonts w:ascii="Cambria" w:eastAsia="Times New Roman" w:hAnsi="Cambria" w:cs="Calibri"/>
                <w:sz w:val="18"/>
                <w:szCs w:val="18"/>
                <w:lang w:val="en-GB" w:eastAsia="en-US"/>
              </w:rPr>
              <w:t>Adjustments for:</w:t>
            </w:r>
          </w:p>
        </w:tc>
        <w:tc>
          <w:tcPr>
            <w:tcW w:w="1782" w:type="dxa"/>
            <w:shd w:val="clear" w:color="auto" w:fill="auto"/>
            <w:vAlign w:val="center"/>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c>
          <w:tcPr>
            <w:tcW w:w="1924" w:type="dxa"/>
            <w:shd w:val="clear" w:color="auto" w:fill="auto"/>
            <w:vAlign w:val="center"/>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r>
      <w:tr w:rsidR="00580860" w:rsidRPr="0037604E" w:rsidTr="0037604E">
        <w:trPr>
          <w:trHeight w:val="188"/>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Depreciation</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208.663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193.401</w:t>
            </w:r>
          </w:p>
        </w:tc>
      </w:tr>
      <w:tr w:rsidR="00580860" w:rsidRPr="0037604E" w:rsidTr="0037604E">
        <w:trPr>
          <w:trHeight w:val="178"/>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Provision for impairment of intangible assets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2.204</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-5.236</w:t>
            </w:r>
          </w:p>
        </w:tc>
      </w:tr>
      <w:tr w:rsidR="00580860" w:rsidRPr="0037604E" w:rsidTr="0037604E">
        <w:trPr>
          <w:trHeight w:val="182"/>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Profit/(loss) from the disposal of fixed assets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163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-170</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Provision for risks and expenses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270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-1.255</w:t>
            </w:r>
          </w:p>
        </w:tc>
      </w:tr>
      <w:tr w:rsidR="00580860" w:rsidRPr="0037604E" w:rsidTr="0037604E">
        <w:trPr>
          <w:trHeight w:val="331"/>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Revenue from connection fees, grants and goods taken free of charge</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-21.186</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-17.628</w:t>
            </w:r>
          </w:p>
        </w:tc>
      </w:tr>
      <w:tr w:rsidR="00580860" w:rsidRPr="0037604E" w:rsidTr="0037604E">
        <w:trPr>
          <w:trHeight w:val="130"/>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Provisions for employees benefits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1.437</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337</w:t>
            </w:r>
          </w:p>
        </w:tc>
      </w:tr>
      <w:tr w:rsidR="00580860" w:rsidRPr="0037604E" w:rsidTr="0037604E">
        <w:trPr>
          <w:trHeight w:val="138"/>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Provisions for the inventories impairment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1.698</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1.691</w:t>
            </w:r>
          </w:p>
        </w:tc>
      </w:tr>
      <w:tr w:rsidR="00580860" w:rsidRPr="0037604E" w:rsidTr="0037604E">
        <w:trPr>
          <w:trHeight w:val="128"/>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Loss</w:t>
            </w:r>
            <w:r>
              <w:rPr>
                <w:rFonts w:ascii="Cambria" w:eastAsia="Times New Roman" w:hAnsi="Cambria" w:cs="Calibri"/>
                <w:sz w:val="18"/>
                <w:szCs w:val="18"/>
                <w:lang w:val="en-GB" w:eastAsia="en-US"/>
              </w:rPr>
              <w:t>es</w:t>
            </w:r>
            <w:r w:rsidRPr="00853B7E">
              <w:rPr>
                <w:rFonts w:ascii="Cambria" w:eastAsia="Times New Roman" w:hAnsi="Cambria" w:cs="Calibri"/>
                <w:sz w:val="18"/>
                <w:szCs w:val="18"/>
                <w:lang w:val="en-GB" w:eastAsia="en-US"/>
              </w:rPr>
              <w:t xml:space="preserve"> from claim</w:t>
            </w:r>
            <w:r>
              <w:rPr>
                <w:rFonts w:ascii="Cambria" w:eastAsia="Times New Roman" w:hAnsi="Cambria" w:cs="Calibri"/>
                <w:sz w:val="18"/>
                <w:szCs w:val="18"/>
                <w:lang w:val="en-GB" w:eastAsia="en-US"/>
              </w:rPr>
              <w:t>s various debtors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2.381</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r>
      <w:tr w:rsidR="00580860" w:rsidRPr="0037604E" w:rsidTr="0037604E">
        <w:trPr>
          <w:trHeight w:val="132"/>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Provision from the impairment of  claims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99.420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104.406</w:t>
            </w:r>
          </w:p>
        </w:tc>
      </w:tr>
      <w:tr w:rsidR="00580860" w:rsidRPr="0037604E" w:rsidTr="0037604E">
        <w:trPr>
          <w:trHeight w:val="150"/>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Expenses with interest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308</w:t>
            </w:r>
          </w:p>
        </w:tc>
      </w:tr>
      <w:tr w:rsidR="00580860" w:rsidRPr="0037604E" w:rsidTr="0037604E">
        <w:trPr>
          <w:trHeight w:val="322"/>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The effect of updating the provision for benefits granted to employees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4.038</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4.125</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Income from interests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-21.277</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-22.163</w:t>
            </w:r>
          </w:p>
        </w:tc>
      </w:tr>
      <w:tr w:rsidR="00580860" w:rsidRPr="0037604E" w:rsidTr="0037604E">
        <w:trPr>
          <w:trHeight w:val="362"/>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The effect of the variation of  the exchange rate upon other elements  than those from operation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-81</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591</w:t>
            </w:r>
          </w:p>
        </w:tc>
      </w:tr>
      <w:tr w:rsidR="00580860" w:rsidRPr="0037604E" w:rsidTr="0037604E">
        <w:trPr>
          <w:trHeight w:val="297"/>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Income from the claims from the regulated value which was undepreciated upon the termination of the concession agreement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-27.967</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-26.391</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Other revenues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-307</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-295</w:t>
            </w:r>
          </w:p>
        </w:tc>
      </w:tr>
      <w:tr w:rsidR="00580860" w:rsidRPr="0037604E" w:rsidTr="0037604E">
        <w:trPr>
          <w:trHeight w:val="238"/>
          <w:tblCellSpacing w:w="20" w:type="dxa"/>
        </w:trPr>
        <w:tc>
          <w:tcPr>
            <w:tcW w:w="5105" w:type="dxa"/>
            <w:shd w:val="clear" w:color="auto" w:fill="auto"/>
            <w:vAlign w:val="center"/>
            <w:hideMark/>
          </w:tcPr>
          <w:p w:rsidR="00580860" w:rsidRPr="00853B7E" w:rsidRDefault="00580860" w:rsidP="0037604E">
            <w:pPr>
              <w:spacing w:after="0" w:line="240" w:lineRule="auto"/>
              <w:ind w:firstLine="0"/>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 xml:space="preserve">Profit from operation  before the modifications in the circulating capital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963.431</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838.821</w:t>
            </w:r>
          </w:p>
        </w:tc>
      </w:tr>
      <w:tr w:rsidR="000168EB" w:rsidRPr="0037604E" w:rsidTr="0037604E">
        <w:trPr>
          <w:trHeight w:val="174"/>
          <w:tblCellSpacing w:w="20" w:type="dxa"/>
        </w:trPr>
        <w:tc>
          <w:tcPr>
            <w:tcW w:w="5105" w:type="dxa"/>
            <w:shd w:val="clear" w:color="auto" w:fill="auto"/>
            <w:vAlign w:val="center"/>
            <w:hideMark/>
          </w:tcPr>
          <w:p w:rsidR="000168EB" w:rsidRPr="00853B7E" w:rsidRDefault="000168EB"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(Increase)/ decrease of the commercial claims and other claims</w:t>
            </w:r>
          </w:p>
        </w:tc>
        <w:tc>
          <w:tcPr>
            <w:tcW w:w="1782" w:type="dxa"/>
            <w:shd w:val="clear" w:color="auto" w:fill="auto"/>
            <w:vAlign w:val="center"/>
            <w:hideMark/>
          </w:tcPr>
          <w:p w:rsidR="000168EB" w:rsidRPr="00C71CDA" w:rsidRDefault="000168EB" w:rsidP="00F21009">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w:t>
            </w:r>
            <w:r>
              <w:rPr>
                <w:rFonts w:ascii="Cambria" w:eastAsia="Times New Roman" w:hAnsi="Cambria" w:cs="Times New Roman"/>
                <w:color w:val="000000"/>
                <w:sz w:val="20"/>
                <w:szCs w:val="20"/>
                <w:lang w:eastAsia="en-US"/>
              </w:rPr>
              <w:t>65</w:t>
            </w:r>
            <w:r w:rsidRPr="00C71CDA">
              <w:rPr>
                <w:rFonts w:ascii="Cambria" w:eastAsia="Times New Roman" w:hAnsi="Cambria" w:cs="Times New Roman"/>
                <w:color w:val="000000"/>
                <w:sz w:val="20"/>
                <w:szCs w:val="20"/>
                <w:lang w:eastAsia="en-US"/>
              </w:rPr>
              <w:t>.2</w:t>
            </w:r>
            <w:r>
              <w:rPr>
                <w:rFonts w:ascii="Cambria" w:eastAsia="Times New Roman" w:hAnsi="Cambria" w:cs="Times New Roman"/>
                <w:color w:val="000000"/>
                <w:sz w:val="20"/>
                <w:szCs w:val="20"/>
                <w:lang w:eastAsia="en-US"/>
              </w:rPr>
              <w:t>47</w:t>
            </w:r>
          </w:p>
        </w:tc>
        <w:tc>
          <w:tcPr>
            <w:tcW w:w="1924" w:type="dxa"/>
            <w:shd w:val="clear" w:color="auto" w:fill="auto"/>
            <w:vAlign w:val="center"/>
            <w:hideMark/>
          </w:tcPr>
          <w:p w:rsidR="000168EB" w:rsidRPr="00C71CDA" w:rsidRDefault="000168EB"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-80.533</w:t>
            </w:r>
          </w:p>
        </w:tc>
      </w:tr>
      <w:tr w:rsidR="00580860" w:rsidRPr="0037604E" w:rsidTr="0037604E">
        <w:trPr>
          <w:trHeight w:val="164"/>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(Increase)/decrease of stocks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-11.421</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-39.037</w:t>
            </w:r>
          </w:p>
        </w:tc>
      </w:tr>
      <w:tr w:rsidR="000168EB" w:rsidRPr="0037604E" w:rsidTr="0037604E">
        <w:trPr>
          <w:trHeight w:val="168"/>
          <w:tblCellSpacing w:w="20" w:type="dxa"/>
        </w:trPr>
        <w:tc>
          <w:tcPr>
            <w:tcW w:w="5105" w:type="dxa"/>
            <w:shd w:val="clear" w:color="auto" w:fill="auto"/>
            <w:vAlign w:val="center"/>
            <w:hideMark/>
          </w:tcPr>
          <w:p w:rsidR="000168EB" w:rsidRPr="00853B7E" w:rsidRDefault="000168EB"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Increase/(decrease) of commercial debts and other debts </w:t>
            </w:r>
          </w:p>
        </w:tc>
        <w:tc>
          <w:tcPr>
            <w:tcW w:w="1782" w:type="dxa"/>
            <w:shd w:val="clear" w:color="auto" w:fill="auto"/>
            <w:vAlign w:val="center"/>
            <w:hideMark/>
          </w:tcPr>
          <w:p w:rsidR="000168EB" w:rsidRPr="00C71CDA" w:rsidRDefault="000168EB" w:rsidP="00F21009">
            <w:pPr>
              <w:spacing w:after="0" w:line="240" w:lineRule="auto"/>
              <w:ind w:firstLine="0"/>
              <w:jc w:val="right"/>
              <w:rPr>
                <w:rFonts w:ascii="Cambria" w:eastAsia="Times New Roman" w:hAnsi="Cambria" w:cs="Times New Roman"/>
                <w:color w:val="000000"/>
                <w:sz w:val="20"/>
                <w:szCs w:val="20"/>
                <w:lang w:eastAsia="en-US"/>
              </w:rPr>
            </w:pPr>
            <w:r>
              <w:rPr>
                <w:rFonts w:ascii="Cambria" w:eastAsia="Times New Roman" w:hAnsi="Cambria" w:cs="Times New Roman"/>
                <w:color w:val="000000"/>
                <w:sz w:val="20"/>
                <w:szCs w:val="20"/>
                <w:lang w:eastAsia="en-US"/>
              </w:rPr>
              <w:t>6</w:t>
            </w:r>
            <w:r w:rsidRPr="00C71CDA">
              <w:rPr>
                <w:rFonts w:ascii="Cambria" w:eastAsia="Times New Roman" w:hAnsi="Cambria" w:cs="Times New Roman"/>
                <w:color w:val="000000"/>
                <w:sz w:val="20"/>
                <w:szCs w:val="20"/>
                <w:lang w:eastAsia="en-US"/>
              </w:rPr>
              <w:t>1.8</w:t>
            </w:r>
            <w:r>
              <w:rPr>
                <w:rFonts w:ascii="Cambria" w:eastAsia="Times New Roman" w:hAnsi="Cambria" w:cs="Times New Roman"/>
                <w:color w:val="000000"/>
                <w:sz w:val="20"/>
                <w:szCs w:val="20"/>
                <w:lang w:eastAsia="en-US"/>
              </w:rPr>
              <w:t>51</w:t>
            </w:r>
          </w:p>
        </w:tc>
        <w:tc>
          <w:tcPr>
            <w:tcW w:w="1924" w:type="dxa"/>
            <w:shd w:val="clear" w:color="auto" w:fill="auto"/>
            <w:vAlign w:val="center"/>
            <w:hideMark/>
          </w:tcPr>
          <w:p w:rsidR="000168EB" w:rsidRPr="00C71CDA" w:rsidRDefault="000168EB"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-10.340</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Cash generated from operation</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748.613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708.911</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Paid interest</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-308</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Received interest</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3.985</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6.392</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Paid tax on profit</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-123.280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-126.979</w:t>
            </w:r>
          </w:p>
        </w:tc>
      </w:tr>
      <w:tr w:rsidR="00580860" w:rsidRPr="0037604E" w:rsidTr="0037604E">
        <w:trPr>
          <w:trHeight w:val="289"/>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 xml:space="preserve">Net cash inflow generated from the operating activity </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629.318</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588.015</w:t>
            </w:r>
          </w:p>
        </w:tc>
      </w:tr>
      <w:tr w:rsidR="00580860" w:rsidRPr="0037604E" w:rsidTr="0037604E">
        <w:trPr>
          <w:trHeight w:val="225"/>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Cash flow from the investment activities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 </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 </w:t>
            </w:r>
          </w:p>
        </w:tc>
      </w:tr>
      <w:tr w:rsidR="00580860" w:rsidRPr="0037604E" w:rsidTr="0037604E">
        <w:trPr>
          <w:trHeight w:val="214"/>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Payments to acquire </w:t>
            </w:r>
          </w:p>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tangible and intangible assets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-182.260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-221.141</w:t>
            </w:r>
          </w:p>
        </w:tc>
      </w:tr>
      <w:tr w:rsidR="00580860" w:rsidRPr="0037604E" w:rsidTr="0037604E">
        <w:trPr>
          <w:trHeight w:val="218"/>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 xml:space="preserve">Proceeds from disposal of </w:t>
            </w:r>
          </w:p>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tangible assets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292</w:t>
            </w:r>
          </w:p>
        </w:tc>
      </w:tr>
      <w:tr w:rsidR="00580860" w:rsidRPr="0037604E" w:rsidTr="0037604E">
        <w:trPr>
          <w:trHeight w:val="194"/>
          <w:tblCellSpacing w:w="20" w:type="dxa"/>
        </w:trPr>
        <w:tc>
          <w:tcPr>
            <w:tcW w:w="5105" w:type="dxa"/>
            <w:shd w:val="clear" w:color="auto" w:fill="auto"/>
            <w:vAlign w:val="center"/>
            <w:hideMark/>
          </w:tcPr>
          <w:p w:rsidR="00580860" w:rsidRPr="00853B7E" w:rsidRDefault="00580860" w:rsidP="0037604E">
            <w:pPr>
              <w:tabs>
                <w:tab w:val="center" w:pos="4500"/>
                <w:tab w:val="decimal" w:pos="6660"/>
                <w:tab w:val="decimal" w:pos="8789"/>
              </w:tabs>
              <w:spacing w:after="0" w:line="280" w:lineRule="atLeast"/>
              <w:ind w:firstLine="0"/>
              <w:rPr>
                <w:rFonts w:ascii="Times New Roman" w:eastAsia="Times New Roman" w:hAnsi="Times New Roman" w:cs="Times New Roman"/>
                <w:sz w:val="20"/>
                <w:szCs w:val="20"/>
                <w:lang w:val="en-GB" w:eastAsia="en-US"/>
              </w:rPr>
            </w:pPr>
            <w:r w:rsidRPr="00853B7E">
              <w:rPr>
                <w:rFonts w:ascii="Times New Roman" w:eastAsia="Times New Roman" w:hAnsi="Times New Roman" w:cs="Times New Roman"/>
                <w:sz w:val="20"/>
                <w:szCs w:val="20"/>
                <w:lang w:val="en-GB" w:eastAsia="en-US"/>
              </w:rPr>
              <w:t>Cash flows from connection fees</w:t>
            </w:r>
          </w:p>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Pr>
                <w:rFonts w:ascii="Times New Roman" w:eastAsia="Times New Roman" w:hAnsi="Times New Roman" w:cs="Times New Roman"/>
                <w:sz w:val="20"/>
                <w:szCs w:val="20"/>
                <w:lang w:val="en-GB" w:eastAsia="en-US"/>
              </w:rPr>
              <w:t>and funds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126.070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57.108</w:t>
            </w:r>
          </w:p>
        </w:tc>
      </w:tr>
      <w:tr w:rsidR="00580860" w:rsidRPr="0037604E" w:rsidTr="0037604E">
        <w:trPr>
          <w:trHeight w:val="212"/>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Net cash used in investment activities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-56.190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-163.741</w:t>
            </w:r>
          </w:p>
        </w:tc>
      </w:tr>
      <w:tr w:rsidR="00580860" w:rsidRPr="0037604E" w:rsidTr="0037604E">
        <w:trPr>
          <w:trHeight w:val="75"/>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Cash flow from  financing activities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 </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 </w:t>
            </w:r>
          </w:p>
        </w:tc>
      </w:tr>
      <w:tr w:rsidR="00580860" w:rsidRPr="0037604E" w:rsidTr="0037604E">
        <w:trPr>
          <w:trHeight w:val="177"/>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Dividends paid</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-324.633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-257.344</w:t>
            </w:r>
          </w:p>
        </w:tc>
      </w:tr>
      <w:tr w:rsidR="00580860" w:rsidRPr="0037604E" w:rsidTr="0037604E">
        <w:trPr>
          <w:trHeight w:val="68"/>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sz w:val="18"/>
                <w:szCs w:val="18"/>
                <w:lang w:val="en-GB" w:eastAsia="en-US"/>
              </w:rPr>
            </w:pPr>
            <w:r w:rsidRPr="00853B7E">
              <w:rPr>
                <w:rFonts w:ascii="Cambria" w:eastAsia="Times New Roman" w:hAnsi="Cambria" w:cs="Calibri"/>
                <w:sz w:val="18"/>
                <w:szCs w:val="18"/>
                <w:lang w:val="en-GB" w:eastAsia="en-US"/>
              </w:rPr>
              <w:t>Repayments of long-term loans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0</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color w:val="000000"/>
                <w:sz w:val="20"/>
                <w:szCs w:val="20"/>
                <w:lang w:eastAsia="en-US"/>
              </w:rPr>
            </w:pPr>
            <w:r w:rsidRPr="00C71CDA">
              <w:rPr>
                <w:rFonts w:ascii="Cambria" w:eastAsia="Times New Roman" w:hAnsi="Cambria" w:cs="Times New Roman"/>
                <w:color w:val="000000"/>
                <w:sz w:val="20"/>
                <w:szCs w:val="20"/>
                <w:lang w:eastAsia="en-US"/>
              </w:rPr>
              <w:t>-24.000</w:t>
            </w:r>
          </w:p>
        </w:tc>
      </w:tr>
      <w:tr w:rsidR="00580860" w:rsidRPr="0037604E" w:rsidTr="0037604E">
        <w:trPr>
          <w:trHeight w:val="228"/>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Net cash used in financing activities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-324.633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-281.344</w:t>
            </w:r>
          </w:p>
        </w:tc>
      </w:tr>
      <w:tr w:rsidR="00580860" w:rsidRPr="0037604E" w:rsidTr="0037604E">
        <w:trPr>
          <w:trHeight w:val="344"/>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Net change in cash and  cash equivalents</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248.495</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142.930</w:t>
            </w:r>
          </w:p>
        </w:tc>
      </w:tr>
      <w:tr w:rsidR="00580860" w:rsidRPr="0037604E" w:rsidTr="0037604E">
        <w:trPr>
          <w:trHeight w:val="141"/>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lastRenderedPageBreak/>
              <w:t>Cash and cash equivalent  at beginning of year</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700.798</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557.868</w:t>
            </w:r>
          </w:p>
        </w:tc>
      </w:tr>
      <w:tr w:rsidR="00580860" w:rsidRPr="0037604E" w:rsidTr="0037604E">
        <w:trPr>
          <w:trHeight w:val="130"/>
          <w:tblCellSpacing w:w="20" w:type="dxa"/>
        </w:trPr>
        <w:tc>
          <w:tcPr>
            <w:tcW w:w="5105" w:type="dxa"/>
            <w:shd w:val="clear" w:color="auto" w:fill="auto"/>
            <w:vAlign w:val="center"/>
            <w:hideMark/>
          </w:tcPr>
          <w:p w:rsidR="00580860" w:rsidRPr="00853B7E" w:rsidRDefault="00580860" w:rsidP="0037604E">
            <w:pPr>
              <w:spacing w:after="0" w:line="240" w:lineRule="auto"/>
              <w:ind w:firstLine="0"/>
              <w:jc w:val="both"/>
              <w:rPr>
                <w:rFonts w:ascii="Cambria" w:eastAsia="Times New Roman" w:hAnsi="Cambria" w:cs="Calibri"/>
                <w:b/>
                <w:bCs/>
                <w:sz w:val="18"/>
                <w:szCs w:val="18"/>
                <w:lang w:val="en-GB" w:eastAsia="en-US"/>
              </w:rPr>
            </w:pPr>
            <w:r w:rsidRPr="00853B7E">
              <w:rPr>
                <w:rFonts w:ascii="Cambria" w:eastAsia="Times New Roman" w:hAnsi="Cambria" w:cs="Calibri"/>
                <w:b/>
                <w:bCs/>
                <w:sz w:val="18"/>
                <w:szCs w:val="18"/>
                <w:lang w:val="en-GB" w:eastAsia="en-US"/>
              </w:rPr>
              <w:t>Cash and cash equivalent  at end of period</w:t>
            </w:r>
          </w:p>
        </w:tc>
        <w:tc>
          <w:tcPr>
            <w:tcW w:w="1782"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949.293</w:t>
            </w:r>
          </w:p>
        </w:tc>
        <w:tc>
          <w:tcPr>
            <w:tcW w:w="1924" w:type="dxa"/>
            <w:shd w:val="clear" w:color="auto" w:fill="auto"/>
            <w:vAlign w:val="center"/>
            <w:hideMark/>
          </w:tcPr>
          <w:p w:rsidR="00580860" w:rsidRPr="00C71CDA" w:rsidRDefault="00580860" w:rsidP="001C15B8">
            <w:pPr>
              <w:spacing w:after="0" w:line="240" w:lineRule="auto"/>
              <w:ind w:firstLine="0"/>
              <w:jc w:val="right"/>
              <w:rPr>
                <w:rFonts w:ascii="Cambria" w:eastAsia="Times New Roman" w:hAnsi="Cambria" w:cs="Times New Roman"/>
                <w:b/>
                <w:bCs/>
                <w:color w:val="000000"/>
                <w:sz w:val="20"/>
                <w:szCs w:val="20"/>
                <w:lang w:eastAsia="en-US"/>
              </w:rPr>
            </w:pPr>
            <w:r w:rsidRPr="00C71CDA">
              <w:rPr>
                <w:rFonts w:ascii="Cambria" w:eastAsia="Times New Roman" w:hAnsi="Cambria" w:cs="Times New Roman"/>
                <w:b/>
                <w:bCs/>
                <w:color w:val="000000"/>
                <w:sz w:val="20"/>
                <w:szCs w:val="20"/>
                <w:lang w:eastAsia="en-US"/>
              </w:rPr>
              <w:t>700.798</w:t>
            </w: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E80C4A" w:rsidP="0037604E">
      <w:pPr>
        <w:spacing w:after="0" w:line="240" w:lineRule="auto"/>
        <w:ind w:firstLine="0"/>
        <w:jc w:val="center"/>
        <w:rPr>
          <w:rFonts w:ascii="Cambria" w:eastAsia="Times New Roman" w:hAnsi="Cambria" w:cs="Times New Roman"/>
          <w:b/>
          <w:i/>
          <w:color w:val="FF0000"/>
          <w:sz w:val="16"/>
          <w:szCs w:val="16"/>
          <w:lang w:val="en-GB" w:eastAsia="ro-RO"/>
        </w:rPr>
      </w:pPr>
      <w:r>
        <w:rPr>
          <w:rFonts w:ascii="Cambria" w:eastAsia="Times New Roman" w:hAnsi="Cambria" w:cs="Times New Roman"/>
          <w:b/>
          <w:i/>
          <w:sz w:val="16"/>
          <w:szCs w:val="16"/>
          <w:lang w:val="en-GB" w:eastAsia="ro-RO"/>
        </w:rPr>
        <w:t xml:space="preserve">Table 43 </w:t>
      </w:r>
      <w:r w:rsidR="0037604E" w:rsidRPr="0037604E">
        <w:rPr>
          <w:rFonts w:ascii="Cambria" w:eastAsia="Times New Roman" w:hAnsi="Cambria" w:cs="Times New Roman"/>
          <w:b/>
          <w:i/>
          <w:sz w:val="16"/>
          <w:szCs w:val="16"/>
          <w:lang w:val="en-GB" w:eastAsia="ro-RO"/>
        </w:rPr>
        <w:t>- Cash flow statement in 2016 vs 2015</w:t>
      </w:r>
    </w:p>
    <w:p w:rsidR="0037604E" w:rsidRPr="0037604E" w:rsidRDefault="0037604E" w:rsidP="0037604E">
      <w:pPr>
        <w:spacing w:after="0" w:line="240" w:lineRule="auto"/>
        <w:ind w:firstLine="0"/>
        <w:jc w:val="both"/>
        <w:rPr>
          <w:rFonts w:ascii="Cambria" w:eastAsia="Times New Roman" w:hAnsi="Cambria" w:cs="Times New Roman"/>
          <w:color w:val="FF0000"/>
          <w:sz w:val="24"/>
          <w:szCs w:val="24"/>
          <w:highlight w:val="yellow"/>
          <w:lang w:val="en-GB" w:eastAsia="ro-RO"/>
        </w:rPr>
      </w:pPr>
    </w:p>
    <w:p w:rsidR="0037604E" w:rsidRPr="00853B7E" w:rsidRDefault="0037604E" w:rsidP="0037604E">
      <w:pPr>
        <w:spacing w:after="0" w:line="240" w:lineRule="auto"/>
        <w:ind w:firstLine="0"/>
        <w:jc w:val="both"/>
        <w:rPr>
          <w:rFonts w:ascii="Cambria" w:eastAsia="Calibri" w:hAnsi="Cambria" w:cs="Times New Roman"/>
          <w:sz w:val="24"/>
          <w:szCs w:val="24"/>
          <w:lang w:val="en-GB" w:eastAsia="ro-RO"/>
        </w:rPr>
      </w:pPr>
      <w:r w:rsidRPr="00853B7E">
        <w:rPr>
          <w:rFonts w:ascii="Cambria" w:eastAsia="Calibri" w:hAnsi="Cambria" w:cs="Times New Roman"/>
          <w:sz w:val="24"/>
          <w:szCs w:val="24"/>
          <w:lang w:val="en-GB" w:eastAsia="ro-RO"/>
        </w:rPr>
        <w:t xml:space="preserve">From the cash flow analysis of </w:t>
      </w:r>
      <w:r w:rsidR="00853B7E">
        <w:rPr>
          <w:rFonts w:ascii="Cambria" w:eastAsia="Calibri" w:hAnsi="Cambria" w:cs="Times New Roman"/>
          <w:b/>
          <w:sz w:val="24"/>
          <w:szCs w:val="24"/>
          <w:lang w:val="en-GB" w:eastAsia="ro-RO"/>
        </w:rPr>
        <w:t>31 December 2016</w:t>
      </w:r>
      <w:r w:rsidRPr="00853B7E">
        <w:rPr>
          <w:rFonts w:ascii="Cambria" w:eastAsia="Calibri" w:hAnsi="Cambria" w:cs="Times New Roman"/>
          <w:b/>
          <w:sz w:val="24"/>
          <w:szCs w:val="24"/>
          <w:lang w:val="en-GB" w:eastAsia="ro-RO"/>
        </w:rPr>
        <w:t xml:space="preserve"> we may note an increase of the budget resources of RON </w:t>
      </w:r>
      <w:r w:rsidR="00853B7E" w:rsidRPr="00853B7E">
        <w:rPr>
          <w:rFonts w:ascii="Cambria" w:eastAsia="Calibri" w:hAnsi="Cambria" w:cs="Times New Roman"/>
          <w:b/>
          <w:sz w:val="24"/>
          <w:szCs w:val="24"/>
          <w:lang w:val="en-GB" w:eastAsia="ro-RO"/>
        </w:rPr>
        <w:t xml:space="preserve">248.495 </w:t>
      </w:r>
      <w:r w:rsidRPr="00853B7E">
        <w:rPr>
          <w:rFonts w:ascii="Cambria" w:eastAsia="Calibri" w:hAnsi="Cambria" w:cs="Times New Roman"/>
          <w:b/>
          <w:sz w:val="24"/>
          <w:szCs w:val="24"/>
          <w:lang w:val="en-GB" w:eastAsia="ro-RO"/>
        </w:rPr>
        <w:t>thousand</w:t>
      </w:r>
      <w:r w:rsidRPr="00853B7E">
        <w:rPr>
          <w:rFonts w:ascii="Cambria" w:eastAsia="Calibri" w:hAnsi="Cambria" w:cs="Times New Roman"/>
          <w:sz w:val="24"/>
          <w:szCs w:val="24"/>
          <w:lang w:val="en-GB" w:eastAsia="ro-RO"/>
        </w:rPr>
        <w:t xml:space="preserve"> </w:t>
      </w:r>
      <w:r w:rsidR="00853B7E">
        <w:rPr>
          <w:rFonts w:ascii="Cambria" w:eastAsia="Calibri" w:hAnsi="Cambria" w:cs="Times New Roman"/>
          <w:b/>
          <w:sz w:val="24"/>
          <w:szCs w:val="24"/>
          <w:lang w:val="en-GB" w:eastAsia="ro-RO"/>
        </w:rPr>
        <w:t>compared to 31 December 2015</w:t>
      </w:r>
      <w:r w:rsidRPr="00853B7E">
        <w:rPr>
          <w:rFonts w:ascii="Cambria" w:eastAsia="Calibri" w:hAnsi="Cambria" w:cs="Times New Roman"/>
          <w:sz w:val="24"/>
          <w:szCs w:val="24"/>
          <w:lang w:val="en-GB" w:eastAsia="ro-RO"/>
        </w:rPr>
        <w:t>.</w:t>
      </w:r>
    </w:p>
    <w:p w:rsidR="0037604E" w:rsidRPr="00853B7E" w:rsidRDefault="0037604E" w:rsidP="0037604E">
      <w:pPr>
        <w:spacing w:after="0" w:line="240" w:lineRule="auto"/>
        <w:ind w:firstLine="0"/>
        <w:jc w:val="both"/>
        <w:rPr>
          <w:rFonts w:ascii="Cambria" w:eastAsia="Calibri" w:hAnsi="Cambria" w:cs="Times New Roman"/>
          <w:sz w:val="24"/>
          <w:szCs w:val="24"/>
          <w:lang w:val="en-GB" w:eastAsia="ro-RO"/>
        </w:rPr>
      </w:pPr>
    </w:p>
    <w:p w:rsidR="0037604E" w:rsidRPr="00853B7E" w:rsidRDefault="0037604E" w:rsidP="0037604E">
      <w:pPr>
        <w:spacing w:after="0" w:line="240" w:lineRule="auto"/>
        <w:ind w:firstLine="0"/>
        <w:jc w:val="both"/>
        <w:rPr>
          <w:rFonts w:ascii="Cambria" w:eastAsia="Calibri" w:hAnsi="Cambria" w:cs="Times New Roman"/>
          <w:sz w:val="24"/>
          <w:szCs w:val="24"/>
          <w:lang w:val="en-GB" w:eastAsia="ro-RO"/>
        </w:rPr>
      </w:pPr>
      <w:r w:rsidRPr="00853B7E">
        <w:rPr>
          <w:rFonts w:ascii="Cambria" w:eastAsia="Calibri" w:hAnsi="Cambria" w:cs="Times New Roman"/>
          <w:sz w:val="24"/>
          <w:szCs w:val="24"/>
          <w:lang w:val="en-GB" w:eastAsia="ro-RO"/>
        </w:rPr>
        <w:t>The modifications which occurred in the cash flow structure are:</w:t>
      </w:r>
    </w:p>
    <w:p w:rsidR="0037604E" w:rsidRPr="00853B7E" w:rsidRDefault="0037604E" w:rsidP="00FA6EB9">
      <w:pPr>
        <w:numPr>
          <w:ilvl w:val="0"/>
          <w:numId w:val="91"/>
        </w:numPr>
        <w:spacing w:after="0" w:line="240" w:lineRule="auto"/>
        <w:contextualSpacing/>
        <w:jc w:val="both"/>
        <w:rPr>
          <w:rFonts w:ascii="Cambria" w:eastAsia="Calibri" w:hAnsi="Cambria" w:cs="Times New Roman"/>
          <w:sz w:val="24"/>
          <w:szCs w:val="24"/>
          <w:lang w:val="en-GB" w:eastAsia="ro-RO"/>
        </w:rPr>
      </w:pPr>
      <w:r w:rsidRPr="00853B7E">
        <w:rPr>
          <w:rFonts w:ascii="Cambria" w:eastAsia="Calibri" w:hAnsi="Cambria" w:cs="Times New Roman"/>
          <w:sz w:val="24"/>
          <w:szCs w:val="24"/>
          <w:lang w:val="en-GB" w:eastAsia="ro-RO"/>
        </w:rPr>
        <w:t xml:space="preserve">The cash flow generated from operation is RON </w:t>
      </w:r>
      <w:r w:rsidR="00853B7E" w:rsidRPr="00853B7E">
        <w:rPr>
          <w:rFonts w:ascii="Cambria" w:eastAsia="Times New Roman" w:hAnsi="Cambria" w:cs="Calibri"/>
          <w:bCs/>
          <w:sz w:val="24"/>
          <w:szCs w:val="24"/>
          <w:lang w:val="en-GB" w:eastAsia="en-US"/>
        </w:rPr>
        <w:t xml:space="preserve">629.318 </w:t>
      </w:r>
      <w:r w:rsidRPr="00853B7E">
        <w:rPr>
          <w:rFonts w:ascii="Cambria" w:eastAsia="Calibri" w:hAnsi="Cambria" w:cs="Times New Roman"/>
          <w:sz w:val="24"/>
          <w:szCs w:val="24"/>
          <w:lang w:val="en-GB" w:eastAsia="ro-RO"/>
        </w:rPr>
        <w:t xml:space="preserve">thousand by RON </w:t>
      </w:r>
      <w:r w:rsidR="00853B7E">
        <w:rPr>
          <w:rFonts w:ascii="Cambria" w:eastAsia="Calibri" w:hAnsi="Cambria" w:cs="Times New Roman"/>
          <w:sz w:val="24"/>
          <w:szCs w:val="24"/>
          <w:lang w:val="en-GB" w:eastAsia="ro-RO"/>
        </w:rPr>
        <w:t>41.303</w:t>
      </w:r>
      <w:r w:rsidR="00853B7E" w:rsidRPr="00853B7E">
        <w:rPr>
          <w:rFonts w:ascii="Cambria" w:eastAsia="Calibri" w:hAnsi="Cambria" w:cs="Times New Roman"/>
          <w:sz w:val="24"/>
          <w:szCs w:val="24"/>
          <w:lang w:val="en-GB" w:eastAsia="ro-RO"/>
        </w:rPr>
        <w:t xml:space="preserve"> </w:t>
      </w:r>
      <w:r w:rsidRPr="00853B7E">
        <w:rPr>
          <w:rFonts w:ascii="Cambria" w:eastAsia="Calibri" w:hAnsi="Cambria" w:cs="Times New Roman"/>
          <w:sz w:val="24"/>
          <w:szCs w:val="24"/>
          <w:lang w:val="en-GB" w:eastAsia="ro-RO"/>
        </w:rPr>
        <w:t>thousand lower than the on</w:t>
      </w:r>
      <w:r w:rsidR="00853B7E">
        <w:rPr>
          <w:rFonts w:ascii="Cambria" w:eastAsia="Calibri" w:hAnsi="Cambria" w:cs="Times New Roman"/>
          <w:sz w:val="24"/>
          <w:szCs w:val="24"/>
          <w:lang w:val="en-GB" w:eastAsia="ro-RO"/>
        </w:rPr>
        <w:t>e related to 2015</w:t>
      </w:r>
      <w:r w:rsidRPr="00853B7E">
        <w:rPr>
          <w:rFonts w:ascii="Cambria" w:eastAsia="Calibri" w:hAnsi="Cambria" w:cs="Times New Roman"/>
          <w:sz w:val="24"/>
          <w:szCs w:val="24"/>
          <w:lang w:val="en-GB" w:eastAsia="ro-RO"/>
        </w:rPr>
        <w:t>;</w:t>
      </w:r>
    </w:p>
    <w:p w:rsidR="0037604E" w:rsidRPr="00853B7E" w:rsidRDefault="0037604E" w:rsidP="00FA6EB9">
      <w:pPr>
        <w:numPr>
          <w:ilvl w:val="0"/>
          <w:numId w:val="91"/>
        </w:numPr>
        <w:spacing w:after="0" w:line="240" w:lineRule="auto"/>
        <w:contextualSpacing/>
        <w:jc w:val="both"/>
        <w:rPr>
          <w:rFonts w:ascii="Cambria" w:eastAsia="Calibri" w:hAnsi="Cambria" w:cs="Times New Roman"/>
          <w:sz w:val="24"/>
          <w:szCs w:val="24"/>
          <w:lang w:val="en-GB" w:eastAsia="ro-RO"/>
        </w:rPr>
      </w:pPr>
      <w:r w:rsidRPr="00853B7E">
        <w:rPr>
          <w:rFonts w:ascii="Cambria" w:eastAsia="Calibri" w:hAnsi="Cambria" w:cs="Times New Roman"/>
          <w:sz w:val="24"/>
          <w:szCs w:val="24"/>
          <w:lang w:val="en-GB" w:eastAsia="ro-RO"/>
        </w:rPr>
        <w:t>The cash flow used in the in</w:t>
      </w:r>
      <w:r w:rsidR="00853B7E">
        <w:rPr>
          <w:rFonts w:ascii="Cambria" w:eastAsia="Calibri" w:hAnsi="Cambria" w:cs="Times New Roman"/>
          <w:sz w:val="24"/>
          <w:szCs w:val="24"/>
          <w:lang w:val="en-GB" w:eastAsia="ro-RO"/>
        </w:rPr>
        <w:t>vestment activity is RON 56.190</w:t>
      </w:r>
      <w:r w:rsidRPr="00853B7E">
        <w:rPr>
          <w:rFonts w:ascii="Cambria" w:eastAsia="Calibri" w:hAnsi="Cambria" w:cs="Times New Roman"/>
          <w:sz w:val="24"/>
          <w:szCs w:val="24"/>
          <w:lang w:val="en-GB" w:eastAsia="ro-RO"/>
        </w:rPr>
        <w:t xml:space="preserve"> thousand by RON </w:t>
      </w:r>
      <w:r w:rsidR="00853B7E">
        <w:rPr>
          <w:rFonts w:ascii="Cambria" w:eastAsia="Calibri" w:hAnsi="Cambria" w:cs="Times New Roman"/>
          <w:sz w:val="24"/>
          <w:szCs w:val="24"/>
          <w:lang w:val="en-GB" w:eastAsia="ro-RO"/>
        </w:rPr>
        <w:t>107.551</w:t>
      </w:r>
      <w:r w:rsidR="00853B7E" w:rsidRPr="00853B7E">
        <w:rPr>
          <w:rFonts w:ascii="Cambria" w:eastAsia="Calibri" w:hAnsi="Cambria" w:cs="Times New Roman"/>
          <w:sz w:val="24"/>
          <w:szCs w:val="24"/>
          <w:lang w:val="en-GB" w:eastAsia="ro-RO"/>
        </w:rPr>
        <w:t xml:space="preserve"> </w:t>
      </w:r>
      <w:r w:rsidRPr="00853B7E">
        <w:rPr>
          <w:rFonts w:ascii="Cambria" w:eastAsia="Calibri" w:hAnsi="Cambria" w:cs="Times New Roman"/>
          <w:sz w:val="24"/>
          <w:szCs w:val="24"/>
          <w:lang w:val="en-GB" w:eastAsia="ro-RO"/>
        </w:rPr>
        <w:t>thousand hig</w:t>
      </w:r>
      <w:r w:rsidR="00853B7E">
        <w:rPr>
          <w:rFonts w:ascii="Cambria" w:eastAsia="Calibri" w:hAnsi="Cambria" w:cs="Times New Roman"/>
          <w:sz w:val="24"/>
          <w:szCs w:val="24"/>
          <w:lang w:val="en-GB" w:eastAsia="ro-RO"/>
        </w:rPr>
        <w:t>her than the one related to 2015</w:t>
      </w:r>
      <w:r w:rsidRPr="00853B7E">
        <w:rPr>
          <w:rFonts w:ascii="Cambria" w:eastAsia="Calibri" w:hAnsi="Cambria" w:cs="Times New Roman"/>
          <w:sz w:val="24"/>
          <w:szCs w:val="24"/>
          <w:lang w:val="en-GB" w:eastAsia="ro-RO"/>
        </w:rPr>
        <w:t>;</w:t>
      </w:r>
    </w:p>
    <w:p w:rsidR="0037604E" w:rsidRPr="00853B7E" w:rsidRDefault="0037604E" w:rsidP="00FA6EB9">
      <w:pPr>
        <w:numPr>
          <w:ilvl w:val="0"/>
          <w:numId w:val="91"/>
        </w:numPr>
        <w:spacing w:after="0" w:line="240" w:lineRule="auto"/>
        <w:contextualSpacing/>
        <w:jc w:val="both"/>
        <w:rPr>
          <w:rFonts w:ascii="Cambria" w:eastAsia="Calibri" w:hAnsi="Cambria" w:cs="Times New Roman"/>
          <w:sz w:val="24"/>
          <w:szCs w:val="24"/>
          <w:lang w:val="en-GB" w:eastAsia="ro-RO"/>
        </w:rPr>
      </w:pPr>
      <w:r w:rsidRPr="00853B7E">
        <w:rPr>
          <w:rFonts w:ascii="Cambria" w:eastAsia="Calibri" w:hAnsi="Cambria" w:cs="Times New Roman"/>
          <w:sz w:val="24"/>
          <w:szCs w:val="24"/>
          <w:lang w:val="en-GB" w:eastAsia="ro-RO"/>
        </w:rPr>
        <w:t xml:space="preserve">The cash flow used in the financing activity is RON </w:t>
      </w:r>
      <w:r w:rsidR="007E2377" w:rsidRPr="007E2377">
        <w:rPr>
          <w:rFonts w:ascii="Cambria" w:eastAsia="Times New Roman" w:hAnsi="Cambria" w:cs="Calibri"/>
          <w:bCs/>
          <w:sz w:val="24"/>
          <w:szCs w:val="24"/>
          <w:lang w:val="en-GB" w:eastAsia="en-US"/>
        </w:rPr>
        <w:t xml:space="preserve">324.633 </w:t>
      </w:r>
      <w:r w:rsidRPr="00853B7E">
        <w:rPr>
          <w:rFonts w:ascii="Cambria" w:eastAsia="Calibri" w:hAnsi="Cambria" w:cs="Times New Roman"/>
          <w:sz w:val="24"/>
          <w:szCs w:val="24"/>
          <w:lang w:val="en-GB" w:eastAsia="ro-RO"/>
        </w:rPr>
        <w:t xml:space="preserve">thousand by RON </w:t>
      </w:r>
      <w:r w:rsidR="007E2377" w:rsidRPr="007E2377">
        <w:rPr>
          <w:rFonts w:ascii="Cambria" w:eastAsia="Calibri" w:hAnsi="Cambria" w:cs="Times New Roman"/>
          <w:sz w:val="24"/>
          <w:szCs w:val="24"/>
          <w:lang w:val="en-GB" w:eastAsia="ro-RO"/>
        </w:rPr>
        <w:t xml:space="preserve">43.289 </w:t>
      </w:r>
      <w:r w:rsidR="005D1819">
        <w:rPr>
          <w:rFonts w:ascii="Cambria" w:eastAsia="Calibri" w:hAnsi="Cambria" w:cs="Times New Roman"/>
          <w:sz w:val="24"/>
          <w:szCs w:val="24"/>
          <w:lang w:val="en-GB" w:eastAsia="ro-RO"/>
        </w:rPr>
        <w:t>thousand lower</w:t>
      </w:r>
      <w:r w:rsidRPr="00853B7E">
        <w:rPr>
          <w:rFonts w:ascii="Cambria" w:eastAsia="Calibri" w:hAnsi="Cambria" w:cs="Times New Roman"/>
          <w:sz w:val="24"/>
          <w:szCs w:val="24"/>
          <w:lang w:val="en-GB" w:eastAsia="ro-RO"/>
        </w:rPr>
        <w:t xml:space="preserve"> than the</w:t>
      </w:r>
      <w:r w:rsidR="005D1819">
        <w:rPr>
          <w:rFonts w:ascii="Cambria" w:eastAsia="Calibri" w:hAnsi="Cambria" w:cs="Times New Roman"/>
          <w:sz w:val="24"/>
          <w:szCs w:val="24"/>
          <w:lang w:val="en-GB" w:eastAsia="ro-RO"/>
        </w:rPr>
        <w:t xml:space="preserve"> one related to 2015</w:t>
      </w:r>
      <w:r w:rsidRPr="00853B7E">
        <w:rPr>
          <w:rFonts w:ascii="Cambria" w:eastAsia="Calibri" w:hAnsi="Cambria" w:cs="Times New Roman"/>
          <w:sz w:val="24"/>
          <w:szCs w:val="24"/>
          <w:lang w:val="en-GB" w:eastAsia="ro-RO"/>
        </w:rPr>
        <w:t>.</w:t>
      </w:r>
    </w:p>
    <w:p w:rsidR="0037604E" w:rsidRPr="00853B7E" w:rsidRDefault="0037604E" w:rsidP="0037604E">
      <w:pPr>
        <w:spacing w:after="0" w:line="240" w:lineRule="auto"/>
        <w:ind w:left="720" w:firstLine="0"/>
        <w:contextualSpacing/>
        <w:jc w:val="both"/>
        <w:rPr>
          <w:rFonts w:ascii="Cambria" w:eastAsia="Calibri" w:hAnsi="Cambria" w:cs="Times New Roman"/>
          <w:sz w:val="24"/>
          <w:szCs w:val="24"/>
          <w:lang w:val="en-GB" w:eastAsia="ro-RO"/>
        </w:rPr>
      </w:pPr>
    </w:p>
    <w:p w:rsidR="0037604E" w:rsidRPr="0037604E" w:rsidRDefault="0037604E" w:rsidP="0037604E">
      <w:pPr>
        <w:spacing w:before="320" w:after="0" w:line="360" w:lineRule="auto"/>
        <w:ind w:firstLine="0"/>
        <w:outlineLvl w:val="2"/>
        <w:rPr>
          <w:rFonts w:asciiTheme="majorHAnsi" w:eastAsia="Times New Roman" w:hAnsiTheme="majorHAnsi" w:cs="Times New Roman"/>
          <w:b/>
          <w:bCs/>
          <w:i/>
          <w:iCs/>
          <w:sz w:val="26"/>
          <w:szCs w:val="26"/>
          <w:lang w:val="en-GB" w:eastAsia="ro-RO"/>
        </w:rPr>
      </w:pPr>
      <w:bookmarkStart w:id="146" w:name="_Toc414263646"/>
      <w:bookmarkStart w:id="147" w:name="_Toc446310882"/>
      <w:r w:rsidRPr="0037604E">
        <w:rPr>
          <w:rFonts w:asciiTheme="majorHAnsi" w:eastAsia="Times New Roman" w:hAnsiTheme="majorHAnsi" w:cs="Times New Roman"/>
          <w:b/>
          <w:bCs/>
          <w:i/>
          <w:iCs/>
          <w:sz w:val="26"/>
          <w:szCs w:val="26"/>
          <w:lang w:val="en-GB" w:eastAsia="ro-RO"/>
        </w:rPr>
        <w:t xml:space="preserve">3.4.4 </w:t>
      </w:r>
      <w:bookmarkEnd w:id="146"/>
      <w:r w:rsidRPr="0037604E">
        <w:rPr>
          <w:rFonts w:asciiTheme="majorHAnsi" w:eastAsia="Cambria" w:hAnsiTheme="majorHAnsi" w:cstheme="majorBidi"/>
          <w:b/>
          <w:bCs/>
          <w:i/>
          <w:iCs/>
          <w:sz w:val="26"/>
          <w:szCs w:val="26"/>
          <w:lang w:val="en-GB"/>
        </w:rPr>
        <w:t>Evaluation of activity on financial risk management</w:t>
      </w:r>
      <w:bookmarkEnd w:id="147"/>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Financial risk factors</w:t>
      </w:r>
    </w:p>
    <w:p w:rsidR="0037604E" w:rsidRPr="005D1819"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5D1819" w:rsidRDefault="0037604E" w:rsidP="0037604E">
      <w:pPr>
        <w:spacing w:after="0" w:line="240" w:lineRule="auto"/>
        <w:ind w:firstLine="0"/>
        <w:jc w:val="both"/>
        <w:rPr>
          <w:rFonts w:ascii="Cambria" w:eastAsia="Cambria" w:hAnsi="Cambria" w:cs="Cambria"/>
          <w:sz w:val="24"/>
          <w:szCs w:val="24"/>
          <w:lang w:val="en-GB"/>
        </w:rPr>
      </w:pPr>
      <w:r w:rsidRPr="005D1819">
        <w:rPr>
          <w:rFonts w:ascii="Cambria" w:eastAsia="Cambria" w:hAnsi="Cambria" w:cs="Cambria"/>
          <w:sz w:val="24"/>
          <w:szCs w:val="24"/>
          <w:lang w:val="en-GB"/>
        </w:rPr>
        <w:t xml:space="preserve">By nature of the activities performed, the Company is exposed to various risks, which include: market risk (including currency risk, interest rate risk on fair value, interest rate risk on cash flow and price risk), credit risk and liquidity risk. </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jc w:val="both"/>
        <w:rPr>
          <w:rFonts w:ascii="Cambria" w:eastAsia="Cambria" w:hAnsi="Cambria" w:cs="Cambria"/>
          <w:sz w:val="24"/>
          <w:szCs w:val="24"/>
          <w:lang w:val="en-GB"/>
        </w:rPr>
      </w:pPr>
      <w:r w:rsidRPr="005D1819">
        <w:rPr>
          <w:rFonts w:ascii="Cambria" w:eastAsia="Cambria" w:hAnsi="Cambria" w:cs="Cambria"/>
          <w:sz w:val="24"/>
          <w:szCs w:val="24"/>
          <w:lang w:val="en-GB"/>
        </w:rPr>
        <w:t xml:space="preserve">Company's risk management program focuses on the unpredictability of financial markets and seeks to minimize potential adverse effects on the financial performance of the Company. </w:t>
      </w:r>
    </w:p>
    <w:p w:rsidR="0037604E" w:rsidRPr="005D1819" w:rsidRDefault="0037604E" w:rsidP="0037604E">
      <w:pPr>
        <w:spacing w:after="0" w:line="240" w:lineRule="auto"/>
        <w:ind w:firstLine="0"/>
        <w:jc w:val="both"/>
        <w:rPr>
          <w:rFonts w:ascii="Cambria" w:eastAsia="Cambria" w:hAnsi="Cambria" w:cs="Cambria"/>
          <w:sz w:val="24"/>
          <w:szCs w:val="24"/>
          <w:lang w:val="en-GB"/>
        </w:rPr>
      </w:pP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The Company does not use derivative financial instruments to protect itself from certain risk exposures.</w:t>
      </w:r>
    </w:p>
    <w:p w:rsidR="0037604E" w:rsidRPr="005D1819" w:rsidRDefault="0037604E" w:rsidP="0037604E">
      <w:pPr>
        <w:spacing w:after="0" w:line="240" w:lineRule="auto"/>
        <w:ind w:firstLine="0"/>
        <w:jc w:val="both"/>
        <w:rPr>
          <w:rFonts w:ascii="Cambria" w:eastAsia="Times New Roman" w:hAnsi="Cambria" w:cs="Times New Roman"/>
          <w:b/>
          <w:spacing w:val="-4"/>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b/>
          <w:spacing w:val="-4"/>
          <w:sz w:val="24"/>
          <w:szCs w:val="24"/>
          <w:lang w:val="en-GB" w:eastAsia="ro-RO"/>
        </w:rPr>
      </w:pPr>
      <w:r w:rsidRPr="005D1819">
        <w:rPr>
          <w:rFonts w:ascii="Cambria" w:eastAsia="Cambria" w:hAnsi="Cambria" w:cs="Cambria"/>
          <w:b/>
          <w:bCs/>
          <w:sz w:val="24"/>
          <w:szCs w:val="24"/>
          <w:lang w:val="en-GB"/>
        </w:rPr>
        <w:t>Market risk</w:t>
      </w:r>
    </w:p>
    <w:p w:rsidR="0037604E" w:rsidRPr="005D1819" w:rsidRDefault="0037604E" w:rsidP="0037604E">
      <w:pPr>
        <w:spacing w:after="0" w:line="240" w:lineRule="auto"/>
        <w:ind w:firstLine="0"/>
        <w:jc w:val="both"/>
        <w:rPr>
          <w:rFonts w:ascii="Cambria" w:eastAsia="Times New Roman" w:hAnsi="Cambria" w:cs="Times New Roman"/>
          <w:i/>
          <w:spacing w:val="-4"/>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i/>
          <w:spacing w:val="-4"/>
          <w:sz w:val="24"/>
          <w:szCs w:val="24"/>
          <w:u w:val="single"/>
          <w:lang w:val="en-GB" w:eastAsia="ro-RO"/>
        </w:rPr>
      </w:pPr>
      <w:r w:rsidRPr="005D1819">
        <w:rPr>
          <w:rFonts w:ascii="Cambria" w:eastAsia="Cambria" w:hAnsi="Cambria" w:cs="Cambria"/>
          <w:i/>
          <w:iCs/>
          <w:sz w:val="24"/>
          <w:szCs w:val="24"/>
          <w:u w:val="single"/>
          <w:lang w:val="en-GB"/>
        </w:rPr>
        <w:t>Currency risk</w:t>
      </w:r>
    </w:p>
    <w:p w:rsidR="0037604E" w:rsidRPr="005D1819" w:rsidRDefault="0037604E" w:rsidP="0037604E">
      <w:pPr>
        <w:spacing w:after="0" w:line="240" w:lineRule="auto"/>
        <w:ind w:firstLine="0"/>
        <w:jc w:val="both"/>
        <w:rPr>
          <w:rFonts w:ascii="Cambria" w:eastAsia="Times New Roman" w:hAnsi="Cambria" w:cs="Times New Roman"/>
          <w:sz w:val="24"/>
          <w:szCs w:val="24"/>
          <w:highlight w:val="yellow"/>
          <w:lang w:val="en-GB" w:eastAsia="ro-RO"/>
        </w:rPr>
      </w:pPr>
    </w:p>
    <w:p w:rsidR="0037604E" w:rsidRPr="005D1819" w:rsidRDefault="0037604E" w:rsidP="0037604E">
      <w:pPr>
        <w:spacing w:after="0" w:line="240" w:lineRule="auto"/>
        <w:ind w:firstLine="0"/>
        <w:jc w:val="both"/>
        <w:rPr>
          <w:rFonts w:ascii="Cambria" w:eastAsia="Times New Roman" w:hAnsi="Cambria" w:cs="Times New Roman"/>
          <w:b/>
          <w:strike/>
          <w:spacing w:val="-4"/>
          <w:sz w:val="24"/>
          <w:szCs w:val="24"/>
          <w:lang w:val="en-GB" w:eastAsia="ro-RO"/>
        </w:rPr>
      </w:pPr>
      <w:r w:rsidRPr="005D1819">
        <w:rPr>
          <w:rFonts w:ascii="Cambria" w:eastAsia="Cambria" w:hAnsi="Cambria" w:cs="Cambria"/>
          <w:sz w:val="24"/>
          <w:szCs w:val="24"/>
          <w:lang w:val="en-GB"/>
        </w:rPr>
        <w:t>The Company is exposed to currency risk by exposures to various foreign currencies, especially to EUR. The currency risk is associated to assets and recognized liabilities.</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ro-RO"/>
        </w:rPr>
      </w:pPr>
      <w:r w:rsidRPr="005D1819">
        <w:rPr>
          <w:rFonts w:ascii="Cambria" w:eastAsia="Cambria" w:hAnsi="Cambria" w:cs="Cambria"/>
          <w:sz w:val="24"/>
          <w:szCs w:val="24"/>
          <w:lang w:val="en-GB"/>
        </w:rPr>
        <w:t xml:space="preserve">The Company does not perform formal actions to minimize the currency risk related to its operations; thus, the Company does not apply hedge accounting.  The management believes, however, that the Company is covered in terms of the currency risk, given that </w:t>
      </w:r>
      <w:r w:rsidR="00300C19">
        <w:rPr>
          <w:rFonts w:ascii="Cambria" w:eastAsia="Cambria" w:hAnsi="Cambria" w:cs="Cambria"/>
          <w:sz w:val="24"/>
          <w:szCs w:val="24"/>
          <w:lang w:val="en-GB"/>
        </w:rPr>
        <w:t xml:space="preserve">cash-ins </w:t>
      </w:r>
      <w:r w:rsidRPr="005D1819">
        <w:rPr>
          <w:rFonts w:ascii="Cambria" w:eastAsia="Cambria" w:hAnsi="Cambria" w:cs="Cambria"/>
          <w:sz w:val="24"/>
          <w:szCs w:val="24"/>
          <w:lang w:val="en-GB"/>
        </w:rPr>
        <w:t>in foreign currencies (mainly incomes from the international gas transmission activity) are used to settle liabilities denominated in foreign currencies.</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ro-RO"/>
        </w:rPr>
      </w:pPr>
      <w:r w:rsidRPr="005D1819">
        <w:rPr>
          <w:rFonts w:ascii="Cambria" w:eastAsia="Cambria" w:hAnsi="Cambria" w:cs="Cambria"/>
          <w:sz w:val="24"/>
          <w:szCs w:val="24"/>
          <w:lang w:val="en-GB"/>
        </w:rPr>
        <w:lastRenderedPageBreak/>
        <w:t>The following table shows the sensitivity of profit or loss and equity, to reasonably possible changes in exchange rates applied to the end of the reporting period of the functional currency of the Company, with all variables held constant:</w:t>
      </w:r>
    </w:p>
    <w:p w:rsidR="0037604E" w:rsidRPr="005D1819" w:rsidRDefault="0037604E" w:rsidP="0037604E">
      <w:pPr>
        <w:widowControl w:val="0"/>
        <w:spacing w:after="0" w:line="240" w:lineRule="auto"/>
        <w:ind w:left="709" w:firstLine="0"/>
        <w:jc w:val="both"/>
        <w:rPr>
          <w:rFonts w:ascii="Cambria" w:eastAsia="Times New Roman" w:hAnsi="Cambria" w:cs="Times New Roman"/>
          <w:spacing w:val="-4"/>
          <w:sz w:val="24"/>
          <w:szCs w:val="24"/>
          <w:lang w:val="en-GB" w:eastAsia="ro-RO"/>
        </w:rPr>
      </w:pPr>
    </w:p>
    <w:p w:rsidR="0037604E" w:rsidRPr="005D1819" w:rsidRDefault="0037604E" w:rsidP="0037604E">
      <w:pPr>
        <w:widowControl w:val="0"/>
        <w:spacing w:after="0" w:line="240" w:lineRule="auto"/>
        <w:ind w:left="709" w:firstLine="0"/>
        <w:jc w:val="both"/>
        <w:rPr>
          <w:rFonts w:ascii="Cambria" w:eastAsia="Times New Roman" w:hAnsi="Cambria" w:cs="Times New Roman"/>
          <w:spacing w:val="-4"/>
          <w:sz w:val="24"/>
          <w:szCs w:val="24"/>
          <w:lang w:val="en-GB" w:eastAsia="ro-RO"/>
        </w:rPr>
      </w:pPr>
    </w:p>
    <w:tbl>
      <w:tblPr>
        <w:tblW w:w="883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674"/>
        <w:gridCol w:w="2413"/>
        <w:gridCol w:w="1750"/>
      </w:tblGrid>
      <w:tr w:rsidR="0037604E" w:rsidRPr="005D1819" w:rsidTr="0037604E">
        <w:trPr>
          <w:tblCellSpacing w:w="20" w:type="dxa"/>
          <w:jc w:val="center"/>
        </w:trPr>
        <w:tc>
          <w:tcPr>
            <w:tcW w:w="4614" w:type="dxa"/>
            <w:shd w:val="clear" w:color="auto" w:fill="DBE5F1"/>
            <w:vAlign w:val="bottom"/>
          </w:tcPr>
          <w:p w:rsidR="0037604E" w:rsidRPr="005D1819" w:rsidRDefault="0037604E" w:rsidP="0037604E">
            <w:pPr>
              <w:widowControl w:val="0"/>
              <w:spacing w:after="0" w:line="240" w:lineRule="auto"/>
              <w:ind w:right="4" w:firstLine="0"/>
              <w:rPr>
                <w:rFonts w:ascii="Cambria" w:eastAsia="Times New Roman" w:hAnsi="Cambria" w:cs="Times New Roman"/>
                <w:b/>
                <w:snapToGrid w:val="0"/>
                <w:sz w:val="24"/>
                <w:szCs w:val="24"/>
                <w:lang w:val="en-GB" w:eastAsia="ro-RO"/>
              </w:rPr>
            </w:pPr>
          </w:p>
        </w:tc>
        <w:tc>
          <w:tcPr>
            <w:tcW w:w="2373" w:type="dxa"/>
            <w:shd w:val="clear" w:color="auto" w:fill="DBE5F1"/>
          </w:tcPr>
          <w:p w:rsidR="0037604E" w:rsidRPr="005D1819" w:rsidRDefault="00300C19" w:rsidP="0037604E">
            <w:pPr>
              <w:widowControl w:val="0"/>
              <w:spacing w:after="0" w:line="240" w:lineRule="auto"/>
              <w:ind w:right="4" w:firstLine="0"/>
              <w:jc w:val="right"/>
              <w:rPr>
                <w:rFonts w:ascii="Cambria" w:eastAsia="Times New Roman" w:hAnsi="Cambria" w:cs="Times New Roman"/>
                <w:b/>
                <w:snapToGrid w:val="0"/>
                <w:sz w:val="24"/>
                <w:szCs w:val="24"/>
                <w:lang w:val="en-GB" w:eastAsia="ro-RO"/>
              </w:rPr>
            </w:pPr>
            <w:r>
              <w:rPr>
                <w:rFonts w:ascii="Cambria" w:eastAsia="Times New Roman" w:hAnsi="Cambria" w:cs="Times New Roman"/>
                <w:b/>
                <w:snapToGrid w:val="0"/>
                <w:sz w:val="24"/>
                <w:szCs w:val="24"/>
                <w:lang w:val="en-GB" w:eastAsia="ro-RO"/>
              </w:rPr>
              <w:t xml:space="preserve">       31 December  2016</w:t>
            </w:r>
          </w:p>
        </w:tc>
        <w:tc>
          <w:tcPr>
            <w:tcW w:w="1690" w:type="dxa"/>
            <w:shd w:val="clear" w:color="auto" w:fill="DBE5F1"/>
          </w:tcPr>
          <w:p w:rsidR="0037604E" w:rsidRPr="005D1819" w:rsidRDefault="00300C19" w:rsidP="0037604E">
            <w:pPr>
              <w:widowControl w:val="0"/>
              <w:spacing w:after="0" w:line="240" w:lineRule="auto"/>
              <w:ind w:right="4" w:firstLine="0"/>
              <w:jc w:val="right"/>
              <w:rPr>
                <w:rFonts w:ascii="Cambria" w:eastAsia="Times New Roman" w:hAnsi="Cambria" w:cs="Times New Roman"/>
                <w:b/>
                <w:snapToGrid w:val="0"/>
                <w:sz w:val="24"/>
                <w:szCs w:val="24"/>
                <w:lang w:val="en-GB" w:eastAsia="ro-RO"/>
              </w:rPr>
            </w:pPr>
            <w:r>
              <w:rPr>
                <w:rFonts w:ascii="Cambria" w:eastAsia="Times New Roman" w:hAnsi="Cambria" w:cs="Times New Roman"/>
                <w:b/>
                <w:snapToGrid w:val="0"/>
                <w:sz w:val="24"/>
                <w:szCs w:val="24"/>
                <w:lang w:val="en-GB" w:eastAsia="ro-RO"/>
              </w:rPr>
              <w:t>31 December        2015</w:t>
            </w:r>
          </w:p>
        </w:tc>
      </w:tr>
      <w:tr w:rsidR="0037604E" w:rsidRPr="005D1819" w:rsidTr="0037604E">
        <w:trPr>
          <w:tblCellSpacing w:w="20" w:type="dxa"/>
          <w:jc w:val="center"/>
        </w:trPr>
        <w:tc>
          <w:tcPr>
            <w:tcW w:w="8757" w:type="dxa"/>
            <w:gridSpan w:val="3"/>
            <w:vAlign w:val="bottom"/>
          </w:tcPr>
          <w:p w:rsidR="0037604E" w:rsidRPr="005D1819" w:rsidRDefault="0037604E" w:rsidP="0037604E">
            <w:pPr>
              <w:widowControl w:val="0"/>
              <w:spacing w:after="0" w:line="240" w:lineRule="auto"/>
              <w:ind w:right="4" w:firstLine="0"/>
              <w:rPr>
                <w:rFonts w:ascii="Cambria" w:eastAsia="Times New Roman" w:hAnsi="Cambria" w:cs="Times New Roman"/>
                <w:sz w:val="24"/>
                <w:szCs w:val="24"/>
                <w:lang w:val="en-GB" w:eastAsia="ro-RO"/>
              </w:rPr>
            </w:pPr>
            <w:r w:rsidRPr="005D1819">
              <w:rPr>
                <w:rFonts w:ascii="Cambria" w:eastAsia="Cambria" w:hAnsi="Cambria" w:cs="Cambria"/>
                <w:i/>
                <w:iCs/>
                <w:sz w:val="24"/>
                <w:szCs w:val="24"/>
                <w:lang w:val="en-GB"/>
              </w:rPr>
              <w:t>Impact on profit and loss and on equity of:</w:t>
            </w:r>
          </w:p>
        </w:tc>
      </w:tr>
      <w:tr w:rsidR="00300C19" w:rsidRPr="005D1819" w:rsidTr="0037604E">
        <w:trPr>
          <w:tblCellSpacing w:w="20" w:type="dxa"/>
          <w:jc w:val="center"/>
        </w:trPr>
        <w:tc>
          <w:tcPr>
            <w:tcW w:w="4614" w:type="dxa"/>
            <w:vAlign w:val="bottom"/>
          </w:tcPr>
          <w:p w:rsidR="00300C19" w:rsidRPr="005D1819" w:rsidRDefault="00300C19" w:rsidP="0037604E">
            <w:pPr>
              <w:spacing w:after="0" w:line="240" w:lineRule="auto"/>
              <w:ind w:firstLine="0"/>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USD appreciation by 10%</w:t>
            </w:r>
          </w:p>
        </w:tc>
        <w:tc>
          <w:tcPr>
            <w:tcW w:w="2373"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150.839</w:t>
            </w:r>
          </w:p>
        </w:tc>
        <w:tc>
          <w:tcPr>
            <w:tcW w:w="1690"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163.938</w:t>
            </w:r>
          </w:p>
        </w:tc>
      </w:tr>
      <w:tr w:rsidR="00300C19" w:rsidRPr="005D1819" w:rsidTr="0037604E">
        <w:trPr>
          <w:tblCellSpacing w:w="20" w:type="dxa"/>
          <w:jc w:val="center"/>
        </w:trPr>
        <w:tc>
          <w:tcPr>
            <w:tcW w:w="4614" w:type="dxa"/>
            <w:vAlign w:val="bottom"/>
          </w:tcPr>
          <w:p w:rsidR="00300C19" w:rsidRPr="005D1819" w:rsidRDefault="00300C19" w:rsidP="0037604E">
            <w:pPr>
              <w:spacing w:after="0" w:line="240" w:lineRule="auto"/>
              <w:ind w:firstLine="0"/>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USD depreciation by 10%</w:t>
            </w:r>
          </w:p>
        </w:tc>
        <w:tc>
          <w:tcPr>
            <w:tcW w:w="2373"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(150.839)</w:t>
            </w:r>
          </w:p>
        </w:tc>
        <w:tc>
          <w:tcPr>
            <w:tcW w:w="1690"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(163.938)</w:t>
            </w:r>
          </w:p>
        </w:tc>
      </w:tr>
      <w:tr w:rsidR="00300C19" w:rsidRPr="005D1819" w:rsidTr="0037604E">
        <w:trPr>
          <w:tblCellSpacing w:w="20" w:type="dxa"/>
          <w:jc w:val="center"/>
        </w:trPr>
        <w:tc>
          <w:tcPr>
            <w:tcW w:w="4614" w:type="dxa"/>
            <w:vAlign w:val="bottom"/>
          </w:tcPr>
          <w:p w:rsidR="00300C19" w:rsidRPr="005D1819" w:rsidRDefault="00300C19" w:rsidP="0037604E">
            <w:pPr>
              <w:spacing w:after="0" w:line="240" w:lineRule="auto"/>
              <w:ind w:firstLine="0"/>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EUR appreciation by 10%</w:t>
            </w:r>
          </w:p>
        </w:tc>
        <w:tc>
          <w:tcPr>
            <w:tcW w:w="2373"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36.308.626</w:t>
            </w:r>
          </w:p>
        </w:tc>
        <w:tc>
          <w:tcPr>
            <w:tcW w:w="1690"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5.600.361</w:t>
            </w:r>
          </w:p>
        </w:tc>
      </w:tr>
      <w:tr w:rsidR="00300C19" w:rsidRPr="005D1819" w:rsidTr="0037604E">
        <w:trPr>
          <w:tblCellSpacing w:w="20" w:type="dxa"/>
          <w:jc w:val="center"/>
        </w:trPr>
        <w:tc>
          <w:tcPr>
            <w:tcW w:w="4614" w:type="dxa"/>
            <w:vAlign w:val="bottom"/>
          </w:tcPr>
          <w:p w:rsidR="00300C19" w:rsidRPr="005D1819" w:rsidRDefault="00300C19" w:rsidP="0037604E">
            <w:pPr>
              <w:spacing w:after="0" w:line="240" w:lineRule="auto"/>
              <w:ind w:firstLine="0"/>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EUR depreciation by 10%</w:t>
            </w:r>
          </w:p>
        </w:tc>
        <w:tc>
          <w:tcPr>
            <w:tcW w:w="2373"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(36.308.626)</w:t>
            </w:r>
          </w:p>
        </w:tc>
        <w:tc>
          <w:tcPr>
            <w:tcW w:w="1690" w:type="dxa"/>
            <w:vAlign w:val="center"/>
          </w:tcPr>
          <w:p w:rsidR="00300C19" w:rsidRPr="00D0767D" w:rsidRDefault="00300C19" w:rsidP="001C15B8">
            <w:pPr>
              <w:spacing w:after="0" w:line="240" w:lineRule="auto"/>
              <w:ind w:firstLine="0"/>
              <w:jc w:val="right"/>
              <w:rPr>
                <w:rFonts w:asciiTheme="majorHAnsi" w:eastAsia="Calibri" w:hAnsiTheme="majorHAnsi" w:cs="Times New Roman"/>
                <w:sz w:val="18"/>
                <w:szCs w:val="18"/>
                <w:lang w:eastAsia="en-US"/>
              </w:rPr>
            </w:pPr>
            <w:r w:rsidRPr="00D0767D">
              <w:rPr>
                <w:rFonts w:asciiTheme="majorHAnsi" w:eastAsia="Calibri" w:hAnsiTheme="majorHAnsi" w:cs="Times New Roman"/>
                <w:sz w:val="18"/>
                <w:szCs w:val="18"/>
                <w:lang w:eastAsia="en-US"/>
              </w:rPr>
              <w:t>(5.600.361)</w:t>
            </w:r>
          </w:p>
        </w:tc>
      </w:tr>
    </w:tbl>
    <w:p w:rsidR="0037604E" w:rsidRPr="005D1819" w:rsidRDefault="0037604E" w:rsidP="0037604E">
      <w:pPr>
        <w:spacing w:after="0" w:line="240" w:lineRule="auto"/>
        <w:ind w:firstLine="0"/>
        <w:rPr>
          <w:rFonts w:ascii="Cambria" w:eastAsia="Times New Roman" w:hAnsi="Cambria" w:cs="Times New Roman"/>
          <w:spacing w:val="-4"/>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i/>
          <w:spacing w:val="-4"/>
          <w:sz w:val="24"/>
          <w:szCs w:val="24"/>
          <w:lang w:val="en-GB" w:eastAsia="ro-RO"/>
        </w:rPr>
      </w:pPr>
      <w:r w:rsidRPr="005D1819">
        <w:rPr>
          <w:rFonts w:ascii="Cambria" w:eastAsia="Cambria" w:hAnsi="Cambria" w:cs="Cambria"/>
          <w:i/>
          <w:iCs/>
          <w:sz w:val="24"/>
          <w:szCs w:val="24"/>
          <w:lang w:val="en-GB"/>
        </w:rPr>
        <w:t xml:space="preserve">Price risk </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ro-RO"/>
        </w:rPr>
      </w:pPr>
      <w:r w:rsidRPr="005D1819">
        <w:rPr>
          <w:rFonts w:ascii="Cambria" w:eastAsia="Cambria" w:hAnsi="Cambria" w:cs="Cambria"/>
          <w:sz w:val="24"/>
          <w:szCs w:val="24"/>
          <w:lang w:val="en-GB"/>
        </w:rPr>
        <w:t xml:space="preserve">The Company is exposed to the commodity price risk related to gas purchased for own consumption. If the gas price had been 5% higher/lower, the net profit related to </w:t>
      </w:r>
      <w:r w:rsidR="005D1819">
        <w:rPr>
          <w:rFonts w:ascii="Cambria" w:eastAsia="Cambria" w:hAnsi="Cambria" w:cs="Cambria"/>
          <w:sz w:val="24"/>
          <w:szCs w:val="24"/>
          <w:lang w:val="en-GB"/>
        </w:rPr>
        <w:t>2016</w:t>
      </w:r>
      <w:r w:rsidRPr="005D1819">
        <w:rPr>
          <w:rFonts w:ascii="Cambria" w:eastAsia="Cambria" w:hAnsi="Cambria" w:cs="Cambria"/>
          <w:sz w:val="24"/>
          <w:szCs w:val="24"/>
          <w:lang w:val="en-GB"/>
        </w:rPr>
        <w:t xml:space="preserve"> would have been lower/higher by RON </w:t>
      </w:r>
      <w:r w:rsidR="005D1819" w:rsidRPr="005D1819">
        <w:rPr>
          <w:rFonts w:ascii="Cambria" w:eastAsia="Times New Roman" w:hAnsi="Cambria" w:cs="Times New Roman"/>
          <w:spacing w:val="-4"/>
          <w:sz w:val="24"/>
          <w:szCs w:val="24"/>
          <w:lang w:val="en-GB" w:eastAsia="ro-RO"/>
        </w:rPr>
        <w:t xml:space="preserve">545.065 </w:t>
      </w:r>
      <w:r w:rsidRPr="005D1819">
        <w:rPr>
          <w:rFonts w:ascii="Cambria" w:eastAsia="Times New Roman" w:hAnsi="Cambria" w:cs="Times New Roman"/>
          <w:spacing w:val="-4"/>
          <w:sz w:val="24"/>
          <w:szCs w:val="24"/>
          <w:lang w:val="en-GB" w:eastAsia="ro-RO"/>
        </w:rPr>
        <w:t>(</w:t>
      </w:r>
      <w:r w:rsidR="005D1819">
        <w:rPr>
          <w:rFonts w:ascii="Cambria" w:eastAsia="Times New Roman" w:hAnsi="Cambria" w:cs="Times New Roman"/>
          <w:spacing w:val="-4"/>
          <w:sz w:val="24"/>
          <w:szCs w:val="24"/>
          <w:lang w:val="en-GB" w:eastAsia="ro-RO"/>
        </w:rPr>
        <w:t xml:space="preserve">December </w:t>
      </w:r>
      <w:r w:rsidRPr="005D1819">
        <w:rPr>
          <w:rFonts w:ascii="Cambria" w:eastAsia="Times New Roman" w:hAnsi="Cambria" w:cs="Times New Roman"/>
          <w:spacing w:val="-4"/>
          <w:sz w:val="24"/>
          <w:szCs w:val="24"/>
          <w:lang w:val="en-GB" w:eastAsia="ro-RO"/>
        </w:rPr>
        <w:t>2</w:t>
      </w:r>
      <w:r w:rsidR="005D1819">
        <w:rPr>
          <w:rFonts w:ascii="Cambria" w:eastAsia="Times New Roman" w:hAnsi="Cambria" w:cs="Times New Roman"/>
          <w:spacing w:val="-4"/>
          <w:sz w:val="24"/>
          <w:szCs w:val="24"/>
          <w:lang w:val="en-GB" w:eastAsia="ro-RO"/>
        </w:rPr>
        <w:t>015: 3.087.911</w:t>
      </w:r>
      <w:r w:rsidRPr="005D1819">
        <w:rPr>
          <w:rFonts w:ascii="Cambria" w:eastAsia="Times New Roman" w:hAnsi="Cambria" w:cs="Times New Roman"/>
          <w:spacing w:val="-4"/>
          <w:sz w:val="24"/>
          <w:szCs w:val="24"/>
          <w:lang w:val="en-GB" w:eastAsia="ro-RO"/>
        </w:rPr>
        <w:t xml:space="preserve"> RON).</w:t>
      </w:r>
    </w:p>
    <w:p w:rsidR="0037604E" w:rsidRPr="005D1819"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i/>
          <w:sz w:val="24"/>
          <w:szCs w:val="24"/>
          <w:u w:val="single"/>
          <w:lang w:val="en-GB" w:eastAsia="ro-RO"/>
        </w:rPr>
      </w:pPr>
      <w:r w:rsidRPr="005D1819">
        <w:rPr>
          <w:rFonts w:ascii="Cambria" w:eastAsia="Cambria" w:hAnsi="Cambria" w:cs="Cambria"/>
          <w:i/>
          <w:iCs/>
          <w:sz w:val="24"/>
          <w:szCs w:val="24"/>
          <w:u w:val="single"/>
          <w:lang w:val="en-GB"/>
        </w:rPr>
        <w:t>Interest rate risk on cash flow and fair value</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5D1819" w:rsidRDefault="00300C19" w:rsidP="0037604E">
      <w:pPr>
        <w:spacing w:after="0" w:line="240" w:lineRule="auto"/>
        <w:ind w:firstLine="0"/>
        <w:jc w:val="both"/>
        <w:rPr>
          <w:rFonts w:ascii="Cambria" w:eastAsia="Times New Roman" w:hAnsi="Cambria" w:cs="Times New Roman"/>
          <w:sz w:val="24"/>
          <w:szCs w:val="24"/>
          <w:lang w:val="en-GB" w:eastAsia="ro-RO"/>
        </w:rPr>
      </w:pPr>
      <w:r>
        <w:rPr>
          <w:rFonts w:ascii="Cambria" w:eastAsia="Cambria" w:hAnsi="Cambria" w:cs="Cambria"/>
          <w:sz w:val="24"/>
          <w:szCs w:val="24"/>
          <w:lang w:val="en-GB"/>
        </w:rPr>
        <w:t>The Company was</w:t>
      </w:r>
      <w:r w:rsidR="0037604E" w:rsidRPr="005D1819">
        <w:rPr>
          <w:rFonts w:ascii="Cambria" w:eastAsia="Cambria" w:hAnsi="Cambria" w:cs="Cambria"/>
          <w:sz w:val="24"/>
          <w:szCs w:val="24"/>
          <w:lang w:val="en-GB"/>
        </w:rPr>
        <w:t xml:space="preserve"> exposed</w:t>
      </w:r>
      <w:r w:rsidR="005D1819">
        <w:rPr>
          <w:rFonts w:ascii="Cambria" w:eastAsia="Cambria" w:hAnsi="Cambria" w:cs="Cambria"/>
          <w:sz w:val="24"/>
          <w:szCs w:val="24"/>
          <w:lang w:val="en-GB"/>
        </w:rPr>
        <w:t xml:space="preserve"> until December 2015</w:t>
      </w:r>
      <w:r w:rsidR="0037604E" w:rsidRPr="005D1819">
        <w:rPr>
          <w:rFonts w:ascii="Cambria" w:eastAsia="Cambria" w:hAnsi="Cambria" w:cs="Cambria"/>
          <w:sz w:val="24"/>
          <w:szCs w:val="24"/>
          <w:lang w:val="en-GB"/>
        </w:rPr>
        <w:t xml:space="preserve"> to interest rate risk by its mostly variable rate long and short-term loans. Also, the Company is exposed to the interest rate risk by deposits with banks. The Company has not concluded any commitment to diminish the risk.  </w:t>
      </w:r>
    </w:p>
    <w:p w:rsidR="0037604E" w:rsidRPr="005D1819" w:rsidRDefault="0037604E" w:rsidP="0037604E">
      <w:pPr>
        <w:spacing w:after="0" w:line="240" w:lineRule="auto"/>
        <w:ind w:firstLine="0"/>
        <w:jc w:val="both"/>
        <w:rPr>
          <w:rFonts w:ascii="Cambria" w:eastAsia="Times New Roman" w:hAnsi="Cambria" w:cs="Times New Roman"/>
          <w:sz w:val="24"/>
          <w:szCs w:val="24"/>
          <w:highlight w:val="yellow"/>
          <w:lang w:val="en-GB" w:eastAsia="ro-RO"/>
        </w:rPr>
      </w:pPr>
    </w:p>
    <w:p w:rsidR="0037604E" w:rsidRPr="005D1819" w:rsidRDefault="005D1819" w:rsidP="0037604E">
      <w:pPr>
        <w:spacing w:after="0" w:line="240" w:lineRule="auto"/>
        <w:ind w:firstLine="0"/>
        <w:jc w:val="both"/>
        <w:rPr>
          <w:rFonts w:ascii="Cambria" w:eastAsia="Times New Roman" w:hAnsi="Cambria" w:cs="Times New Roman"/>
          <w:sz w:val="24"/>
          <w:szCs w:val="24"/>
          <w:lang w:val="en-GB" w:eastAsia="ro-RO"/>
        </w:rPr>
      </w:pPr>
      <w:r>
        <w:rPr>
          <w:rFonts w:ascii="Cambria" w:eastAsia="Cambria" w:hAnsi="Cambria" w:cs="Cambria"/>
          <w:sz w:val="24"/>
          <w:szCs w:val="24"/>
          <w:lang w:val="en-GB"/>
        </w:rPr>
        <w:t>For the average exposure in 2016</w:t>
      </w:r>
      <w:r w:rsidR="0037604E" w:rsidRPr="005D1819">
        <w:rPr>
          <w:rFonts w:ascii="Cambria" w:eastAsia="Cambria" w:hAnsi="Cambria" w:cs="Cambria"/>
          <w:sz w:val="24"/>
          <w:szCs w:val="24"/>
          <w:lang w:val="en-GB"/>
        </w:rPr>
        <w:t>, if the interest rates had been by 50 basis points lower/higher, with all the other variables maintained const</w:t>
      </w:r>
      <w:r w:rsidR="006D2957">
        <w:rPr>
          <w:rFonts w:ascii="Cambria" w:eastAsia="Cambria" w:hAnsi="Cambria" w:cs="Cambria"/>
          <w:sz w:val="24"/>
          <w:szCs w:val="24"/>
          <w:lang w:val="en-GB"/>
        </w:rPr>
        <w:t>ant, the profit related to 2016</w:t>
      </w:r>
      <w:r w:rsidR="0037604E" w:rsidRPr="005D1819">
        <w:rPr>
          <w:rFonts w:ascii="Cambria" w:eastAsia="Cambria" w:hAnsi="Cambria" w:cs="Cambria"/>
          <w:sz w:val="24"/>
          <w:szCs w:val="24"/>
          <w:lang w:val="en-GB"/>
        </w:rPr>
        <w:t xml:space="preserve"> and equity would have been by RON</w:t>
      </w:r>
      <w:r w:rsidR="0037604E" w:rsidRPr="005D1819">
        <w:rPr>
          <w:rFonts w:ascii="Cambria" w:eastAsia="Times New Roman" w:hAnsi="Cambria" w:cs="Times New Roman"/>
          <w:sz w:val="24"/>
          <w:szCs w:val="24"/>
          <w:lang w:val="en-GB" w:eastAsia="ro-RO"/>
        </w:rPr>
        <w:t xml:space="preserve"> </w:t>
      </w:r>
      <w:r w:rsidR="006D2957" w:rsidRPr="006D2957">
        <w:rPr>
          <w:rFonts w:ascii="Cambria" w:eastAsia="Times New Roman" w:hAnsi="Cambria" w:cs="Times New Roman"/>
          <w:sz w:val="24"/>
          <w:szCs w:val="24"/>
          <w:lang w:val="en-GB" w:eastAsia="ro-RO"/>
        </w:rPr>
        <w:t xml:space="preserve">2.946.452 </w:t>
      </w:r>
      <w:r w:rsidR="0037604E" w:rsidRPr="005D1819">
        <w:rPr>
          <w:rFonts w:ascii="Cambria" w:eastAsia="Cambria" w:hAnsi="Cambria" w:cs="Cambria"/>
          <w:sz w:val="24"/>
          <w:szCs w:val="24"/>
          <w:lang w:val="en-GB"/>
        </w:rPr>
        <w:t>lower/higher (</w:t>
      </w:r>
      <w:r w:rsidR="006D2957">
        <w:rPr>
          <w:rFonts w:ascii="Cambria" w:eastAsia="Times New Roman" w:hAnsi="Cambria" w:cs="Times New Roman"/>
          <w:sz w:val="24"/>
          <w:szCs w:val="24"/>
          <w:lang w:val="en-GB" w:eastAsia="ro-RO"/>
        </w:rPr>
        <w:t xml:space="preserve">2015: </w:t>
      </w:r>
      <w:r w:rsidR="00E53507" w:rsidRPr="00B25912">
        <w:rPr>
          <w:rFonts w:asciiTheme="majorHAnsi" w:eastAsia="Calibri" w:hAnsiTheme="majorHAnsi" w:cs="Times New Roman"/>
          <w:sz w:val="24"/>
          <w:szCs w:val="24"/>
          <w:lang w:val="ro-RO" w:eastAsia="en-US"/>
        </w:rPr>
        <w:t>2.471.548</w:t>
      </w:r>
      <w:r w:rsidR="00E53507">
        <w:rPr>
          <w:rFonts w:asciiTheme="majorHAnsi" w:eastAsia="Calibri" w:hAnsiTheme="majorHAnsi" w:cs="Times New Roman"/>
          <w:sz w:val="24"/>
          <w:szCs w:val="24"/>
          <w:lang w:val="ro-RO" w:eastAsia="en-US"/>
        </w:rPr>
        <w:t xml:space="preserve"> </w:t>
      </w:r>
      <w:r w:rsidR="0037604E" w:rsidRPr="005D1819">
        <w:rPr>
          <w:rFonts w:ascii="Cambria" w:eastAsia="Times New Roman" w:hAnsi="Cambria" w:cs="Times New Roman"/>
          <w:sz w:val="24"/>
          <w:szCs w:val="24"/>
          <w:lang w:val="en-GB" w:eastAsia="ro-RO"/>
        </w:rPr>
        <w:t xml:space="preserve">RON), as a net result of the interest rate variation for bank deposits, and the interest rate variation for </w:t>
      </w:r>
      <w:r w:rsidR="0037604E" w:rsidRPr="005D1819">
        <w:rPr>
          <w:rFonts w:ascii="Cambria" w:eastAsia="Cambria" w:hAnsi="Cambria" w:cs="Cambria"/>
          <w:sz w:val="24"/>
          <w:szCs w:val="24"/>
          <w:lang w:val="en-GB"/>
        </w:rPr>
        <w:t>floating rate obligations</w:t>
      </w:r>
      <w:r w:rsidR="0037604E" w:rsidRPr="005D1819">
        <w:rPr>
          <w:rFonts w:ascii="Cambria" w:eastAsia="Times New Roman" w:hAnsi="Cambria" w:cs="Times New Roman"/>
          <w:sz w:val="24"/>
          <w:szCs w:val="24"/>
          <w:lang w:val="en-GB" w:eastAsia="ro-RO"/>
        </w:rPr>
        <w:t xml:space="preserve">. </w:t>
      </w:r>
    </w:p>
    <w:p w:rsidR="0037604E" w:rsidRPr="005D1819" w:rsidRDefault="0037604E" w:rsidP="0037604E">
      <w:pPr>
        <w:spacing w:after="0" w:line="240" w:lineRule="auto"/>
        <w:ind w:firstLine="0"/>
        <w:rPr>
          <w:rFonts w:ascii="Cambria" w:eastAsia="Times New Roman" w:hAnsi="Cambria" w:cs="Times New Roman"/>
          <w:b/>
          <w:i/>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i/>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i/>
          <w:sz w:val="24"/>
          <w:szCs w:val="24"/>
          <w:lang w:val="en-GB" w:eastAsia="ro-RO"/>
        </w:rPr>
      </w:pPr>
      <w:r w:rsidRPr="005D1819">
        <w:rPr>
          <w:rFonts w:ascii="Cambria" w:eastAsia="Cambria" w:hAnsi="Cambria" w:cs="Cambria"/>
          <w:b/>
          <w:bCs/>
          <w:i/>
          <w:iCs/>
          <w:sz w:val="24"/>
          <w:szCs w:val="24"/>
          <w:lang w:val="en-GB"/>
        </w:rPr>
        <w:t>Credit risk</w:t>
      </w:r>
    </w:p>
    <w:p w:rsidR="0037604E" w:rsidRPr="005D1819" w:rsidRDefault="0037604E" w:rsidP="0037604E">
      <w:pPr>
        <w:spacing w:after="0" w:line="240" w:lineRule="auto"/>
        <w:ind w:firstLine="0"/>
        <w:jc w:val="both"/>
        <w:rPr>
          <w:rFonts w:ascii="Cambria" w:eastAsia="Times New Roman" w:hAnsi="Cambria" w:cs="Times New Roman"/>
          <w:sz w:val="24"/>
          <w:szCs w:val="24"/>
          <w:highlight w:val="yellow"/>
          <w:lang w:val="en-GB" w:eastAsia="en-US"/>
        </w:rPr>
      </w:pP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r w:rsidRPr="005D1819">
        <w:rPr>
          <w:rFonts w:ascii="Cambria" w:eastAsia="Cambria" w:hAnsi="Cambria" w:cs="Cambria"/>
          <w:sz w:val="24"/>
          <w:szCs w:val="24"/>
          <w:lang w:val="en-GB"/>
        </w:rPr>
        <w:t xml:space="preserve">Credit risk is especially related to cash and cash equivalents and trade receivables. The Company has drawn up a number of policies, through their application ensuring that sales of products and services are made to proper customers.  </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r w:rsidRPr="005D1819">
        <w:rPr>
          <w:rFonts w:ascii="Cambria" w:eastAsia="Cambria" w:hAnsi="Cambria" w:cs="Cambria"/>
          <w:sz w:val="24"/>
          <w:szCs w:val="24"/>
          <w:lang w:val="en-GB"/>
        </w:rPr>
        <w:t>The book value of receivables, net of provisions for doubtful debts, represents the maximum value exposed to credit risk.  The Company's credit risk is concentrated on the 5 main customer</w:t>
      </w:r>
      <w:r w:rsidR="006D2957">
        <w:rPr>
          <w:rFonts w:ascii="Cambria" w:eastAsia="Cambria" w:hAnsi="Cambria" w:cs="Cambria"/>
          <w:sz w:val="24"/>
          <w:szCs w:val="24"/>
          <w:lang w:val="en-GB"/>
        </w:rPr>
        <w:t>s, which together account for 71</w:t>
      </w:r>
      <w:r w:rsidRPr="005D1819">
        <w:rPr>
          <w:rFonts w:ascii="Cambria" w:eastAsia="Cambria" w:hAnsi="Cambria" w:cs="Cambria"/>
          <w:sz w:val="24"/>
          <w:szCs w:val="24"/>
          <w:lang w:val="en-GB"/>
        </w:rPr>
        <w:t>% of the trade receivable balances on December 31</w:t>
      </w:r>
      <w:r w:rsidRPr="005D1819">
        <w:rPr>
          <w:rFonts w:ascii="Cambria" w:eastAsia="Cambria" w:hAnsi="Cambria" w:cs="Cambria"/>
          <w:sz w:val="24"/>
          <w:szCs w:val="24"/>
          <w:vertAlign w:val="superscript"/>
          <w:lang w:val="en-GB"/>
        </w:rPr>
        <w:t>st</w:t>
      </w:r>
      <w:r w:rsidR="006D2957">
        <w:rPr>
          <w:rFonts w:ascii="Cambria" w:eastAsia="Cambria" w:hAnsi="Cambria" w:cs="Cambria"/>
          <w:sz w:val="24"/>
          <w:szCs w:val="24"/>
          <w:lang w:val="en-GB"/>
        </w:rPr>
        <w:t xml:space="preserve"> 2016 (31 December 2015: 69</w:t>
      </w:r>
      <w:r w:rsidRPr="005D1819">
        <w:rPr>
          <w:rFonts w:ascii="Cambria" w:eastAsia="Cambria" w:hAnsi="Cambria" w:cs="Cambria"/>
          <w:sz w:val="24"/>
          <w:szCs w:val="24"/>
          <w:lang w:val="en-GB"/>
        </w:rPr>
        <w:t>%).</w:t>
      </w: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r w:rsidRPr="005D1819">
        <w:rPr>
          <w:rFonts w:ascii="Cambria" w:eastAsia="Cambria" w:hAnsi="Cambria" w:cs="Cambria"/>
          <w:sz w:val="24"/>
          <w:szCs w:val="24"/>
          <w:lang w:val="en-GB"/>
        </w:rPr>
        <w:t>Although the collection of receivables can be influenced by economic factors, the management believes that there is no significant risk of loss exceeding the provisions already made. Cash is with financial institutions, which are considered as associated to a minimum performance risk.</w:t>
      </w:r>
      <w:r w:rsidRPr="005D1819">
        <w:rPr>
          <w:rFonts w:ascii="Cambria" w:eastAsia="Cambria" w:hAnsi="Cambria" w:cs="Cambria"/>
          <w:sz w:val="24"/>
          <w:szCs w:val="24"/>
          <w:lang w:val="en-GB"/>
        </w:rPr>
        <w:tab/>
      </w:r>
    </w:p>
    <w:p w:rsidR="0037604E" w:rsidRPr="005D1819" w:rsidRDefault="0037604E" w:rsidP="0037604E">
      <w:pPr>
        <w:spacing w:after="0" w:line="240" w:lineRule="auto"/>
        <w:ind w:firstLine="0"/>
        <w:rPr>
          <w:rFonts w:ascii="Cambria" w:eastAsia="Times New Roman" w:hAnsi="Cambria" w:cs="Times New Roman"/>
          <w:b/>
          <w:sz w:val="24"/>
          <w:szCs w:val="24"/>
          <w:lang w:val="en-GB" w:eastAsia="ro-RO"/>
        </w:rPr>
      </w:pPr>
    </w:p>
    <w:tbl>
      <w:tblPr>
        <w:tblW w:w="5000" w:type="pct"/>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067"/>
        <w:gridCol w:w="2633"/>
        <w:gridCol w:w="2321"/>
      </w:tblGrid>
      <w:tr w:rsidR="0025066C" w:rsidRPr="005D1819" w:rsidTr="0025066C">
        <w:trPr>
          <w:trHeight w:val="255"/>
          <w:tblCellSpacing w:w="20" w:type="dxa"/>
          <w:jc w:val="center"/>
        </w:trPr>
        <w:tc>
          <w:tcPr>
            <w:tcW w:w="2222" w:type="pct"/>
            <w:shd w:val="clear" w:color="auto" w:fill="DBE5F1"/>
            <w:noWrap/>
            <w:vAlign w:val="bottom"/>
            <w:hideMark/>
          </w:tcPr>
          <w:p w:rsidR="0025066C" w:rsidRPr="005D1819" w:rsidRDefault="0025066C" w:rsidP="0037604E">
            <w:pPr>
              <w:spacing w:after="0" w:line="240" w:lineRule="auto"/>
              <w:ind w:firstLine="0"/>
              <w:rPr>
                <w:rFonts w:ascii="Cambria" w:eastAsia="Times New Roman" w:hAnsi="Cambria" w:cs="Times New Roman"/>
                <w:sz w:val="24"/>
                <w:szCs w:val="24"/>
                <w:lang w:val="en-GB" w:eastAsia="ro-RO"/>
              </w:rPr>
            </w:pPr>
          </w:p>
        </w:tc>
        <w:tc>
          <w:tcPr>
            <w:tcW w:w="1438" w:type="pct"/>
            <w:shd w:val="clear" w:color="auto" w:fill="D6E0F4"/>
            <w:noWrap/>
            <w:vAlign w:val="center"/>
            <w:hideMark/>
          </w:tcPr>
          <w:p w:rsidR="0025066C" w:rsidRPr="00B51A68" w:rsidRDefault="0025066C" w:rsidP="001C15B8">
            <w:pPr>
              <w:spacing w:after="0" w:line="240" w:lineRule="auto"/>
              <w:ind w:firstLine="0"/>
              <w:jc w:val="center"/>
              <w:rPr>
                <w:rFonts w:asciiTheme="majorHAnsi" w:eastAsia="Times New Roman" w:hAnsiTheme="majorHAnsi" w:cs="Times New Roman"/>
                <w:sz w:val="18"/>
                <w:szCs w:val="18"/>
                <w:lang w:val="ro-RO" w:eastAsia="ro-RO"/>
              </w:rPr>
            </w:pPr>
            <w:r>
              <w:rPr>
                <w:rFonts w:asciiTheme="majorHAnsi" w:eastAsia="Times New Roman" w:hAnsiTheme="majorHAnsi" w:cs="Times New Roman"/>
                <w:b/>
                <w:sz w:val="18"/>
                <w:szCs w:val="18"/>
                <w:lang w:val="ro-RO" w:eastAsia="ro-RO"/>
              </w:rPr>
              <w:t>31 December</w:t>
            </w:r>
            <w:r w:rsidRPr="00B51A68">
              <w:rPr>
                <w:rFonts w:asciiTheme="majorHAnsi" w:eastAsia="Times New Roman" w:hAnsiTheme="majorHAnsi" w:cs="Times New Roman"/>
                <w:b/>
                <w:sz w:val="18"/>
                <w:szCs w:val="18"/>
                <w:lang w:val="ro-RO" w:eastAsia="ro-RO"/>
              </w:rPr>
              <w:t xml:space="preserve"> 2016</w:t>
            </w:r>
          </w:p>
        </w:tc>
        <w:tc>
          <w:tcPr>
            <w:tcW w:w="1254" w:type="pct"/>
            <w:shd w:val="clear" w:color="auto" w:fill="D6E0F4"/>
            <w:vAlign w:val="center"/>
          </w:tcPr>
          <w:p w:rsidR="0025066C" w:rsidRPr="00B51A68" w:rsidRDefault="0025066C" w:rsidP="001C15B8">
            <w:pPr>
              <w:spacing w:after="0" w:line="240" w:lineRule="auto"/>
              <w:ind w:firstLine="0"/>
              <w:jc w:val="center"/>
              <w:rPr>
                <w:rFonts w:asciiTheme="majorHAnsi" w:eastAsia="Times New Roman" w:hAnsiTheme="majorHAnsi" w:cs="Times New Roman"/>
                <w:sz w:val="18"/>
                <w:szCs w:val="18"/>
                <w:lang w:val="ro-RO" w:eastAsia="ro-RO"/>
              </w:rPr>
            </w:pPr>
            <w:r w:rsidRPr="00B51A68">
              <w:rPr>
                <w:rFonts w:asciiTheme="majorHAnsi" w:eastAsia="Times New Roman" w:hAnsiTheme="majorHAnsi" w:cs="Times New Roman"/>
                <w:b/>
                <w:sz w:val="18"/>
                <w:szCs w:val="18"/>
                <w:lang w:val="ro-RO" w:eastAsia="ro-RO"/>
              </w:rPr>
              <w:t xml:space="preserve">31 </w:t>
            </w:r>
            <w:r>
              <w:rPr>
                <w:rFonts w:asciiTheme="majorHAnsi" w:eastAsia="Times New Roman" w:hAnsiTheme="majorHAnsi" w:cs="Times New Roman"/>
                <w:b/>
                <w:sz w:val="18"/>
                <w:szCs w:val="18"/>
                <w:lang w:val="ro-RO" w:eastAsia="ro-RO"/>
              </w:rPr>
              <w:t>December</w:t>
            </w:r>
            <w:r w:rsidRPr="00B51A68">
              <w:rPr>
                <w:rFonts w:asciiTheme="majorHAnsi" w:eastAsia="Times New Roman" w:hAnsiTheme="majorHAnsi" w:cs="Times New Roman"/>
                <w:b/>
                <w:sz w:val="18"/>
                <w:szCs w:val="18"/>
                <w:lang w:val="ro-RO" w:eastAsia="ro-RO"/>
              </w:rPr>
              <w:t xml:space="preserve"> 2015</w:t>
            </w:r>
          </w:p>
        </w:tc>
      </w:tr>
      <w:tr w:rsidR="0025066C" w:rsidRPr="005D1819" w:rsidTr="0025066C">
        <w:trPr>
          <w:trHeight w:val="308"/>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Times New Roman" w:hAnsiTheme="majorHAnsi" w:cs="Times New Roman"/>
                <w:sz w:val="18"/>
                <w:szCs w:val="18"/>
                <w:lang w:val="en-GB" w:eastAsia="en-US"/>
              </w:rPr>
              <w:t>No rating</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5.265.9</w:t>
            </w:r>
            <w:r>
              <w:rPr>
                <w:rFonts w:asciiTheme="majorHAnsi" w:hAnsiTheme="majorHAnsi"/>
                <w:sz w:val="18"/>
                <w:szCs w:val="18"/>
              </w:rPr>
              <w:t>22</w:t>
            </w:r>
          </w:p>
        </w:tc>
        <w:tc>
          <w:tcPr>
            <w:tcW w:w="1254" w:type="pct"/>
            <w:vAlign w:val="center"/>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eastAsia="Calibri" w:hAnsiTheme="majorHAnsi" w:cs="Times New Roman"/>
                <w:sz w:val="18"/>
                <w:szCs w:val="18"/>
                <w:lang w:eastAsia="en-US"/>
              </w:rPr>
              <w:t>1.433.162</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Times New Roman" w:hAnsiTheme="majorHAnsi" w:cs="Times New Roman"/>
                <w:sz w:val="18"/>
                <w:szCs w:val="18"/>
                <w:lang w:val="en-GB" w:eastAsia="en-US"/>
              </w:rPr>
              <w:t xml:space="preserve">BB </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335.096.959</w:t>
            </w:r>
          </w:p>
        </w:tc>
        <w:tc>
          <w:tcPr>
            <w:tcW w:w="1254" w:type="pct"/>
            <w:vAlign w:val="center"/>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eastAsia="Calibri" w:hAnsiTheme="majorHAnsi" w:cs="Times New Roman"/>
                <w:sz w:val="18"/>
                <w:szCs w:val="18"/>
                <w:lang w:eastAsia="en-US"/>
              </w:rPr>
              <w:t>252.046.000</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BB+</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4.192.200</w:t>
            </w:r>
          </w:p>
        </w:tc>
        <w:tc>
          <w:tcPr>
            <w:tcW w:w="1254" w:type="pct"/>
            <w:vAlign w:val="center"/>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eastAsia="Calibri" w:hAnsiTheme="majorHAnsi" w:cs="Times New Roman"/>
                <w:sz w:val="18"/>
                <w:szCs w:val="18"/>
                <w:lang w:eastAsia="en-US"/>
              </w:rPr>
              <w:t>1.910.084</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BBB-</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974.762</w:t>
            </w:r>
          </w:p>
        </w:tc>
        <w:tc>
          <w:tcPr>
            <w:tcW w:w="1254" w:type="pct"/>
            <w:vAlign w:val="center"/>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eastAsia="Calibri" w:hAnsiTheme="majorHAnsi" w:cs="Times New Roman"/>
                <w:sz w:val="18"/>
                <w:szCs w:val="18"/>
                <w:lang w:eastAsia="en-US"/>
              </w:rPr>
              <w:t>683.305</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BBB</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495.423.597</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258.276.067</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BBB+</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107.867.942</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35.232.715</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A</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139.154</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150.919.196</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Times New Roman" w:hAnsiTheme="majorHAnsi" w:cs="Times New Roman"/>
                <w:sz w:val="18"/>
                <w:szCs w:val="18"/>
                <w:lang w:val="en-GB" w:eastAsia="en-US"/>
              </w:rPr>
            </w:pPr>
            <w:r w:rsidRPr="005D1819">
              <w:rPr>
                <w:rFonts w:asciiTheme="majorHAnsi" w:eastAsia="Calibri" w:hAnsiTheme="majorHAnsi" w:cs="Times New Roman"/>
                <w:sz w:val="18"/>
                <w:szCs w:val="18"/>
                <w:lang w:val="en-GB" w:eastAsia="en-US"/>
              </w:rPr>
              <w:t>A+</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eastAsia="Calibri" w:hAnsiTheme="majorHAnsi" w:cs="Times New Roman"/>
                <w:sz w:val="18"/>
                <w:szCs w:val="18"/>
                <w:lang w:eastAsia="en-US"/>
              </w:rPr>
              <w:t>-</w:t>
            </w:r>
          </w:p>
        </w:tc>
      </w:tr>
      <w:tr w:rsidR="0025066C" w:rsidRPr="005D1819" w:rsidTr="0025066C">
        <w:trPr>
          <w:trHeight w:val="255"/>
          <w:tblCellSpacing w:w="20" w:type="dxa"/>
          <w:jc w:val="center"/>
        </w:trPr>
        <w:tc>
          <w:tcPr>
            <w:tcW w:w="2222" w:type="pct"/>
            <w:shd w:val="clear" w:color="auto" w:fill="auto"/>
            <w:noWrap/>
            <w:vAlign w:val="center"/>
            <w:hideMark/>
          </w:tcPr>
          <w:p w:rsidR="0025066C" w:rsidRPr="005D1819" w:rsidRDefault="0025066C" w:rsidP="0037604E">
            <w:pPr>
              <w:spacing w:after="0" w:line="240" w:lineRule="auto"/>
              <w:ind w:firstLine="0"/>
              <w:rPr>
                <w:rFonts w:asciiTheme="majorHAnsi" w:eastAsia="Calibri" w:hAnsiTheme="majorHAnsi" w:cs="Times New Roman"/>
                <w:sz w:val="18"/>
                <w:szCs w:val="18"/>
                <w:lang w:val="en-GB" w:eastAsia="en-US"/>
              </w:rPr>
            </w:pPr>
            <w:r w:rsidRPr="005D1819">
              <w:rPr>
                <w:rFonts w:asciiTheme="majorHAnsi" w:eastAsia="Calibri" w:hAnsiTheme="majorHAnsi" w:cs="Times New Roman"/>
                <w:sz w:val="18"/>
                <w:szCs w:val="18"/>
                <w:lang w:val="en-GB" w:eastAsia="en-US"/>
              </w:rPr>
              <w:t>AA</w:t>
            </w:r>
          </w:p>
        </w:tc>
        <w:tc>
          <w:tcPr>
            <w:tcW w:w="1438" w:type="pct"/>
            <w:shd w:val="clear" w:color="auto" w:fill="auto"/>
            <w:noWrap/>
            <w:vAlign w:val="center"/>
            <w:hideMark/>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193.562</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sz w:val="18"/>
                <w:szCs w:val="18"/>
                <w:lang w:eastAsia="en-US"/>
              </w:rPr>
            </w:pPr>
            <w:r w:rsidRPr="00B51A68">
              <w:rPr>
                <w:rFonts w:asciiTheme="majorHAnsi" w:hAnsiTheme="majorHAnsi"/>
                <w:sz w:val="18"/>
                <w:szCs w:val="18"/>
              </w:rPr>
              <w:t>167.844</w:t>
            </w:r>
          </w:p>
        </w:tc>
      </w:tr>
      <w:tr w:rsidR="0025066C" w:rsidRPr="005D1819" w:rsidTr="0025066C">
        <w:trPr>
          <w:trHeight w:val="255"/>
          <w:tblCellSpacing w:w="20" w:type="dxa"/>
          <w:jc w:val="center"/>
        </w:trPr>
        <w:tc>
          <w:tcPr>
            <w:tcW w:w="2222" w:type="pct"/>
            <w:shd w:val="clear" w:color="auto" w:fill="auto"/>
            <w:noWrap/>
            <w:vAlign w:val="center"/>
          </w:tcPr>
          <w:p w:rsidR="0025066C" w:rsidRPr="005D1819" w:rsidRDefault="0025066C" w:rsidP="0037604E">
            <w:pPr>
              <w:spacing w:after="0" w:line="240" w:lineRule="auto"/>
              <w:ind w:firstLine="0"/>
              <w:rPr>
                <w:rFonts w:asciiTheme="majorHAnsi" w:eastAsia="Calibri" w:hAnsiTheme="majorHAnsi" w:cs="Times New Roman"/>
                <w:sz w:val="18"/>
                <w:szCs w:val="18"/>
                <w:lang w:val="en-GB" w:eastAsia="en-US"/>
              </w:rPr>
            </w:pPr>
          </w:p>
        </w:tc>
        <w:tc>
          <w:tcPr>
            <w:tcW w:w="1438" w:type="pct"/>
            <w:shd w:val="clear" w:color="auto" w:fill="auto"/>
            <w:noWrap/>
            <w:vAlign w:val="center"/>
          </w:tcPr>
          <w:p w:rsidR="0025066C" w:rsidRPr="00B51A68" w:rsidRDefault="0025066C" w:rsidP="001C15B8">
            <w:pPr>
              <w:spacing w:after="0" w:line="240" w:lineRule="auto"/>
              <w:ind w:firstLine="0"/>
              <w:jc w:val="right"/>
              <w:rPr>
                <w:rFonts w:asciiTheme="majorHAnsi" w:eastAsia="Calibri" w:hAnsiTheme="majorHAnsi" w:cs="Times New Roman"/>
                <w:b/>
                <w:bCs/>
                <w:sz w:val="18"/>
                <w:szCs w:val="18"/>
                <w:u w:val="single"/>
                <w:lang w:eastAsia="en-US"/>
              </w:rPr>
            </w:pPr>
            <w:r w:rsidRPr="00B51A68">
              <w:rPr>
                <w:rFonts w:asciiTheme="majorHAnsi" w:hAnsiTheme="majorHAnsi"/>
                <w:b/>
                <w:bCs/>
                <w:sz w:val="18"/>
                <w:szCs w:val="18"/>
              </w:rPr>
              <w:t>949.154.</w:t>
            </w:r>
            <w:r>
              <w:rPr>
                <w:rFonts w:asciiTheme="majorHAnsi" w:hAnsiTheme="majorHAnsi"/>
                <w:b/>
                <w:bCs/>
                <w:sz w:val="18"/>
                <w:szCs w:val="18"/>
              </w:rPr>
              <w:t>098</w:t>
            </w:r>
          </w:p>
        </w:tc>
        <w:tc>
          <w:tcPr>
            <w:tcW w:w="1254" w:type="pct"/>
          </w:tcPr>
          <w:p w:rsidR="0025066C" w:rsidRPr="00B51A68" w:rsidRDefault="0025066C" w:rsidP="001C15B8">
            <w:pPr>
              <w:spacing w:after="0" w:line="240" w:lineRule="auto"/>
              <w:ind w:firstLine="0"/>
              <w:jc w:val="right"/>
              <w:rPr>
                <w:rFonts w:asciiTheme="majorHAnsi" w:eastAsia="Calibri" w:hAnsiTheme="majorHAnsi" w:cs="Times New Roman"/>
                <w:b/>
                <w:bCs/>
                <w:sz w:val="18"/>
                <w:szCs w:val="18"/>
                <w:u w:val="single"/>
                <w:lang w:eastAsia="en-US"/>
              </w:rPr>
            </w:pPr>
            <w:r w:rsidRPr="00B51A68">
              <w:rPr>
                <w:rFonts w:asciiTheme="majorHAnsi" w:hAnsiTheme="majorHAnsi"/>
                <w:b/>
                <w:bCs/>
                <w:sz w:val="18"/>
                <w:szCs w:val="18"/>
              </w:rPr>
              <w:t>700.668.373</w:t>
            </w:r>
          </w:p>
        </w:tc>
      </w:tr>
    </w:tbl>
    <w:p w:rsidR="0037604E" w:rsidRPr="005D1819" w:rsidRDefault="0037604E" w:rsidP="0037604E">
      <w:pPr>
        <w:spacing w:after="0" w:line="240" w:lineRule="auto"/>
        <w:ind w:left="720" w:firstLine="0"/>
        <w:rPr>
          <w:rFonts w:ascii="Cambria" w:eastAsia="Times New Roman" w:hAnsi="Cambria" w:cs="Times New Roman"/>
          <w:b/>
          <w:i/>
          <w:sz w:val="24"/>
          <w:szCs w:val="24"/>
          <w:lang w:val="en-GB" w:eastAsia="ro-RO"/>
        </w:rPr>
      </w:pPr>
    </w:p>
    <w:p w:rsidR="0037604E" w:rsidRPr="005D1819" w:rsidRDefault="0025066C" w:rsidP="0037604E">
      <w:pPr>
        <w:spacing w:after="0" w:line="240" w:lineRule="auto"/>
        <w:ind w:firstLine="0"/>
        <w:rPr>
          <w:rFonts w:ascii="Cambria" w:eastAsia="Times New Roman" w:hAnsi="Cambria" w:cs="Times New Roman"/>
          <w:b/>
          <w:i/>
          <w:sz w:val="24"/>
          <w:szCs w:val="24"/>
          <w:lang w:val="en-GB" w:eastAsia="ro-RO"/>
        </w:rPr>
      </w:pPr>
      <w:r>
        <w:rPr>
          <w:rFonts w:ascii="Cambria" w:eastAsia="Times New Roman" w:hAnsi="Cambria" w:cs="Times New Roman"/>
          <w:b/>
          <w:i/>
          <w:sz w:val="24"/>
          <w:szCs w:val="24"/>
          <w:lang w:val="en-GB" w:eastAsia="ro-RO"/>
        </w:rPr>
        <w:t xml:space="preserve"> </w:t>
      </w:r>
    </w:p>
    <w:p w:rsidR="0037604E" w:rsidRPr="005D1819" w:rsidRDefault="0037604E" w:rsidP="0037604E">
      <w:pPr>
        <w:spacing w:after="0" w:line="240" w:lineRule="auto"/>
        <w:ind w:firstLine="0"/>
        <w:rPr>
          <w:rFonts w:ascii="Cambria" w:eastAsia="Times New Roman" w:hAnsi="Cambria" w:cs="Times New Roman"/>
          <w:b/>
          <w:i/>
          <w:sz w:val="24"/>
          <w:szCs w:val="24"/>
          <w:lang w:val="en-GB" w:eastAsia="ro-RO"/>
        </w:rPr>
      </w:pPr>
      <w:r w:rsidRPr="005D1819">
        <w:rPr>
          <w:rFonts w:ascii="Cambria" w:eastAsia="Cambria" w:hAnsi="Cambria" w:cs="Cambria"/>
          <w:b/>
          <w:bCs/>
          <w:i/>
          <w:iCs/>
          <w:sz w:val="24"/>
          <w:szCs w:val="24"/>
          <w:lang w:val="en-GB"/>
        </w:rPr>
        <w:t>Liquidity risk</w:t>
      </w:r>
    </w:p>
    <w:p w:rsidR="0037604E" w:rsidRPr="005D1819" w:rsidRDefault="0037604E" w:rsidP="0037604E">
      <w:pPr>
        <w:spacing w:after="0" w:line="240" w:lineRule="auto"/>
        <w:ind w:left="709" w:firstLine="0"/>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jc w:val="both"/>
        <w:rPr>
          <w:rFonts w:ascii="Cambria" w:eastAsia="Times New Roman" w:hAnsi="Cambria" w:cs="Times New Roman"/>
          <w:sz w:val="24"/>
          <w:szCs w:val="24"/>
          <w:lang w:val="en-GB" w:eastAsia="en-US"/>
        </w:rPr>
      </w:pPr>
      <w:r w:rsidRPr="005D1819">
        <w:rPr>
          <w:rFonts w:ascii="Cambria" w:eastAsia="Cambria" w:hAnsi="Cambria" w:cs="Cambria"/>
          <w:sz w:val="24"/>
          <w:szCs w:val="24"/>
          <w:lang w:val="en-GB"/>
        </w:rPr>
        <w:t xml:space="preserve">Cautious liquidity risk management involves keeping enough cash and funds available by a proper value of committed credit facilities.  </w:t>
      </w:r>
    </w:p>
    <w:p w:rsidR="0037604E" w:rsidRPr="005D1819" w:rsidRDefault="0037604E" w:rsidP="0037604E">
      <w:pPr>
        <w:spacing w:after="0" w:line="240" w:lineRule="auto"/>
        <w:ind w:firstLine="0"/>
        <w:jc w:val="both"/>
        <w:rPr>
          <w:rFonts w:ascii="Cambria" w:eastAsia="Times New Roman" w:hAnsi="Cambria" w:cs="Times New Roman"/>
          <w:spacing w:val="-4"/>
          <w:sz w:val="24"/>
          <w:szCs w:val="24"/>
          <w:highlight w:val="yellow"/>
          <w:lang w:val="en-GB" w:eastAsia="en-US"/>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r w:rsidRPr="005D1819">
        <w:rPr>
          <w:rFonts w:ascii="Cambria" w:eastAsia="Cambria" w:hAnsi="Cambria" w:cs="Cambria"/>
          <w:sz w:val="24"/>
          <w:szCs w:val="24"/>
          <w:lang w:val="en-GB"/>
        </w:rPr>
        <w:t xml:space="preserve">The company projects cash flows. The financial position of the Company monitors continuously the Company's liquidity requirement to make sure there is enough cash to meet the operational requirements, maintaining at the same time a sufficient level of unused borrowing facilities at any time, so that the company does not break the limits or loan agreements (where applicable) for any of its credit facilities. </w:t>
      </w: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r w:rsidRPr="005D1819">
        <w:rPr>
          <w:rFonts w:ascii="Cambria" w:eastAsia="Cambria" w:hAnsi="Cambria" w:cs="Cambria"/>
          <w:sz w:val="24"/>
          <w:szCs w:val="24"/>
          <w:lang w:val="en-GB"/>
        </w:rPr>
        <w:t xml:space="preserve">These projections take into account the Company's debt financing plans, compliance with agreements, compliance with internal targets on the balance sheet indicators and, where appropriate, external regulations or legal provisions - for example, restrictions on currency. The Financial Department of the Company invests extra cash in interest bearing current accounts and term deposits, choosing instruments with appropriate maturities or sufficient liquidity to provide the appropriate framework, established under the provisions mentioned above. </w:t>
      </w: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r w:rsidRPr="005D1819">
        <w:rPr>
          <w:rFonts w:ascii="Cambria" w:eastAsia="Cambria" w:hAnsi="Cambria" w:cs="Cambria"/>
          <w:sz w:val="24"/>
          <w:szCs w:val="24"/>
          <w:lang w:val="en-GB"/>
        </w:rPr>
        <w:t>The table below shows the</w:t>
      </w:r>
      <w:r w:rsidR="006D2957">
        <w:rPr>
          <w:rFonts w:ascii="Cambria" w:eastAsia="Cambria" w:hAnsi="Cambria" w:cs="Cambria"/>
          <w:sz w:val="24"/>
          <w:szCs w:val="24"/>
          <w:lang w:val="en-GB"/>
        </w:rPr>
        <w:t xml:space="preserve"> obligations on 31 December 2016</w:t>
      </w:r>
      <w:r w:rsidRPr="005D1819">
        <w:rPr>
          <w:rFonts w:ascii="Cambria" w:eastAsia="Cambria" w:hAnsi="Cambria" w:cs="Cambria"/>
          <w:sz w:val="24"/>
          <w:szCs w:val="24"/>
          <w:lang w:val="en-GB"/>
        </w:rPr>
        <w:t xml:space="preserve"> in terms of contractual maturity remained. The amounts disclosed in the maturity table are contractual undiscounted cash flows.  </w:t>
      </w:r>
    </w:p>
    <w:p w:rsidR="0037604E" w:rsidRPr="005D1819" w:rsidRDefault="0037604E" w:rsidP="0037604E">
      <w:pPr>
        <w:spacing w:after="0" w:line="240" w:lineRule="auto"/>
        <w:ind w:left="709" w:firstLine="0"/>
        <w:jc w:val="both"/>
        <w:rPr>
          <w:rFonts w:ascii="Cambria" w:eastAsia="Times New Roman" w:hAnsi="Cambria" w:cs="Times New Roman"/>
          <w:spacing w:val="-4"/>
          <w:sz w:val="24"/>
          <w:szCs w:val="24"/>
          <w:lang w:val="en-GB" w:eastAsia="en-US"/>
        </w:rPr>
      </w:pPr>
    </w:p>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r w:rsidRPr="005D1819">
        <w:rPr>
          <w:rFonts w:ascii="Cambria" w:eastAsia="Cambria" w:hAnsi="Cambria" w:cs="Cambria"/>
          <w:sz w:val="24"/>
          <w:szCs w:val="24"/>
          <w:lang w:val="en-GB"/>
        </w:rPr>
        <w:t>Maturity analysis of financial liabilities on December 31</w:t>
      </w:r>
      <w:r w:rsidRPr="005D1819">
        <w:rPr>
          <w:rFonts w:ascii="Cambria" w:eastAsia="Cambria" w:hAnsi="Cambria" w:cs="Cambria"/>
          <w:sz w:val="24"/>
          <w:szCs w:val="24"/>
          <w:vertAlign w:val="superscript"/>
          <w:lang w:val="en-GB"/>
        </w:rPr>
        <w:t>st</w:t>
      </w:r>
      <w:r w:rsidR="006D2957">
        <w:rPr>
          <w:rFonts w:ascii="Cambria" w:eastAsia="Cambria" w:hAnsi="Cambria" w:cs="Cambria"/>
          <w:sz w:val="24"/>
          <w:szCs w:val="24"/>
          <w:lang w:val="en-GB"/>
        </w:rPr>
        <w:t xml:space="preserve"> 2016</w:t>
      </w:r>
      <w:r w:rsidRPr="005D1819">
        <w:rPr>
          <w:rFonts w:ascii="Cambria" w:eastAsia="Cambria" w:hAnsi="Cambria" w:cs="Cambria"/>
          <w:sz w:val="24"/>
          <w:szCs w:val="24"/>
          <w:lang w:val="en-GB"/>
        </w:rPr>
        <w:t xml:space="preserve"> is as follows:</w:t>
      </w:r>
    </w:p>
    <w:tbl>
      <w:tblPr>
        <w:tblW w:w="897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984"/>
        <w:gridCol w:w="1613"/>
        <w:gridCol w:w="1613"/>
        <w:gridCol w:w="1440"/>
        <w:gridCol w:w="1327"/>
      </w:tblGrid>
      <w:tr w:rsidR="00E53507" w:rsidRPr="005D1819" w:rsidTr="001C15B8">
        <w:trPr>
          <w:tblCellSpacing w:w="20" w:type="dxa"/>
          <w:jc w:val="center"/>
        </w:trPr>
        <w:tc>
          <w:tcPr>
            <w:tcW w:w="2924" w:type="dxa"/>
            <w:shd w:val="clear" w:color="auto" w:fill="DBE5F1"/>
            <w:vAlign w:val="center"/>
          </w:tcPr>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sz w:val="24"/>
                <w:szCs w:val="24"/>
                <w:lang w:val="en-GB" w:eastAsia="ro-RO"/>
              </w:rPr>
            </w:pPr>
          </w:p>
        </w:tc>
        <w:tc>
          <w:tcPr>
            <w:tcW w:w="1573" w:type="dxa"/>
            <w:shd w:val="clear" w:color="auto" w:fill="DBE5F1"/>
            <w:vAlign w:val="bottom"/>
          </w:tcPr>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right"/>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Total amount</w:t>
            </w:r>
          </w:p>
        </w:tc>
        <w:tc>
          <w:tcPr>
            <w:tcW w:w="1573" w:type="dxa"/>
            <w:shd w:val="clear" w:color="auto" w:fill="DBE5F1"/>
            <w:vAlign w:val="bottom"/>
          </w:tcPr>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bCs/>
                <w:sz w:val="24"/>
                <w:szCs w:val="24"/>
                <w:lang w:val="en-GB" w:eastAsia="ro-RO"/>
              </w:rPr>
            </w:pPr>
            <w:r w:rsidRPr="005D1819">
              <w:rPr>
                <w:rFonts w:ascii="Cambria" w:eastAsia="Cambria" w:hAnsi="Cambria" w:cs="Cambria"/>
                <w:b/>
                <w:bCs/>
                <w:sz w:val="24"/>
                <w:szCs w:val="24"/>
                <w:lang w:val="en-GB"/>
              </w:rPr>
              <w:t>less</w:t>
            </w:r>
          </w:p>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than 1 year</w:t>
            </w:r>
          </w:p>
        </w:tc>
        <w:tc>
          <w:tcPr>
            <w:tcW w:w="1400" w:type="dxa"/>
            <w:shd w:val="clear" w:color="auto" w:fill="DBE5F1"/>
            <w:vAlign w:val="bottom"/>
          </w:tcPr>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1-5 years</w:t>
            </w:r>
          </w:p>
        </w:tc>
        <w:tc>
          <w:tcPr>
            <w:tcW w:w="1267" w:type="dxa"/>
            <w:shd w:val="clear" w:color="auto" w:fill="DBE5F1"/>
            <w:vAlign w:val="bottom"/>
          </w:tcPr>
          <w:p w:rsidR="00E53507" w:rsidRPr="005D1819" w:rsidRDefault="00E53507" w:rsidP="001C15B8">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over 5 years</w:t>
            </w:r>
          </w:p>
        </w:tc>
      </w:tr>
      <w:tr w:rsidR="00E53507" w:rsidRPr="005D1819" w:rsidTr="001C15B8">
        <w:trPr>
          <w:trHeight w:val="650"/>
          <w:tblCellSpacing w:w="20" w:type="dxa"/>
          <w:jc w:val="center"/>
        </w:trPr>
        <w:tc>
          <w:tcPr>
            <w:tcW w:w="2924" w:type="dxa"/>
          </w:tcPr>
          <w:p w:rsidR="00E53507" w:rsidRPr="005D1819" w:rsidRDefault="00E53507" w:rsidP="001C15B8">
            <w:pPr>
              <w:spacing w:after="0" w:line="240" w:lineRule="auto"/>
              <w:ind w:right="-572" w:firstLine="0"/>
              <w:jc w:val="both"/>
              <w:rPr>
                <w:rFonts w:ascii="Cambria" w:eastAsia="Times New Roman" w:hAnsi="Cambria" w:cs="Times New Roman"/>
                <w:bCs/>
                <w:sz w:val="24"/>
                <w:szCs w:val="24"/>
                <w:lang w:val="en-GB" w:eastAsia="ro-RO"/>
              </w:rPr>
            </w:pPr>
            <w:r w:rsidRPr="005D1819">
              <w:rPr>
                <w:rFonts w:ascii="Cambria" w:eastAsia="Times New Roman" w:hAnsi="Cambria" w:cs="Times New Roman"/>
                <w:bCs/>
                <w:sz w:val="24"/>
                <w:szCs w:val="24"/>
                <w:lang w:val="en-GB" w:eastAsia="ro-RO"/>
              </w:rPr>
              <w:t>Trade payables and</w:t>
            </w:r>
          </w:p>
          <w:p w:rsidR="00E53507" w:rsidRPr="005D1819" w:rsidRDefault="00E53507" w:rsidP="001C15B8">
            <w:pPr>
              <w:spacing w:after="0" w:line="240" w:lineRule="auto"/>
              <w:ind w:right="-572" w:firstLine="0"/>
              <w:jc w:val="both"/>
              <w:rPr>
                <w:rFonts w:ascii="Cambria" w:eastAsia="Times New Roman" w:hAnsi="Cambria" w:cs="Times New Roman"/>
                <w:spacing w:val="-4"/>
                <w:sz w:val="24"/>
                <w:szCs w:val="24"/>
                <w:lang w:val="en-GB" w:eastAsia="ro-RO"/>
              </w:rPr>
            </w:pPr>
            <w:r w:rsidRPr="005D1819">
              <w:rPr>
                <w:rFonts w:ascii="Cambria" w:eastAsia="Times New Roman" w:hAnsi="Cambria" w:cs="Times New Roman"/>
                <w:bCs/>
                <w:sz w:val="24"/>
                <w:szCs w:val="24"/>
                <w:lang w:val="en-GB" w:eastAsia="ro-RO"/>
              </w:rPr>
              <w:t xml:space="preserve"> other payables</w:t>
            </w:r>
          </w:p>
        </w:tc>
        <w:tc>
          <w:tcPr>
            <w:tcW w:w="1573" w:type="dxa"/>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spacing w:val="-4"/>
                <w:sz w:val="18"/>
                <w:szCs w:val="18"/>
                <w:u w:val="single"/>
                <w:lang w:val="ro-RO" w:eastAsia="ro-RO"/>
              </w:rPr>
            </w:pPr>
            <w:r w:rsidRPr="00D658AB">
              <w:rPr>
                <w:rFonts w:asciiTheme="majorHAnsi" w:eastAsia="Calibri" w:hAnsiTheme="majorHAnsi" w:cs="Times New Roman"/>
                <w:sz w:val="18"/>
                <w:szCs w:val="18"/>
                <w:u w:val="single"/>
                <w:lang w:val="ro-RO" w:eastAsia="en-US"/>
              </w:rPr>
              <w:t>91.358.089</w:t>
            </w:r>
          </w:p>
        </w:tc>
        <w:tc>
          <w:tcPr>
            <w:tcW w:w="1573" w:type="dxa"/>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spacing w:val="-4"/>
                <w:sz w:val="18"/>
                <w:szCs w:val="18"/>
                <w:u w:val="single"/>
                <w:lang w:val="ro-RO" w:eastAsia="ro-RO"/>
              </w:rPr>
            </w:pPr>
            <w:r w:rsidRPr="00D658AB">
              <w:rPr>
                <w:rFonts w:asciiTheme="majorHAnsi" w:eastAsia="Calibri" w:hAnsiTheme="majorHAnsi" w:cs="Times New Roman"/>
                <w:sz w:val="18"/>
                <w:szCs w:val="18"/>
                <w:u w:val="single"/>
                <w:lang w:val="ro-RO" w:eastAsia="en-US"/>
              </w:rPr>
              <w:t>91.</w:t>
            </w:r>
            <w:r>
              <w:rPr>
                <w:rFonts w:asciiTheme="majorHAnsi" w:eastAsia="Calibri" w:hAnsiTheme="majorHAnsi" w:cs="Times New Roman"/>
                <w:sz w:val="18"/>
                <w:szCs w:val="18"/>
                <w:u w:val="single"/>
                <w:lang w:val="ro-RO" w:eastAsia="en-US"/>
              </w:rPr>
              <w:t>358.089</w:t>
            </w:r>
          </w:p>
        </w:tc>
        <w:tc>
          <w:tcPr>
            <w:tcW w:w="1400" w:type="dxa"/>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spacing w:val="-4"/>
                <w:sz w:val="18"/>
                <w:szCs w:val="18"/>
                <w:lang w:val="ro-RO" w:eastAsia="ro-RO"/>
              </w:rPr>
            </w:pPr>
            <w:r w:rsidRPr="00D658AB">
              <w:rPr>
                <w:rFonts w:asciiTheme="majorHAnsi" w:eastAsia="Times New Roman" w:hAnsiTheme="majorHAnsi" w:cs="Times New Roman"/>
                <w:spacing w:val="-4"/>
                <w:sz w:val="18"/>
                <w:szCs w:val="18"/>
                <w:lang w:val="ro-RO" w:eastAsia="ro-RO"/>
              </w:rPr>
              <w:t>-</w:t>
            </w:r>
          </w:p>
        </w:tc>
        <w:tc>
          <w:tcPr>
            <w:tcW w:w="1267" w:type="dxa"/>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spacing w:val="-4"/>
                <w:sz w:val="18"/>
                <w:szCs w:val="18"/>
                <w:lang w:val="ro-RO" w:eastAsia="ro-RO"/>
              </w:rPr>
            </w:pPr>
            <w:r w:rsidRPr="00D658AB">
              <w:rPr>
                <w:rFonts w:asciiTheme="majorHAnsi" w:eastAsia="Times New Roman" w:hAnsiTheme="majorHAnsi" w:cs="Times New Roman"/>
                <w:spacing w:val="-4"/>
                <w:sz w:val="18"/>
                <w:szCs w:val="18"/>
                <w:lang w:val="ro-RO" w:eastAsia="ro-RO"/>
              </w:rPr>
              <w:t>-</w:t>
            </w:r>
          </w:p>
        </w:tc>
      </w:tr>
      <w:tr w:rsidR="00E53507" w:rsidRPr="005D1819" w:rsidTr="001C15B8">
        <w:trPr>
          <w:tblCellSpacing w:w="20" w:type="dxa"/>
          <w:jc w:val="center"/>
        </w:trPr>
        <w:tc>
          <w:tcPr>
            <w:tcW w:w="2924" w:type="dxa"/>
            <w:shd w:val="clear" w:color="auto" w:fill="DBE5F1"/>
          </w:tcPr>
          <w:p w:rsidR="00E53507" w:rsidRPr="005D1819" w:rsidRDefault="00E53507" w:rsidP="001C15B8">
            <w:pPr>
              <w:spacing w:after="0" w:line="240" w:lineRule="auto"/>
              <w:ind w:right="-572" w:firstLine="0"/>
              <w:jc w:val="both"/>
              <w:rPr>
                <w:rFonts w:ascii="Cambria" w:eastAsia="Times New Roman" w:hAnsi="Cambria" w:cs="Times New Roman"/>
                <w:b/>
                <w:bCs/>
                <w:sz w:val="24"/>
                <w:szCs w:val="24"/>
                <w:lang w:val="en-GB" w:eastAsia="ro-RO"/>
              </w:rPr>
            </w:pPr>
          </w:p>
        </w:tc>
        <w:tc>
          <w:tcPr>
            <w:tcW w:w="1573" w:type="dxa"/>
            <w:shd w:val="clear" w:color="auto" w:fill="D6E0F4"/>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b/>
                <w:spacing w:val="-4"/>
                <w:sz w:val="18"/>
                <w:szCs w:val="18"/>
                <w:lang w:val="ro-RO" w:eastAsia="ro-RO"/>
              </w:rPr>
            </w:pPr>
            <w:r w:rsidRPr="00D658AB">
              <w:rPr>
                <w:rFonts w:asciiTheme="majorHAnsi" w:eastAsia="Calibri" w:hAnsiTheme="majorHAnsi" w:cs="Times New Roman"/>
                <w:sz w:val="18"/>
                <w:szCs w:val="18"/>
                <w:u w:val="double"/>
                <w:lang w:val="ro-RO" w:eastAsia="en-US"/>
              </w:rPr>
              <w:t>91.358.089</w:t>
            </w:r>
          </w:p>
        </w:tc>
        <w:tc>
          <w:tcPr>
            <w:tcW w:w="1573" w:type="dxa"/>
            <w:shd w:val="clear" w:color="auto" w:fill="D6E0F4"/>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b/>
                <w:spacing w:val="-4"/>
                <w:sz w:val="18"/>
                <w:szCs w:val="18"/>
                <w:lang w:val="ro-RO" w:eastAsia="ro-RO"/>
              </w:rPr>
            </w:pPr>
            <w:r w:rsidRPr="00D658AB">
              <w:rPr>
                <w:rFonts w:asciiTheme="majorHAnsi" w:eastAsia="Calibri" w:hAnsiTheme="majorHAnsi" w:cs="Times New Roman"/>
                <w:sz w:val="18"/>
                <w:szCs w:val="18"/>
                <w:u w:val="double"/>
                <w:lang w:val="ro-RO" w:eastAsia="en-US"/>
              </w:rPr>
              <w:t>91.</w:t>
            </w:r>
            <w:r>
              <w:rPr>
                <w:rFonts w:asciiTheme="majorHAnsi" w:eastAsia="Calibri" w:hAnsiTheme="majorHAnsi" w:cs="Times New Roman"/>
                <w:sz w:val="18"/>
                <w:szCs w:val="18"/>
                <w:u w:val="double"/>
                <w:lang w:val="ro-RO" w:eastAsia="en-US"/>
              </w:rPr>
              <w:t>358.089</w:t>
            </w:r>
          </w:p>
        </w:tc>
        <w:tc>
          <w:tcPr>
            <w:tcW w:w="1400" w:type="dxa"/>
            <w:shd w:val="clear" w:color="auto" w:fill="DBE5F1"/>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b/>
                <w:spacing w:val="-4"/>
                <w:sz w:val="18"/>
                <w:szCs w:val="18"/>
                <w:lang w:val="ro-RO" w:eastAsia="ro-RO"/>
              </w:rPr>
            </w:pPr>
            <w:r w:rsidRPr="00D658AB">
              <w:rPr>
                <w:rFonts w:asciiTheme="majorHAnsi" w:eastAsia="Times New Roman" w:hAnsiTheme="majorHAnsi" w:cs="Times New Roman"/>
                <w:b/>
                <w:spacing w:val="-4"/>
                <w:sz w:val="18"/>
                <w:szCs w:val="18"/>
                <w:lang w:val="ro-RO" w:eastAsia="ro-RO"/>
              </w:rPr>
              <w:t>-</w:t>
            </w:r>
          </w:p>
        </w:tc>
        <w:tc>
          <w:tcPr>
            <w:tcW w:w="1267" w:type="dxa"/>
            <w:shd w:val="clear" w:color="auto" w:fill="DBE5F1"/>
            <w:vAlign w:val="center"/>
          </w:tcPr>
          <w:p w:rsidR="00E53507" w:rsidRPr="00D658AB" w:rsidRDefault="00E53507" w:rsidP="001C15B8">
            <w:pPr>
              <w:tabs>
                <w:tab w:val="decimal" w:pos="72"/>
              </w:tabs>
              <w:spacing w:after="0" w:line="240" w:lineRule="auto"/>
              <w:ind w:firstLine="0"/>
              <w:jc w:val="right"/>
              <w:rPr>
                <w:rFonts w:asciiTheme="majorHAnsi" w:eastAsia="Times New Roman" w:hAnsiTheme="majorHAnsi" w:cs="Times New Roman"/>
                <w:b/>
                <w:spacing w:val="-4"/>
                <w:sz w:val="18"/>
                <w:szCs w:val="18"/>
                <w:lang w:val="ro-RO" w:eastAsia="ro-RO"/>
              </w:rPr>
            </w:pPr>
            <w:r w:rsidRPr="00D658AB">
              <w:rPr>
                <w:rFonts w:asciiTheme="majorHAnsi" w:eastAsia="Times New Roman" w:hAnsiTheme="majorHAnsi" w:cs="Times New Roman"/>
                <w:b/>
                <w:spacing w:val="-4"/>
                <w:sz w:val="18"/>
                <w:szCs w:val="18"/>
                <w:lang w:val="ro-RO" w:eastAsia="ro-RO"/>
              </w:rPr>
              <w:t>-</w:t>
            </w:r>
          </w:p>
        </w:tc>
      </w:tr>
    </w:tbl>
    <w:p w:rsidR="0037604E" w:rsidRPr="005D1819" w:rsidRDefault="0037604E" w:rsidP="0037604E">
      <w:pPr>
        <w:spacing w:after="0" w:line="240" w:lineRule="auto"/>
        <w:ind w:firstLine="0"/>
        <w:jc w:val="both"/>
        <w:rPr>
          <w:rFonts w:ascii="Cambria" w:eastAsia="Times New Roman" w:hAnsi="Cambria" w:cs="Times New Roman"/>
          <w:spacing w:val="-4"/>
          <w:sz w:val="24"/>
          <w:szCs w:val="24"/>
          <w:lang w:val="en-GB" w:eastAsia="en-US"/>
        </w:rPr>
      </w:pPr>
    </w:p>
    <w:p w:rsidR="00E53507" w:rsidRPr="005D1819" w:rsidRDefault="001C15B8" w:rsidP="0037604E">
      <w:pPr>
        <w:spacing w:after="0" w:line="240" w:lineRule="auto"/>
        <w:ind w:firstLine="0"/>
        <w:jc w:val="both"/>
        <w:rPr>
          <w:rFonts w:ascii="Cambria" w:eastAsia="Times New Roman" w:hAnsi="Cambria" w:cs="Times New Roman"/>
          <w:spacing w:val="-4"/>
          <w:sz w:val="24"/>
          <w:szCs w:val="24"/>
          <w:lang w:val="en-GB" w:eastAsia="en-US"/>
        </w:rPr>
      </w:pPr>
      <w:r w:rsidRPr="005D1819">
        <w:rPr>
          <w:rFonts w:ascii="Cambria" w:eastAsia="Cambria" w:hAnsi="Cambria" w:cs="Cambria"/>
          <w:sz w:val="24"/>
          <w:szCs w:val="24"/>
          <w:lang w:val="en-GB"/>
        </w:rPr>
        <w:t>Maturity analysis of financial liabilities on December 31</w:t>
      </w:r>
      <w:r w:rsidRPr="005D1819">
        <w:rPr>
          <w:rFonts w:ascii="Cambria" w:eastAsia="Cambria" w:hAnsi="Cambria" w:cs="Cambria"/>
          <w:sz w:val="24"/>
          <w:szCs w:val="24"/>
          <w:vertAlign w:val="superscript"/>
          <w:lang w:val="en-GB"/>
        </w:rPr>
        <w:t>st</w:t>
      </w:r>
      <w:r>
        <w:rPr>
          <w:rFonts w:ascii="Cambria" w:eastAsia="Cambria" w:hAnsi="Cambria" w:cs="Cambria"/>
          <w:sz w:val="24"/>
          <w:szCs w:val="24"/>
          <w:lang w:val="en-GB"/>
        </w:rPr>
        <w:t xml:space="preserve"> 2015</w:t>
      </w:r>
      <w:r w:rsidRPr="005D1819">
        <w:rPr>
          <w:rFonts w:ascii="Cambria" w:eastAsia="Cambria" w:hAnsi="Cambria" w:cs="Cambria"/>
          <w:sz w:val="24"/>
          <w:szCs w:val="24"/>
          <w:lang w:val="en-GB"/>
        </w:rPr>
        <w:t xml:space="preserve"> is as follows:</w:t>
      </w:r>
    </w:p>
    <w:tbl>
      <w:tblPr>
        <w:tblW w:w="8977"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984"/>
        <w:gridCol w:w="1613"/>
        <w:gridCol w:w="1613"/>
        <w:gridCol w:w="1440"/>
        <w:gridCol w:w="1327"/>
      </w:tblGrid>
      <w:tr w:rsidR="0037604E" w:rsidRPr="005D1819" w:rsidTr="0037604E">
        <w:trPr>
          <w:tblCellSpacing w:w="20" w:type="dxa"/>
          <w:jc w:val="center"/>
        </w:trPr>
        <w:tc>
          <w:tcPr>
            <w:tcW w:w="2924" w:type="dxa"/>
            <w:shd w:val="clear" w:color="auto" w:fill="DBE5F1"/>
            <w:vAlign w:val="center"/>
          </w:tcPr>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sz w:val="24"/>
                <w:szCs w:val="24"/>
                <w:lang w:val="en-GB" w:eastAsia="ro-RO"/>
              </w:rPr>
            </w:pPr>
          </w:p>
        </w:tc>
        <w:tc>
          <w:tcPr>
            <w:tcW w:w="1573" w:type="dxa"/>
            <w:shd w:val="clear" w:color="auto" w:fill="DBE5F1"/>
            <w:vAlign w:val="bottom"/>
          </w:tcPr>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right"/>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Total amount</w:t>
            </w:r>
          </w:p>
        </w:tc>
        <w:tc>
          <w:tcPr>
            <w:tcW w:w="1573" w:type="dxa"/>
            <w:shd w:val="clear" w:color="auto" w:fill="DBE5F1"/>
            <w:vAlign w:val="bottom"/>
          </w:tcPr>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bCs/>
                <w:sz w:val="24"/>
                <w:szCs w:val="24"/>
                <w:lang w:val="en-GB" w:eastAsia="ro-RO"/>
              </w:rPr>
            </w:pPr>
            <w:r w:rsidRPr="005D1819">
              <w:rPr>
                <w:rFonts w:ascii="Cambria" w:eastAsia="Cambria" w:hAnsi="Cambria" w:cs="Cambria"/>
                <w:b/>
                <w:bCs/>
                <w:sz w:val="24"/>
                <w:szCs w:val="24"/>
                <w:lang w:val="en-GB"/>
              </w:rPr>
              <w:t>less</w:t>
            </w:r>
          </w:p>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than 1 year</w:t>
            </w:r>
          </w:p>
        </w:tc>
        <w:tc>
          <w:tcPr>
            <w:tcW w:w="1400" w:type="dxa"/>
            <w:shd w:val="clear" w:color="auto" w:fill="DBE5F1"/>
            <w:vAlign w:val="bottom"/>
          </w:tcPr>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1-5 years</w:t>
            </w:r>
          </w:p>
        </w:tc>
        <w:tc>
          <w:tcPr>
            <w:tcW w:w="1267" w:type="dxa"/>
            <w:shd w:val="clear" w:color="auto" w:fill="DBE5F1"/>
            <w:vAlign w:val="bottom"/>
          </w:tcPr>
          <w:p w:rsidR="0037604E" w:rsidRPr="005D1819" w:rsidRDefault="0037604E" w:rsidP="0037604E">
            <w:pPr>
              <w:tabs>
                <w:tab w:val="right" w:pos="2552"/>
                <w:tab w:val="right" w:pos="3686"/>
                <w:tab w:val="right" w:pos="5245"/>
                <w:tab w:val="right" w:pos="6521"/>
                <w:tab w:val="right" w:pos="7655"/>
                <w:tab w:val="right" w:pos="8789"/>
              </w:tabs>
              <w:spacing w:after="0" w:line="240" w:lineRule="auto"/>
              <w:ind w:firstLine="0"/>
              <w:jc w:val="center"/>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over 5 years</w:t>
            </w:r>
          </w:p>
        </w:tc>
      </w:tr>
      <w:tr w:rsidR="0037604E" w:rsidRPr="005D1819" w:rsidTr="0037604E">
        <w:trPr>
          <w:trHeight w:val="650"/>
          <w:tblCellSpacing w:w="20" w:type="dxa"/>
          <w:jc w:val="center"/>
        </w:trPr>
        <w:tc>
          <w:tcPr>
            <w:tcW w:w="2924" w:type="dxa"/>
          </w:tcPr>
          <w:p w:rsidR="0037604E" w:rsidRPr="005D1819" w:rsidRDefault="0037604E" w:rsidP="0037604E">
            <w:pPr>
              <w:spacing w:after="0" w:line="240" w:lineRule="auto"/>
              <w:ind w:right="-572" w:firstLine="0"/>
              <w:jc w:val="both"/>
              <w:rPr>
                <w:rFonts w:ascii="Cambria" w:eastAsia="Times New Roman" w:hAnsi="Cambria" w:cs="Times New Roman"/>
                <w:bCs/>
                <w:sz w:val="24"/>
                <w:szCs w:val="24"/>
                <w:lang w:val="en-GB" w:eastAsia="ro-RO"/>
              </w:rPr>
            </w:pPr>
            <w:r w:rsidRPr="005D1819">
              <w:rPr>
                <w:rFonts w:ascii="Cambria" w:eastAsia="Times New Roman" w:hAnsi="Cambria" w:cs="Times New Roman"/>
                <w:bCs/>
                <w:sz w:val="24"/>
                <w:szCs w:val="24"/>
                <w:lang w:val="en-GB" w:eastAsia="ro-RO"/>
              </w:rPr>
              <w:lastRenderedPageBreak/>
              <w:t>Trade payables and</w:t>
            </w:r>
          </w:p>
          <w:p w:rsidR="0037604E" w:rsidRPr="005D1819" w:rsidRDefault="0037604E" w:rsidP="0037604E">
            <w:pPr>
              <w:spacing w:after="0" w:line="240" w:lineRule="auto"/>
              <w:ind w:right="-572" w:firstLine="0"/>
              <w:jc w:val="both"/>
              <w:rPr>
                <w:rFonts w:ascii="Cambria" w:eastAsia="Times New Roman" w:hAnsi="Cambria" w:cs="Times New Roman"/>
                <w:spacing w:val="-4"/>
                <w:sz w:val="24"/>
                <w:szCs w:val="24"/>
                <w:lang w:val="en-GB" w:eastAsia="ro-RO"/>
              </w:rPr>
            </w:pPr>
            <w:r w:rsidRPr="005D1819">
              <w:rPr>
                <w:rFonts w:ascii="Cambria" w:eastAsia="Times New Roman" w:hAnsi="Cambria" w:cs="Times New Roman"/>
                <w:bCs/>
                <w:sz w:val="24"/>
                <w:szCs w:val="24"/>
                <w:lang w:val="en-GB" w:eastAsia="ro-RO"/>
              </w:rPr>
              <w:t xml:space="preserve"> other payables</w:t>
            </w:r>
          </w:p>
        </w:tc>
        <w:tc>
          <w:tcPr>
            <w:tcW w:w="1573" w:type="dxa"/>
            <w:vAlign w:val="center"/>
          </w:tcPr>
          <w:p w:rsidR="0037604E" w:rsidRPr="005D1819" w:rsidRDefault="0037604E" w:rsidP="0037604E">
            <w:pPr>
              <w:spacing w:after="0" w:line="240" w:lineRule="auto"/>
              <w:ind w:firstLine="0"/>
              <w:jc w:val="right"/>
              <w:rPr>
                <w:rFonts w:asciiTheme="majorHAnsi" w:eastAsia="Calibri" w:hAnsiTheme="majorHAnsi" w:cs="Times New Roman"/>
                <w:sz w:val="18"/>
                <w:szCs w:val="18"/>
                <w:u w:val="single"/>
                <w:lang w:val="en-GB" w:eastAsia="en-US"/>
              </w:rPr>
            </w:pPr>
            <w:r w:rsidRPr="005D1819">
              <w:rPr>
                <w:rFonts w:asciiTheme="majorHAnsi" w:eastAsia="Calibri" w:hAnsiTheme="majorHAnsi" w:cs="Times New Roman"/>
                <w:sz w:val="18"/>
                <w:szCs w:val="18"/>
                <w:u w:val="single"/>
                <w:lang w:val="en-GB" w:eastAsia="en-US"/>
              </w:rPr>
              <w:t>151.408.923</w:t>
            </w:r>
          </w:p>
        </w:tc>
        <w:tc>
          <w:tcPr>
            <w:tcW w:w="1573" w:type="dxa"/>
            <w:vAlign w:val="center"/>
          </w:tcPr>
          <w:p w:rsidR="0037604E" w:rsidRPr="005D1819" w:rsidRDefault="0037604E" w:rsidP="0037604E">
            <w:pPr>
              <w:spacing w:after="0" w:line="240" w:lineRule="auto"/>
              <w:ind w:firstLine="0"/>
              <w:jc w:val="right"/>
              <w:rPr>
                <w:rFonts w:asciiTheme="majorHAnsi" w:eastAsia="Calibri" w:hAnsiTheme="majorHAnsi" w:cs="Times New Roman"/>
                <w:sz w:val="18"/>
                <w:szCs w:val="18"/>
                <w:u w:val="single"/>
                <w:lang w:val="en-GB" w:eastAsia="en-US"/>
              </w:rPr>
            </w:pPr>
            <w:r w:rsidRPr="005D1819">
              <w:rPr>
                <w:rFonts w:asciiTheme="majorHAnsi" w:eastAsia="Calibri" w:hAnsiTheme="majorHAnsi" w:cs="Times New Roman"/>
                <w:sz w:val="18"/>
                <w:szCs w:val="18"/>
                <w:u w:val="single"/>
                <w:lang w:val="en-GB" w:eastAsia="en-US"/>
              </w:rPr>
              <w:t>151.408.923</w:t>
            </w:r>
          </w:p>
        </w:tc>
        <w:tc>
          <w:tcPr>
            <w:tcW w:w="1400" w:type="dxa"/>
          </w:tcPr>
          <w:p w:rsidR="0037604E" w:rsidRPr="005D1819" w:rsidRDefault="0037604E" w:rsidP="0037604E">
            <w:pPr>
              <w:tabs>
                <w:tab w:val="decimal" w:pos="72"/>
              </w:tabs>
              <w:spacing w:after="0" w:line="240" w:lineRule="auto"/>
              <w:ind w:firstLine="0"/>
              <w:jc w:val="right"/>
              <w:rPr>
                <w:rFonts w:ascii="Cambria" w:eastAsia="Times New Roman" w:hAnsi="Cambria" w:cs="Times New Roman"/>
                <w:spacing w:val="-4"/>
                <w:sz w:val="24"/>
                <w:szCs w:val="24"/>
                <w:lang w:val="en-GB" w:eastAsia="ro-RO"/>
              </w:rPr>
            </w:pPr>
            <w:r w:rsidRPr="005D1819">
              <w:rPr>
                <w:rFonts w:ascii="Cambria" w:eastAsia="Times New Roman" w:hAnsi="Cambria" w:cs="Times New Roman"/>
                <w:spacing w:val="-4"/>
                <w:sz w:val="24"/>
                <w:szCs w:val="24"/>
                <w:lang w:val="en-GB" w:eastAsia="ro-RO"/>
              </w:rPr>
              <w:t>-</w:t>
            </w:r>
          </w:p>
        </w:tc>
        <w:tc>
          <w:tcPr>
            <w:tcW w:w="1267" w:type="dxa"/>
          </w:tcPr>
          <w:p w:rsidR="0037604E" w:rsidRPr="005D1819" w:rsidRDefault="0037604E" w:rsidP="0037604E">
            <w:pPr>
              <w:tabs>
                <w:tab w:val="decimal" w:pos="72"/>
              </w:tabs>
              <w:spacing w:after="0" w:line="240" w:lineRule="auto"/>
              <w:ind w:firstLine="0"/>
              <w:jc w:val="right"/>
              <w:rPr>
                <w:rFonts w:ascii="Cambria" w:eastAsia="Times New Roman" w:hAnsi="Cambria" w:cs="Times New Roman"/>
                <w:spacing w:val="-4"/>
                <w:sz w:val="24"/>
                <w:szCs w:val="24"/>
                <w:lang w:val="en-GB" w:eastAsia="ro-RO"/>
              </w:rPr>
            </w:pPr>
            <w:r w:rsidRPr="005D1819">
              <w:rPr>
                <w:rFonts w:ascii="Cambria" w:eastAsia="Times New Roman" w:hAnsi="Cambria" w:cs="Times New Roman"/>
                <w:spacing w:val="-4"/>
                <w:sz w:val="24"/>
                <w:szCs w:val="24"/>
                <w:lang w:val="en-GB" w:eastAsia="ro-RO"/>
              </w:rPr>
              <w:t>-</w:t>
            </w:r>
          </w:p>
        </w:tc>
      </w:tr>
      <w:tr w:rsidR="0037604E" w:rsidRPr="005D1819" w:rsidTr="0037604E">
        <w:trPr>
          <w:tblCellSpacing w:w="20" w:type="dxa"/>
          <w:jc w:val="center"/>
        </w:trPr>
        <w:tc>
          <w:tcPr>
            <w:tcW w:w="2924" w:type="dxa"/>
            <w:shd w:val="clear" w:color="auto" w:fill="DBE5F1"/>
          </w:tcPr>
          <w:p w:rsidR="0037604E" w:rsidRPr="005D1819" w:rsidRDefault="0037604E" w:rsidP="0037604E">
            <w:pPr>
              <w:spacing w:after="0" w:line="240" w:lineRule="auto"/>
              <w:ind w:right="-572" w:firstLine="0"/>
              <w:jc w:val="both"/>
              <w:rPr>
                <w:rFonts w:ascii="Cambria" w:eastAsia="Times New Roman" w:hAnsi="Cambria" w:cs="Times New Roman"/>
                <w:b/>
                <w:bCs/>
                <w:sz w:val="24"/>
                <w:szCs w:val="24"/>
                <w:lang w:val="en-GB" w:eastAsia="ro-RO"/>
              </w:rPr>
            </w:pPr>
          </w:p>
        </w:tc>
        <w:tc>
          <w:tcPr>
            <w:tcW w:w="1573" w:type="dxa"/>
            <w:shd w:val="clear" w:color="auto" w:fill="D6E0F4"/>
          </w:tcPr>
          <w:p w:rsidR="0037604E" w:rsidRPr="005D1819" w:rsidRDefault="0037604E" w:rsidP="0037604E">
            <w:pPr>
              <w:spacing w:after="0" w:line="240" w:lineRule="auto"/>
              <w:ind w:firstLine="0"/>
              <w:jc w:val="right"/>
              <w:rPr>
                <w:rFonts w:asciiTheme="majorHAnsi" w:eastAsia="Calibri" w:hAnsiTheme="majorHAnsi" w:cs="Times New Roman"/>
                <w:sz w:val="18"/>
                <w:szCs w:val="18"/>
                <w:u w:val="single"/>
                <w:lang w:val="en-GB" w:eastAsia="en-US"/>
              </w:rPr>
            </w:pPr>
            <w:r w:rsidRPr="005D1819">
              <w:rPr>
                <w:rFonts w:asciiTheme="majorHAnsi" w:eastAsia="Calibri" w:hAnsiTheme="majorHAnsi" w:cs="Times New Roman"/>
                <w:sz w:val="18"/>
                <w:szCs w:val="18"/>
                <w:u w:val="single"/>
                <w:lang w:val="en-GB" w:eastAsia="en-US"/>
              </w:rPr>
              <w:t>151.408.923</w:t>
            </w:r>
          </w:p>
        </w:tc>
        <w:tc>
          <w:tcPr>
            <w:tcW w:w="1573" w:type="dxa"/>
            <w:shd w:val="clear" w:color="auto" w:fill="D6E0F4"/>
          </w:tcPr>
          <w:p w:rsidR="0037604E" w:rsidRPr="005D1819" w:rsidRDefault="0037604E" w:rsidP="0037604E">
            <w:pPr>
              <w:spacing w:after="0" w:line="240" w:lineRule="auto"/>
              <w:ind w:firstLine="0"/>
              <w:jc w:val="right"/>
              <w:rPr>
                <w:rFonts w:asciiTheme="majorHAnsi" w:eastAsia="Calibri" w:hAnsiTheme="majorHAnsi" w:cs="Times New Roman"/>
                <w:sz w:val="18"/>
                <w:szCs w:val="18"/>
                <w:u w:val="single"/>
                <w:lang w:val="en-GB" w:eastAsia="en-US"/>
              </w:rPr>
            </w:pPr>
            <w:r w:rsidRPr="005D1819">
              <w:rPr>
                <w:rFonts w:asciiTheme="majorHAnsi" w:eastAsia="Calibri" w:hAnsiTheme="majorHAnsi" w:cs="Times New Roman"/>
                <w:sz w:val="18"/>
                <w:szCs w:val="18"/>
                <w:u w:val="single"/>
                <w:lang w:val="en-GB" w:eastAsia="en-US"/>
              </w:rPr>
              <w:t>151.408.923</w:t>
            </w:r>
          </w:p>
        </w:tc>
        <w:tc>
          <w:tcPr>
            <w:tcW w:w="1400" w:type="dxa"/>
            <w:shd w:val="clear" w:color="auto" w:fill="DBE5F1"/>
            <w:vAlign w:val="center"/>
          </w:tcPr>
          <w:p w:rsidR="0037604E" w:rsidRPr="005D1819" w:rsidRDefault="0037604E" w:rsidP="0037604E">
            <w:pPr>
              <w:tabs>
                <w:tab w:val="decimal" w:pos="72"/>
              </w:tabs>
              <w:spacing w:after="0" w:line="240" w:lineRule="auto"/>
              <w:ind w:firstLine="0"/>
              <w:jc w:val="right"/>
              <w:rPr>
                <w:rFonts w:ascii="Cambria" w:eastAsia="Times New Roman" w:hAnsi="Cambria" w:cs="Times New Roman"/>
                <w:b/>
                <w:spacing w:val="-4"/>
                <w:sz w:val="24"/>
                <w:szCs w:val="24"/>
                <w:lang w:val="en-GB" w:eastAsia="ro-RO"/>
              </w:rPr>
            </w:pPr>
          </w:p>
        </w:tc>
        <w:tc>
          <w:tcPr>
            <w:tcW w:w="1267" w:type="dxa"/>
            <w:shd w:val="clear" w:color="auto" w:fill="DBE5F1"/>
            <w:vAlign w:val="center"/>
          </w:tcPr>
          <w:p w:rsidR="0037604E" w:rsidRPr="005D1819" w:rsidRDefault="0037604E" w:rsidP="0037604E">
            <w:pPr>
              <w:tabs>
                <w:tab w:val="decimal" w:pos="72"/>
              </w:tabs>
              <w:spacing w:after="0" w:line="240" w:lineRule="auto"/>
              <w:ind w:firstLine="0"/>
              <w:jc w:val="right"/>
              <w:rPr>
                <w:rFonts w:ascii="Cambria" w:eastAsia="Times New Roman" w:hAnsi="Cambria" w:cs="Times New Roman"/>
                <w:b/>
                <w:spacing w:val="-4"/>
                <w:sz w:val="24"/>
                <w:szCs w:val="24"/>
                <w:lang w:val="en-GB" w:eastAsia="ro-RO"/>
              </w:rPr>
            </w:pPr>
            <w:r w:rsidRPr="005D1819">
              <w:rPr>
                <w:rFonts w:ascii="Cambria" w:eastAsia="Times New Roman" w:hAnsi="Cambria" w:cs="Times New Roman"/>
                <w:b/>
                <w:spacing w:val="-4"/>
                <w:sz w:val="24"/>
                <w:szCs w:val="24"/>
                <w:lang w:val="en-GB" w:eastAsia="ro-RO"/>
              </w:rPr>
              <w:t>-</w:t>
            </w:r>
          </w:p>
        </w:tc>
      </w:tr>
    </w:tbl>
    <w:p w:rsidR="0037604E" w:rsidRPr="005D1819" w:rsidRDefault="0037604E" w:rsidP="0037604E">
      <w:pPr>
        <w:spacing w:after="0" w:line="240" w:lineRule="auto"/>
        <w:ind w:firstLine="0"/>
        <w:jc w:val="both"/>
        <w:rPr>
          <w:rFonts w:ascii="Cambria" w:eastAsia="Times New Roman" w:hAnsi="Cambria" w:cs="Times New Roman"/>
          <w:spacing w:val="-6"/>
          <w:sz w:val="24"/>
          <w:szCs w:val="24"/>
          <w:lang w:val="en-GB" w:eastAsia="en-US"/>
        </w:rPr>
      </w:pPr>
    </w:p>
    <w:p w:rsidR="0037604E" w:rsidRPr="005D1819" w:rsidRDefault="0037604E" w:rsidP="0037604E">
      <w:pPr>
        <w:spacing w:after="0" w:line="240" w:lineRule="auto"/>
        <w:ind w:left="709" w:firstLine="0"/>
        <w:jc w:val="both"/>
        <w:rPr>
          <w:rFonts w:ascii="Cambria" w:eastAsia="Times New Roman" w:hAnsi="Cambria" w:cs="Times New Roman"/>
          <w:spacing w:val="-4"/>
          <w:sz w:val="24"/>
          <w:szCs w:val="24"/>
          <w:lang w:val="en-GB" w:eastAsia="en-US"/>
        </w:rPr>
      </w:pP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Cambria" w:hAnsi="Cambria" w:cs="Cambria"/>
          <w:sz w:val="24"/>
          <w:szCs w:val="24"/>
          <w:lang w:val="en-GB"/>
        </w:rPr>
        <w:t>Trade payables and other liabilities include trade payables, suppliers of fixed assets, dividends payable, payables to the Ministry of Economy Commerce and Business Environment and other payables</w:t>
      </w:r>
      <w:r w:rsidRPr="005D1819">
        <w:rPr>
          <w:rFonts w:ascii="Cambria" w:eastAsia="Times New Roman" w:hAnsi="Cambria" w:cs="Times New Roman"/>
          <w:spacing w:val="-6"/>
          <w:sz w:val="24"/>
          <w:szCs w:val="24"/>
          <w:lang w:val="en-GB" w:eastAsia="ro-RO"/>
        </w:rPr>
        <w:t>.</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b/>
          <w:spacing w:val="-6"/>
          <w:sz w:val="24"/>
          <w:szCs w:val="24"/>
          <w:lang w:val="en-GB" w:eastAsia="ro-RO"/>
        </w:rPr>
      </w:pPr>
      <w:r w:rsidRPr="005D1819">
        <w:rPr>
          <w:rFonts w:ascii="Cambria" w:eastAsia="Times New Roman" w:hAnsi="Cambria" w:cs="Times New Roman"/>
          <w:b/>
          <w:spacing w:val="-6"/>
          <w:sz w:val="24"/>
          <w:szCs w:val="24"/>
          <w:lang w:val="en-GB" w:eastAsia="ro-RO"/>
        </w:rPr>
        <w:t>Categories of financial instruments:</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tbl>
      <w:tblPr>
        <w:tblW w:w="8971" w:type="dxa"/>
        <w:tblCellSpacing w:w="20" w:type="dxa"/>
        <w:tblInd w:w="9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310"/>
        <w:gridCol w:w="1685"/>
        <w:gridCol w:w="1976"/>
      </w:tblGrid>
      <w:tr w:rsidR="0037604E" w:rsidRPr="005D1819" w:rsidTr="001C15B8">
        <w:trPr>
          <w:trHeight w:val="326"/>
          <w:tblCellSpacing w:w="20" w:type="dxa"/>
        </w:trPr>
        <w:tc>
          <w:tcPr>
            <w:tcW w:w="5250" w:type="dxa"/>
            <w:shd w:val="clear" w:color="000000" w:fill="D6E0F4"/>
            <w:vAlign w:val="center"/>
            <w:hideMark/>
          </w:tcPr>
          <w:p w:rsidR="0037604E" w:rsidRPr="005D1819" w:rsidRDefault="0037604E"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sidRPr="005D1819">
              <w:rPr>
                <w:rFonts w:ascii="Cambria" w:eastAsia="Times New Roman" w:hAnsi="Cambria" w:cs="Times New Roman"/>
                <w:b/>
                <w:bCs/>
                <w:spacing w:val="-6"/>
                <w:sz w:val="24"/>
                <w:szCs w:val="24"/>
                <w:lang w:val="en-GB" w:eastAsia="ro-RO"/>
              </w:rPr>
              <w:t>Financial assets</w:t>
            </w:r>
          </w:p>
        </w:tc>
        <w:tc>
          <w:tcPr>
            <w:tcW w:w="1645" w:type="dxa"/>
            <w:shd w:val="clear" w:color="000000" w:fill="D6E0F4"/>
            <w:vAlign w:val="center"/>
            <w:hideMark/>
          </w:tcPr>
          <w:p w:rsidR="0037604E" w:rsidRPr="005D1819" w:rsidRDefault="001C15B8"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Pr>
                <w:rFonts w:ascii="Cambria" w:eastAsia="Times New Roman" w:hAnsi="Cambria" w:cs="Times New Roman"/>
                <w:b/>
                <w:bCs/>
                <w:spacing w:val="-6"/>
                <w:sz w:val="24"/>
                <w:szCs w:val="24"/>
                <w:lang w:val="en-GB" w:eastAsia="ro-RO"/>
              </w:rPr>
              <w:t>31.12.16</w:t>
            </w:r>
          </w:p>
        </w:tc>
        <w:tc>
          <w:tcPr>
            <w:tcW w:w="1916" w:type="dxa"/>
            <w:shd w:val="clear" w:color="000000" w:fill="D6E0F4"/>
            <w:vAlign w:val="center"/>
            <w:hideMark/>
          </w:tcPr>
          <w:p w:rsidR="0037604E" w:rsidRPr="005D1819" w:rsidRDefault="001C15B8"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Pr>
                <w:rFonts w:ascii="Cambria" w:eastAsia="Times New Roman" w:hAnsi="Cambria" w:cs="Times New Roman"/>
                <w:b/>
                <w:bCs/>
                <w:spacing w:val="-6"/>
                <w:sz w:val="24"/>
                <w:szCs w:val="24"/>
                <w:lang w:val="en-GB" w:eastAsia="ro-RO"/>
              </w:rPr>
              <w:t>31.12.15</w:t>
            </w:r>
          </w:p>
        </w:tc>
      </w:tr>
      <w:tr w:rsidR="001C15B8" w:rsidRPr="005D1819" w:rsidTr="001C15B8">
        <w:trPr>
          <w:trHeight w:val="188"/>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Cash and cash equivalent</w:t>
            </w:r>
          </w:p>
        </w:tc>
        <w:tc>
          <w:tcPr>
            <w:tcW w:w="1645"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hAnsiTheme="majorHAnsi"/>
                <w:sz w:val="18"/>
                <w:szCs w:val="18"/>
              </w:rPr>
              <w:t>204.335.217</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eastAsia="Times New Roman" w:hAnsiTheme="majorHAnsi" w:cs="Calibri"/>
                <w:sz w:val="18"/>
                <w:szCs w:val="18"/>
                <w:lang w:eastAsia="en-US"/>
              </w:rPr>
              <w:t>168.364.078</w:t>
            </w:r>
          </w:p>
        </w:tc>
      </w:tr>
      <w:tr w:rsidR="001C15B8" w:rsidRPr="005D1819" w:rsidTr="001C15B8">
        <w:trPr>
          <w:trHeight w:val="164"/>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Term bank deposits</w:t>
            </w:r>
          </w:p>
        </w:tc>
        <w:tc>
          <w:tcPr>
            <w:tcW w:w="1645"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hAnsiTheme="majorHAnsi"/>
                <w:sz w:val="18"/>
                <w:szCs w:val="18"/>
              </w:rPr>
              <w:t>744.958.019</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eastAsia="Times New Roman" w:hAnsiTheme="majorHAnsi" w:cs="Calibri"/>
                <w:sz w:val="18"/>
                <w:szCs w:val="18"/>
                <w:lang w:eastAsia="en-US"/>
              </w:rPr>
              <w:t>532.433.704</w:t>
            </w:r>
          </w:p>
        </w:tc>
      </w:tr>
      <w:tr w:rsidR="001C15B8" w:rsidRPr="005D1819" w:rsidTr="001C15B8">
        <w:trPr>
          <w:trHeight w:val="140"/>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Loans and receivables</w:t>
            </w:r>
          </w:p>
        </w:tc>
        <w:tc>
          <w:tcPr>
            <w:tcW w:w="1645" w:type="dxa"/>
            <w:shd w:val="clear" w:color="auto" w:fill="auto"/>
            <w:vAlign w:val="center"/>
            <w:hideMark/>
          </w:tcPr>
          <w:p w:rsidR="001C15B8" w:rsidRPr="00EB2E30" w:rsidRDefault="00E80C4A"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hAnsiTheme="majorHAnsi"/>
                <w:sz w:val="18"/>
                <w:szCs w:val="18"/>
              </w:rPr>
              <w:t>1.</w:t>
            </w:r>
            <w:r>
              <w:rPr>
                <w:rFonts w:asciiTheme="majorHAnsi" w:hAnsiTheme="majorHAnsi"/>
                <w:sz w:val="18"/>
                <w:szCs w:val="18"/>
              </w:rPr>
              <w:t>115.871.835</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eastAsia="Times New Roman" w:hAnsiTheme="majorHAnsi" w:cs="Calibri"/>
                <w:sz w:val="18"/>
                <w:szCs w:val="18"/>
                <w:lang w:eastAsia="en-US"/>
              </w:rPr>
              <w:t>931.218.691</w:t>
            </w:r>
          </w:p>
        </w:tc>
      </w:tr>
      <w:tr w:rsidR="001C15B8" w:rsidRPr="005D1819" w:rsidTr="001C15B8">
        <w:trPr>
          <w:trHeight w:val="242"/>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Available-for-sale financial assets.</w:t>
            </w:r>
          </w:p>
        </w:tc>
        <w:tc>
          <w:tcPr>
            <w:tcW w:w="1645"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hAnsiTheme="majorHAnsi"/>
                <w:sz w:val="18"/>
                <w:szCs w:val="18"/>
              </w:rPr>
              <w:t>163.122.672</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lang w:eastAsia="en-US"/>
              </w:rPr>
            </w:pPr>
            <w:r w:rsidRPr="00EB2E30">
              <w:rPr>
                <w:rFonts w:asciiTheme="majorHAnsi" w:eastAsia="Times New Roman" w:hAnsiTheme="majorHAnsi" w:cs="Calibri"/>
                <w:sz w:val="18"/>
                <w:szCs w:val="18"/>
                <w:lang w:eastAsia="en-US"/>
              </w:rPr>
              <w:t>163.122.672</w:t>
            </w:r>
          </w:p>
        </w:tc>
      </w:tr>
      <w:tr w:rsidR="001C15B8" w:rsidRPr="005D1819" w:rsidTr="001C15B8">
        <w:trPr>
          <w:trHeight w:val="276"/>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Available-for-sale financial assets provisions</w:t>
            </w:r>
          </w:p>
        </w:tc>
        <w:tc>
          <w:tcPr>
            <w:tcW w:w="1645"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EB2E30">
              <w:rPr>
                <w:rFonts w:asciiTheme="majorHAnsi" w:hAnsiTheme="majorHAnsi"/>
                <w:sz w:val="18"/>
                <w:szCs w:val="18"/>
              </w:rPr>
              <w:t xml:space="preserve">    (163.122.672)</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Pr>
                <w:rFonts w:asciiTheme="majorHAnsi" w:eastAsia="Times New Roman" w:hAnsiTheme="majorHAnsi" w:cs="Calibri"/>
                <w:sz w:val="18"/>
                <w:szCs w:val="18"/>
                <w:u w:val="single"/>
                <w:lang w:eastAsia="en-US"/>
              </w:rPr>
              <w:t>(</w:t>
            </w:r>
            <w:r w:rsidRPr="00EB2E30">
              <w:rPr>
                <w:rFonts w:asciiTheme="majorHAnsi" w:eastAsia="Times New Roman" w:hAnsiTheme="majorHAnsi" w:cs="Calibri"/>
                <w:sz w:val="18"/>
                <w:szCs w:val="18"/>
                <w:u w:val="single"/>
                <w:lang w:eastAsia="en-US"/>
              </w:rPr>
              <w:t>163.122.672</w:t>
            </w:r>
            <w:r>
              <w:rPr>
                <w:rFonts w:asciiTheme="majorHAnsi" w:eastAsia="Times New Roman" w:hAnsiTheme="majorHAnsi" w:cs="Calibri"/>
                <w:sz w:val="18"/>
                <w:szCs w:val="18"/>
                <w:u w:val="single"/>
                <w:lang w:eastAsia="en-US"/>
              </w:rPr>
              <w:t>)</w:t>
            </w:r>
          </w:p>
        </w:tc>
      </w:tr>
      <w:tr w:rsidR="001C15B8" w:rsidRPr="005D1819" w:rsidTr="001C15B8">
        <w:trPr>
          <w:trHeight w:val="186"/>
          <w:tblCellSpacing w:w="20" w:type="dxa"/>
        </w:trPr>
        <w:tc>
          <w:tcPr>
            <w:tcW w:w="5250"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 </w:t>
            </w:r>
          </w:p>
        </w:tc>
        <w:tc>
          <w:tcPr>
            <w:tcW w:w="1645" w:type="dxa"/>
            <w:shd w:val="clear" w:color="auto" w:fill="auto"/>
            <w:vAlign w:val="center"/>
            <w:hideMark/>
          </w:tcPr>
          <w:p w:rsidR="001C15B8" w:rsidRPr="00EB2E30" w:rsidRDefault="00E80C4A" w:rsidP="001C15B8">
            <w:pPr>
              <w:spacing w:after="0" w:line="240" w:lineRule="auto"/>
              <w:ind w:firstLine="0"/>
              <w:jc w:val="right"/>
              <w:rPr>
                <w:rFonts w:asciiTheme="majorHAnsi" w:eastAsia="Times New Roman" w:hAnsiTheme="majorHAnsi" w:cs="Calibri"/>
                <w:b/>
                <w:bCs/>
                <w:sz w:val="18"/>
                <w:szCs w:val="18"/>
                <w:u w:val="single"/>
                <w:lang w:eastAsia="en-US"/>
              </w:rPr>
            </w:pPr>
            <w:r w:rsidRPr="00EB2E30">
              <w:rPr>
                <w:rFonts w:asciiTheme="majorHAnsi" w:hAnsiTheme="majorHAnsi"/>
                <w:b/>
                <w:bCs/>
                <w:sz w:val="18"/>
                <w:szCs w:val="18"/>
                <w:u w:val="single"/>
              </w:rPr>
              <w:t>2.0</w:t>
            </w:r>
            <w:r>
              <w:rPr>
                <w:rFonts w:asciiTheme="majorHAnsi" w:hAnsiTheme="majorHAnsi"/>
                <w:b/>
                <w:bCs/>
                <w:sz w:val="18"/>
                <w:szCs w:val="18"/>
                <w:u w:val="single"/>
              </w:rPr>
              <w:t>6</w:t>
            </w:r>
            <w:r w:rsidRPr="00EB2E30">
              <w:rPr>
                <w:rFonts w:asciiTheme="majorHAnsi" w:hAnsiTheme="majorHAnsi"/>
                <w:b/>
                <w:bCs/>
                <w:sz w:val="18"/>
                <w:szCs w:val="18"/>
                <w:u w:val="single"/>
              </w:rPr>
              <w:t>5.1</w:t>
            </w:r>
            <w:r>
              <w:rPr>
                <w:rFonts w:asciiTheme="majorHAnsi" w:hAnsiTheme="majorHAnsi"/>
                <w:b/>
                <w:bCs/>
                <w:sz w:val="18"/>
                <w:szCs w:val="18"/>
                <w:u w:val="single"/>
              </w:rPr>
              <w:t>65</w:t>
            </w:r>
            <w:r w:rsidRPr="00EB2E30">
              <w:rPr>
                <w:rFonts w:asciiTheme="majorHAnsi" w:hAnsiTheme="majorHAnsi"/>
                <w:b/>
                <w:bCs/>
                <w:sz w:val="18"/>
                <w:szCs w:val="18"/>
                <w:u w:val="single"/>
              </w:rPr>
              <w:t>.</w:t>
            </w:r>
            <w:r>
              <w:rPr>
                <w:rFonts w:asciiTheme="majorHAnsi" w:hAnsiTheme="majorHAnsi"/>
                <w:b/>
                <w:bCs/>
                <w:sz w:val="18"/>
                <w:szCs w:val="18"/>
                <w:u w:val="single"/>
              </w:rPr>
              <w:t>071</w:t>
            </w:r>
          </w:p>
        </w:tc>
        <w:tc>
          <w:tcPr>
            <w:tcW w:w="1916" w:type="dxa"/>
            <w:shd w:val="clear" w:color="auto" w:fill="auto"/>
            <w:vAlign w:val="center"/>
            <w:hideMark/>
          </w:tcPr>
          <w:p w:rsidR="001C15B8" w:rsidRPr="00EB2E30" w:rsidRDefault="001C15B8" w:rsidP="001C15B8">
            <w:pPr>
              <w:spacing w:after="0" w:line="240" w:lineRule="auto"/>
              <w:ind w:firstLine="0"/>
              <w:jc w:val="right"/>
              <w:rPr>
                <w:rFonts w:asciiTheme="majorHAnsi" w:eastAsia="Times New Roman" w:hAnsiTheme="majorHAnsi" w:cs="Calibri"/>
                <w:b/>
                <w:bCs/>
                <w:sz w:val="18"/>
                <w:szCs w:val="18"/>
                <w:u w:val="double"/>
                <w:lang w:eastAsia="en-US"/>
              </w:rPr>
            </w:pPr>
            <w:r w:rsidRPr="00EB2E30">
              <w:rPr>
                <w:rFonts w:asciiTheme="majorHAnsi" w:eastAsia="Times New Roman" w:hAnsiTheme="majorHAnsi" w:cs="Calibri"/>
                <w:b/>
                <w:bCs/>
                <w:sz w:val="18"/>
                <w:szCs w:val="18"/>
                <w:u w:val="single"/>
                <w:lang w:eastAsia="en-US"/>
              </w:rPr>
              <w:t>1.632.016.473</w:t>
            </w:r>
          </w:p>
        </w:tc>
      </w:tr>
    </w:tbl>
    <w:p w:rsidR="0037604E"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6D2957" w:rsidRDefault="006D2957" w:rsidP="0037604E">
      <w:pPr>
        <w:widowControl w:val="0"/>
        <w:spacing w:after="0" w:line="240" w:lineRule="auto"/>
        <w:ind w:firstLine="0"/>
        <w:jc w:val="both"/>
        <w:rPr>
          <w:rFonts w:ascii="Cambria" w:eastAsia="Times New Roman" w:hAnsi="Cambria" w:cs="Times New Roman"/>
          <w:spacing w:val="-6"/>
          <w:sz w:val="24"/>
          <w:szCs w:val="24"/>
          <w:lang w:val="en-GB" w:eastAsia="ro-RO"/>
        </w:rPr>
      </w:pPr>
      <w:r>
        <w:rPr>
          <w:rFonts w:ascii="Cambria" w:eastAsia="Times New Roman" w:hAnsi="Cambria" w:cs="Times New Roman"/>
          <w:spacing w:val="-6"/>
          <w:sz w:val="24"/>
          <w:szCs w:val="24"/>
          <w:lang w:val="en-GB" w:eastAsia="ro-RO"/>
        </w:rPr>
        <w:t>T</w:t>
      </w:r>
      <w:r w:rsidRPr="006D2957">
        <w:rPr>
          <w:rFonts w:ascii="Cambria" w:eastAsia="Times New Roman" w:hAnsi="Cambria" w:cs="Times New Roman"/>
          <w:spacing w:val="-6"/>
          <w:sz w:val="24"/>
          <w:szCs w:val="24"/>
          <w:lang w:val="en-GB" w:eastAsia="ro-RO"/>
        </w:rPr>
        <w:t xml:space="preserve">he category of loans and receivables </w:t>
      </w:r>
      <w:r>
        <w:rPr>
          <w:rFonts w:ascii="Cambria" w:eastAsia="Times New Roman" w:hAnsi="Cambria" w:cs="Times New Roman"/>
          <w:spacing w:val="-6"/>
          <w:sz w:val="24"/>
          <w:szCs w:val="24"/>
          <w:lang w:val="en-GB" w:eastAsia="ro-RO"/>
        </w:rPr>
        <w:t>does not cover</w:t>
      </w:r>
      <w:r w:rsidRPr="006D2957">
        <w:rPr>
          <w:rFonts w:ascii="Cambria" w:eastAsia="Times New Roman" w:hAnsi="Cambria" w:cs="Times New Roman"/>
          <w:spacing w:val="-6"/>
          <w:sz w:val="24"/>
          <w:szCs w:val="24"/>
          <w:lang w:val="en-GB" w:eastAsia="ro-RO"/>
        </w:rPr>
        <w:t xml:space="preserve"> claims in relation to employees and accrued expenses.</w:t>
      </w:r>
    </w:p>
    <w:p w:rsidR="00B115A4" w:rsidRPr="005D1819" w:rsidRDefault="00B115A4" w:rsidP="0037604E">
      <w:pPr>
        <w:widowControl w:val="0"/>
        <w:spacing w:after="0" w:line="240" w:lineRule="auto"/>
        <w:ind w:firstLine="0"/>
        <w:jc w:val="both"/>
        <w:rPr>
          <w:rFonts w:ascii="Cambria" w:eastAsia="Times New Roman" w:hAnsi="Cambria" w:cs="Times New Roman"/>
          <w:spacing w:val="-6"/>
          <w:sz w:val="24"/>
          <w:szCs w:val="24"/>
          <w:lang w:val="en-GB" w:eastAsia="ro-RO"/>
        </w:rPr>
      </w:pPr>
    </w:p>
    <w:tbl>
      <w:tblPr>
        <w:tblW w:w="8971" w:type="dxa"/>
        <w:tblCellSpacing w:w="20" w:type="dxa"/>
        <w:tblInd w:w="9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474"/>
        <w:gridCol w:w="1515"/>
        <w:gridCol w:w="1982"/>
      </w:tblGrid>
      <w:tr w:rsidR="00B115A4" w:rsidRPr="005D1819" w:rsidTr="00B115A4">
        <w:trPr>
          <w:trHeight w:val="227"/>
          <w:tblCellSpacing w:w="20" w:type="dxa"/>
        </w:trPr>
        <w:tc>
          <w:tcPr>
            <w:tcW w:w="5414" w:type="dxa"/>
            <w:shd w:val="clear" w:color="000000" w:fill="D6E0F4"/>
            <w:vAlign w:val="center"/>
            <w:hideMark/>
          </w:tcPr>
          <w:p w:rsidR="0037604E" w:rsidRPr="005D1819" w:rsidRDefault="0037604E"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sidRPr="005D1819">
              <w:rPr>
                <w:rFonts w:ascii="Cambria" w:eastAsia="Times New Roman" w:hAnsi="Cambria" w:cs="Times New Roman"/>
                <w:b/>
                <w:bCs/>
                <w:spacing w:val="-6"/>
                <w:sz w:val="24"/>
                <w:szCs w:val="24"/>
                <w:lang w:val="en-GB" w:eastAsia="ro-RO"/>
              </w:rPr>
              <w:t>Financial liability</w:t>
            </w:r>
          </w:p>
        </w:tc>
        <w:tc>
          <w:tcPr>
            <w:tcW w:w="1475" w:type="dxa"/>
            <w:shd w:val="clear" w:color="000000" w:fill="D6E0F4"/>
            <w:vAlign w:val="center"/>
            <w:hideMark/>
          </w:tcPr>
          <w:p w:rsidR="0037604E" w:rsidRPr="005D1819" w:rsidRDefault="001C15B8"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Pr>
                <w:rFonts w:ascii="Cambria" w:eastAsia="Times New Roman" w:hAnsi="Cambria" w:cs="Times New Roman"/>
                <w:b/>
                <w:bCs/>
                <w:spacing w:val="-6"/>
                <w:sz w:val="24"/>
                <w:szCs w:val="24"/>
                <w:lang w:val="en-GB" w:eastAsia="ro-RO"/>
              </w:rPr>
              <w:t>31.12.16</w:t>
            </w:r>
          </w:p>
        </w:tc>
        <w:tc>
          <w:tcPr>
            <w:tcW w:w="1922" w:type="dxa"/>
            <w:shd w:val="clear" w:color="000000" w:fill="D6E0F4"/>
            <w:vAlign w:val="center"/>
            <w:hideMark/>
          </w:tcPr>
          <w:p w:rsidR="0037604E" w:rsidRPr="005D1819" w:rsidRDefault="001C15B8" w:rsidP="0037604E">
            <w:pPr>
              <w:widowControl w:val="0"/>
              <w:spacing w:after="0" w:line="240" w:lineRule="auto"/>
              <w:ind w:firstLine="0"/>
              <w:jc w:val="both"/>
              <w:rPr>
                <w:rFonts w:ascii="Cambria" w:eastAsia="Times New Roman" w:hAnsi="Cambria" w:cs="Times New Roman"/>
                <w:b/>
                <w:bCs/>
                <w:spacing w:val="-6"/>
                <w:sz w:val="24"/>
                <w:szCs w:val="24"/>
                <w:lang w:val="en-GB" w:eastAsia="ro-RO"/>
              </w:rPr>
            </w:pPr>
            <w:r>
              <w:rPr>
                <w:rFonts w:ascii="Cambria" w:eastAsia="Times New Roman" w:hAnsi="Cambria" w:cs="Times New Roman"/>
                <w:b/>
                <w:bCs/>
                <w:spacing w:val="-6"/>
                <w:sz w:val="24"/>
                <w:szCs w:val="24"/>
                <w:lang w:val="en-GB" w:eastAsia="ro-RO"/>
              </w:rPr>
              <w:t>31.12.15</w:t>
            </w:r>
          </w:p>
        </w:tc>
      </w:tr>
      <w:tr w:rsidR="001C15B8" w:rsidRPr="005D1819" w:rsidTr="00B115A4">
        <w:trPr>
          <w:trHeight w:val="227"/>
          <w:tblCellSpacing w:w="20" w:type="dxa"/>
        </w:trPr>
        <w:tc>
          <w:tcPr>
            <w:tcW w:w="5414"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Financial liabilities evaluated at fair value</w:t>
            </w:r>
          </w:p>
        </w:tc>
        <w:tc>
          <w:tcPr>
            <w:tcW w:w="1475" w:type="dxa"/>
            <w:shd w:val="clear" w:color="auto" w:fill="auto"/>
            <w:vAlign w:val="center"/>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631172">
              <w:rPr>
                <w:rFonts w:asciiTheme="majorHAnsi" w:eastAsia="Times New Roman" w:hAnsiTheme="majorHAnsi" w:cs="Calibri"/>
                <w:sz w:val="18"/>
                <w:szCs w:val="18"/>
                <w:u w:val="single"/>
                <w:lang w:eastAsia="en-US"/>
              </w:rPr>
              <w:t> </w:t>
            </w:r>
          </w:p>
        </w:tc>
        <w:tc>
          <w:tcPr>
            <w:tcW w:w="1922" w:type="dxa"/>
            <w:shd w:val="clear" w:color="auto" w:fill="auto"/>
            <w:vAlign w:val="center"/>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631172">
              <w:rPr>
                <w:rFonts w:asciiTheme="majorHAnsi" w:eastAsia="Times New Roman" w:hAnsiTheme="majorHAnsi" w:cs="Calibri"/>
                <w:sz w:val="18"/>
                <w:szCs w:val="18"/>
                <w:u w:val="single"/>
                <w:lang w:eastAsia="en-US"/>
              </w:rPr>
              <w:t> </w:t>
            </w:r>
          </w:p>
        </w:tc>
      </w:tr>
      <w:tr w:rsidR="001C15B8" w:rsidRPr="005D1819" w:rsidTr="001C15B8">
        <w:trPr>
          <w:trHeight w:val="227"/>
          <w:tblCellSpacing w:w="20" w:type="dxa"/>
        </w:trPr>
        <w:tc>
          <w:tcPr>
            <w:tcW w:w="5414"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 xml:space="preserve">     Financial securities for contracts</w:t>
            </w:r>
          </w:p>
        </w:tc>
        <w:tc>
          <w:tcPr>
            <w:tcW w:w="1475" w:type="dxa"/>
            <w:shd w:val="clear" w:color="auto" w:fill="auto"/>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631172">
              <w:rPr>
                <w:rFonts w:asciiTheme="majorHAnsi" w:hAnsiTheme="majorHAnsi"/>
                <w:sz w:val="18"/>
                <w:szCs w:val="18"/>
              </w:rPr>
              <w:t>4.724.822</w:t>
            </w:r>
          </w:p>
        </w:tc>
        <w:tc>
          <w:tcPr>
            <w:tcW w:w="1922" w:type="dxa"/>
            <w:shd w:val="clear" w:color="auto" w:fill="auto"/>
            <w:vAlign w:val="center"/>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lang w:eastAsia="en-US"/>
              </w:rPr>
            </w:pPr>
            <w:r w:rsidRPr="00631172">
              <w:rPr>
                <w:rFonts w:asciiTheme="majorHAnsi" w:eastAsia="Times New Roman" w:hAnsiTheme="majorHAnsi" w:cs="Calibri"/>
                <w:sz w:val="18"/>
                <w:szCs w:val="18"/>
                <w:lang w:val="en-GB" w:eastAsia="en-US"/>
              </w:rPr>
              <w:t>4.116.283</w:t>
            </w:r>
          </w:p>
        </w:tc>
      </w:tr>
      <w:tr w:rsidR="001C15B8" w:rsidRPr="005D1819" w:rsidTr="001C15B8">
        <w:trPr>
          <w:trHeight w:val="227"/>
          <w:tblCellSpacing w:w="20" w:type="dxa"/>
        </w:trPr>
        <w:tc>
          <w:tcPr>
            <w:tcW w:w="5414"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 xml:space="preserve">     Commercial debts and other debts</w:t>
            </w:r>
          </w:p>
        </w:tc>
        <w:tc>
          <w:tcPr>
            <w:tcW w:w="1475" w:type="dxa"/>
            <w:shd w:val="clear" w:color="auto" w:fill="auto"/>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631172">
              <w:rPr>
                <w:rFonts w:asciiTheme="majorHAnsi" w:hAnsiTheme="majorHAnsi"/>
                <w:sz w:val="18"/>
                <w:szCs w:val="18"/>
              </w:rPr>
              <w:t>86.633.267</w:t>
            </w:r>
          </w:p>
        </w:tc>
        <w:tc>
          <w:tcPr>
            <w:tcW w:w="1922" w:type="dxa"/>
            <w:shd w:val="clear" w:color="auto" w:fill="auto"/>
            <w:vAlign w:val="center"/>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lang w:eastAsia="en-US"/>
              </w:rPr>
            </w:pPr>
            <w:r w:rsidRPr="00631172">
              <w:rPr>
                <w:rFonts w:asciiTheme="majorHAnsi" w:eastAsia="Times New Roman" w:hAnsiTheme="majorHAnsi" w:cs="Calibri"/>
                <w:sz w:val="18"/>
                <w:szCs w:val="18"/>
                <w:lang w:val="ro-RO" w:eastAsia="en-US"/>
              </w:rPr>
              <w:t>147.292.640</w:t>
            </w:r>
          </w:p>
        </w:tc>
      </w:tr>
      <w:tr w:rsidR="001C15B8" w:rsidRPr="005D1819" w:rsidTr="001C15B8">
        <w:trPr>
          <w:trHeight w:val="227"/>
          <w:tblCellSpacing w:w="20" w:type="dxa"/>
        </w:trPr>
        <w:tc>
          <w:tcPr>
            <w:tcW w:w="5414" w:type="dxa"/>
            <w:shd w:val="clear" w:color="auto" w:fill="auto"/>
            <w:vAlign w:val="center"/>
            <w:hideMark/>
          </w:tcPr>
          <w:p w:rsidR="001C15B8" w:rsidRPr="005D1819" w:rsidRDefault="001C15B8"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Times New Roman" w:hAnsi="Cambria" w:cs="Times New Roman"/>
                <w:spacing w:val="-6"/>
                <w:sz w:val="24"/>
                <w:szCs w:val="24"/>
                <w:lang w:val="en-GB" w:eastAsia="ro-RO"/>
              </w:rPr>
              <w:t> </w:t>
            </w:r>
          </w:p>
        </w:tc>
        <w:tc>
          <w:tcPr>
            <w:tcW w:w="1475" w:type="dxa"/>
            <w:shd w:val="clear" w:color="auto" w:fill="auto"/>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u w:val="single"/>
                <w:lang w:eastAsia="en-US"/>
              </w:rPr>
            </w:pPr>
            <w:r w:rsidRPr="00631172">
              <w:rPr>
                <w:rFonts w:asciiTheme="majorHAnsi" w:hAnsiTheme="majorHAnsi"/>
                <w:sz w:val="18"/>
                <w:szCs w:val="18"/>
              </w:rPr>
              <w:t>91.358.089</w:t>
            </w:r>
          </w:p>
        </w:tc>
        <w:tc>
          <w:tcPr>
            <w:tcW w:w="1922" w:type="dxa"/>
            <w:shd w:val="clear" w:color="auto" w:fill="auto"/>
            <w:vAlign w:val="center"/>
            <w:hideMark/>
          </w:tcPr>
          <w:p w:rsidR="001C15B8" w:rsidRPr="00631172" w:rsidRDefault="001C15B8" w:rsidP="001C15B8">
            <w:pPr>
              <w:spacing w:after="0" w:line="240" w:lineRule="auto"/>
              <w:ind w:firstLine="0"/>
              <w:jc w:val="right"/>
              <w:rPr>
                <w:rFonts w:asciiTheme="majorHAnsi" w:eastAsia="Times New Roman" w:hAnsiTheme="majorHAnsi" w:cs="Calibri"/>
                <w:sz w:val="18"/>
                <w:szCs w:val="18"/>
                <w:lang w:eastAsia="en-US"/>
              </w:rPr>
            </w:pPr>
            <w:r w:rsidRPr="00631172">
              <w:rPr>
                <w:rFonts w:asciiTheme="majorHAnsi" w:eastAsia="Times New Roman" w:hAnsiTheme="majorHAnsi" w:cs="Calibri"/>
                <w:sz w:val="18"/>
                <w:szCs w:val="18"/>
                <w:lang w:val="en-GB" w:eastAsia="en-US"/>
              </w:rPr>
              <w:t>151.408.923</w:t>
            </w:r>
          </w:p>
        </w:tc>
      </w:tr>
    </w:tbl>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bCs/>
          <w:spacing w:val="-6"/>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 xml:space="preserve">Capital risk management </w:t>
      </w:r>
    </w:p>
    <w:p w:rsidR="0037604E" w:rsidRPr="005D1819" w:rsidRDefault="0037604E" w:rsidP="0037604E">
      <w:pPr>
        <w:widowControl w:val="0"/>
        <w:spacing w:after="0" w:line="240" w:lineRule="auto"/>
        <w:ind w:left="709" w:firstLine="0"/>
        <w:rPr>
          <w:rFonts w:ascii="Cambria" w:eastAsia="Times New Roman" w:hAnsi="Cambria" w:cs="Times New Roman"/>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 xml:space="preserve">Company's objectives related to capital management refer to keeping the Company's capacity to continue its activity in order to provide compensation to shareholders and benefits to the other stakeholders and maintain an optimal structure of the capital, as to reduce capital expenditure.  There are no capital requirements imposed from outside.  </w:t>
      </w:r>
    </w:p>
    <w:p w:rsidR="0037604E" w:rsidRPr="005D1819" w:rsidRDefault="0037604E" w:rsidP="0037604E">
      <w:pPr>
        <w:spacing w:after="0" w:line="240" w:lineRule="auto"/>
        <w:ind w:left="709" w:firstLine="0"/>
        <w:rPr>
          <w:rFonts w:ascii="Cambria" w:eastAsia="Times New Roman" w:hAnsi="Cambria" w:cs="Times New Roman"/>
          <w:sz w:val="24"/>
          <w:szCs w:val="24"/>
          <w:lang w:val="en-GB" w:eastAsia="en-US"/>
        </w:rPr>
      </w:pP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Cambria" w:hAnsi="Cambria" w:cs="Cambria"/>
          <w:sz w:val="24"/>
          <w:szCs w:val="24"/>
          <w:lang w:val="en-GB"/>
        </w:rPr>
        <w:t xml:space="preserve">As for the other companies in this sector, Transgaz monitors the capital based on the debt leverage.  This coefficient is calculated as net debt divided by total capital.  </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highlight w:val="yellow"/>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 xml:space="preserve">The net debt is calculated as total borrowings (including `current and long-term borrowings`, as the statement of the financial position shows), except cash and cash equivalent.  The total capital is calculated as "equity", according to the statement of the financial position, plus the net debt. </w:t>
      </w:r>
    </w:p>
    <w:p w:rsidR="0037604E" w:rsidRPr="005D1819" w:rsidRDefault="0037604E" w:rsidP="0037604E">
      <w:pPr>
        <w:widowControl w:val="0"/>
        <w:spacing w:after="0" w:line="240" w:lineRule="auto"/>
        <w:ind w:left="709" w:firstLine="0"/>
        <w:jc w:val="both"/>
        <w:rPr>
          <w:rFonts w:ascii="Cambria" w:eastAsia="Times New Roman" w:hAnsi="Cambria" w:cs="Times New Roman"/>
          <w:sz w:val="24"/>
          <w:szCs w:val="24"/>
          <w:lang w:val="en-GB" w:eastAsia="ro-RO"/>
        </w:rPr>
      </w:pPr>
    </w:p>
    <w:p w:rsidR="0037604E" w:rsidRPr="005D1819" w:rsidRDefault="00B115A4" w:rsidP="0037604E">
      <w:pPr>
        <w:widowControl w:val="0"/>
        <w:spacing w:after="0" w:line="240" w:lineRule="auto"/>
        <w:ind w:firstLine="0"/>
        <w:jc w:val="both"/>
        <w:rPr>
          <w:rFonts w:ascii="Cambria" w:eastAsia="Times New Roman" w:hAnsi="Cambria" w:cs="Times New Roman"/>
          <w:spacing w:val="-6"/>
          <w:sz w:val="24"/>
          <w:szCs w:val="24"/>
          <w:lang w:val="en-GB" w:eastAsia="ro-RO"/>
        </w:rPr>
      </w:pPr>
      <w:r>
        <w:rPr>
          <w:rFonts w:ascii="Cambria" w:eastAsia="Cambria" w:hAnsi="Cambria" w:cs="Cambria"/>
          <w:sz w:val="24"/>
          <w:szCs w:val="24"/>
          <w:lang w:val="en-GB"/>
        </w:rPr>
        <w:t>In 2016</w:t>
      </w:r>
      <w:r w:rsidR="0037604E" w:rsidRPr="005D1819">
        <w:rPr>
          <w:rFonts w:ascii="Cambria" w:eastAsia="Cambria" w:hAnsi="Cambria" w:cs="Cambria"/>
          <w:sz w:val="24"/>
          <w:szCs w:val="24"/>
          <w:lang w:val="en-GB"/>
        </w:rPr>
        <w:t xml:space="preserve"> the Company's strategy whi</w:t>
      </w:r>
      <w:r>
        <w:rPr>
          <w:rFonts w:ascii="Cambria" w:eastAsia="Cambria" w:hAnsi="Cambria" w:cs="Cambria"/>
          <w:sz w:val="24"/>
          <w:szCs w:val="24"/>
          <w:lang w:val="en-GB"/>
        </w:rPr>
        <w:t>ch remained unchanged since 2015</w:t>
      </w:r>
      <w:r w:rsidR="0037604E" w:rsidRPr="005D1819">
        <w:rPr>
          <w:rFonts w:ascii="Cambria" w:eastAsia="Cambria" w:hAnsi="Cambria" w:cs="Cambria"/>
          <w:sz w:val="24"/>
          <w:szCs w:val="24"/>
          <w:lang w:val="en-GB"/>
        </w:rPr>
        <w:t xml:space="preserve"> was to keep the debt leverage degree as low as possible to keep a significant capacity to borrow funds for </w:t>
      </w:r>
      <w:r w:rsidR="0037604E" w:rsidRPr="005D1819">
        <w:rPr>
          <w:rFonts w:ascii="Cambria" w:eastAsia="Cambria" w:hAnsi="Cambria" w:cs="Cambria"/>
          <w:sz w:val="24"/>
          <w:szCs w:val="24"/>
          <w:lang w:val="en-GB"/>
        </w:rPr>
        <w:lastRenderedPageBreak/>
        <w:t xml:space="preserve">future investments.  </w:t>
      </w: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r w:rsidRPr="005D1819">
        <w:rPr>
          <w:rFonts w:ascii="Cambria" w:eastAsia="Times New Roman" w:hAnsi="Cambria" w:cs="Times New Roman"/>
          <w:sz w:val="24"/>
          <w:szCs w:val="24"/>
          <w:lang w:val="en-GB" w:eastAsia="ro-RO"/>
        </w:rPr>
        <w:t>The net indebtedn</w:t>
      </w:r>
      <w:r w:rsidR="00B115A4">
        <w:rPr>
          <w:rFonts w:ascii="Cambria" w:eastAsia="Times New Roman" w:hAnsi="Cambria" w:cs="Times New Roman"/>
          <w:sz w:val="24"/>
          <w:szCs w:val="24"/>
          <w:lang w:val="en-GB" w:eastAsia="ro-RO"/>
        </w:rPr>
        <w:t>ess was null at 31 December 2016 and 31 December 2015</w:t>
      </w:r>
      <w:r w:rsidRPr="005D1819">
        <w:rPr>
          <w:rFonts w:ascii="Cambria" w:eastAsia="Times New Roman" w:hAnsi="Cambria" w:cs="Times New Roman"/>
          <w:sz w:val="24"/>
          <w:szCs w:val="24"/>
          <w:lang w:val="en-GB" w:eastAsia="ro-RO"/>
        </w:rPr>
        <w:t>:</w:t>
      </w: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p>
    <w:tbl>
      <w:tblPr>
        <w:tblW w:w="8983"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4118"/>
        <w:gridCol w:w="2698"/>
        <w:gridCol w:w="2167"/>
      </w:tblGrid>
      <w:tr w:rsidR="0037604E" w:rsidRPr="005D1819" w:rsidTr="0037604E">
        <w:trPr>
          <w:tblCellSpacing w:w="20" w:type="dxa"/>
          <w:jc w:val="center"/>
        </w:trPr>
        <w:tc>
          <w:tcPr>
            <w:tcW w:w="4058" w:type="dxa"/>
            <w:shd w:val="clear" w:color="auto" w:fill="DBE5F1"/>
            <w:vAlign w:val="bottom"/>
          </w:tcPr>
          <w:p w:rsidR="0037604E" w:rsidRPr="005D1819" w:rsidRDefault="0037604E" w:rsidP="0037604E">
            <w:pPr>
              <w:widowControl w:val="0"/>
              <w:spacing w:after="0" w:line="240" w:lineRule="auto"/>
              <w:ind w:right="4" w:firstLine="0"/>
              <w:rPr>
                <w:rFonts w:ascii="Cambria" w:eastAsia="Times New Roman" w:hAnsi="Cambria" w:cs="Times New Roman"/>
                <w:b/>
                <w:snapToGrid w:val="0"/>
                <w:sz w:val="24"/>
                <w:szCs w:val="24"/>
                <w:lang w:val="en-GB" w:eastAsia="ro-RO"/>
              </w:rPr>
            </w:pPr>
          </w:p>
        </w:tc>
        <w:tc>
          <w:tcPr>
            <w:tcW w:w="2658" w:type="dxa"/>
            <w:shd w:val="clear" w:color="auto" w:fill="D6E0F4"/>
            <w:vAlign w:val="center"/>
          </w:tcPr>
          <w:p w:rsidR="0037604E" w:rsidRPr="005D1819" w:rsidRDefault="001C15B8" w:rsidP="0037604E">
            <w:pPr>
              <w:widowControl w:val="0"/>
              <w:spacing w:after="0" w:line="240" w:lineRule="auto"/>
              <w:ind w:right="4" w:firstLine="0"/>
              <w:jc w:val="center"/>
              <w:rPr>
                <w:rFonts w:ascii="Cambria" w:eastAsia="Times New Roman" w:hAnsi="Cambria" w:cs="Times New Roman"/>
                <w:b/>
                <w:snapToGrid w:val="0"/>
                <w:sz w:val="18"/>
                <w:szCs w:val="18"/>
                <w:lang w:val="en-GB" w:eastAsia="ro-RO"/>
              </w:rPr>
            </w:pPr>
            <w:r>
              <w:rPr>
                <w:rFonts w:ascii="Cambria" w:eastAsia="Times New Roman" w:hAnsi="Cambria" w:cs="Times New Roman"/>
                <w:b/>
                <w:sz w:val="18"/>
                <w:szCs w:val="18"/>
                <w:lang w:val="en-GB" w:eastAsia="ro-RO"/>
              </w:rPr>
              <w:t>31 December 2016</w:t>
            </w:r>
          </w:p>
        </w:tc>
        <w:tc>
          <w:tcPr>
            <w:tcW w:w="2107" w:type="dxa"/>
            <w:shd w:val="clear" w:color="auto" w:fill="D6E0F4"/>
            <w:vAlign w:val="center"/>
          </w:tcPr>
          <w:p w:rsidR="0037604E" w:rsidRPr="005D1819" w:rsidRDefault="0037604E" w:rsidP="0037604E">
            <w:pPr>
              <w:widowControl w:val="0"/>
              <w:spacing w:after="0" w:line="240" w:lineRule="auto"/>
              <w:ind w:right="4" w:firstLine="0"/>
              <w:jc w:val="center"/>
              <w:rPr>
                <w:rFonts w:ascii="Cambria" w:eastAsia="Times New Roman" w:hAnsi="Cambria" w:cs="Times New Roman"/>
                <w:b/>
                <w:snapToGrid w:val="0"/>
                <w:sz w:val="18"/>
                <w:szCs w:val="18"/>
                <w:lang w:val="en-GB" w:eastAsia="ro-RO"/>
              </w:rPr>
            </w:pPr>
            <w:r w:rsidRPr="005D1819">
              <w:rPr>
                <w:rFonts w:ascii="Cambria" w:eastAsia="Times New Roman" w:hAnsi="Cambria" w:cs="Times New Roman"/>
                <w:b/>
                <w:sz w:val="18"/>
                <w:szCs w:val="18"/>
                <w:lang w:val="en-GB" w:eastAsia="ro-RO"/>
              </w:rPr>
              <w:t>31</w:t>
            </w:r>
            <w:r w:rsidRPr="005D1819">
              <w:rPr>
                <w:lang w:val="en-GB"/>
              </w:rPr>
              <w:t xml:space="preserve"> </w:t>
            </w:r>
            <w:r w:rsidR="001C15B8">
              <w:rPr>
                <w:rFonts w:ascii="Cambria" w:eastAsia="Times New Roman" w:hAnsi="Cambria" w:cs="Times New Roman"/>
                <w:b/>
                <w:sz w:val="18"/>
                <w:szCs w:val="18"/>
                <w:lang w:val="en-GB" w:eastAsia="ro-RO"/>
              </w:rPr>
              <w:t>December 2015</w:t>
            </w:r>
          </w:p>
        </w:tc>
      </w:tr>
      <w:tr w:rsidR="001C15B8" w:rsidRPr="005D1819" w:rsidTr="0037604E">
        <w:trPr>
          <w:tblCellSpacing w:w="20" w:type="dxa"/>
          <w:jc w:val="center"/>
        </w:trPr>
        <w:tc>
          <w:tcPr>
            <w:tcW w:w="4058" w:type="dxa"/>
            <w:vAlign w:val="bottom"/>
          </w:tcPr>
          <w:p w:rsidR="001C15B8" w:rsidRPr="005D1819" w:rsidRDefault="001C15B8" w:rsidP="0037604E">
            <w:pPr>
              <w:widowControl w:val="0"/>
              <w:spacing w:after="0" w:line="240" w:lineRule="auto"/>
              <w:ind w:right="4" w:firstLine="0"/>
              <w:jc w:val="both"/>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 xml:space="preserve">Total loans </w:t>
            </w:r>
          </w:p>
        </w:tc>
        <w:tc>
          <w:tcPr>
            <w:tcW w:w="2658" w:type="dxa"/>
            <w:vAlign w:val="center"/>
          </w:tcPr>
          <w:p w:rsidR="001C15B8" w:rsidRPr="009545FE" w:rsidRDefault="001C15B8" w:rsidP="001C15B8">
            <w:pPr>
              <w:widowControl w:val="0"/>
              <w:spacing w:after="0" w:line="240" w:lineRule="auto"/>
              <w:ind w:right="4" w:firstLine="0"/>
              <w:jc w:val="right"/>
              <w:rPr>
                <w:rFonts w:asciiTheme="majorHAnsi" w:eastAsia="Times New Roman" w:hAnsiTheme="majorHAnsi" w:cs="Times New Roman"/>
                <w:sz w:val="18"/>
                <w:szCs w:val="18"/>
                <w:lang w:val="ro-RO" w:eastAsia="ro-RO"/>
              </w:rPr>
            </w:pPr>
            <w:r w:rsidRPr="009545FE">
              <w:rPr>
                <w:rFonts w:asciiTheme="majorHAnsi" w:eastAsia="Times New Roman" w:hAnsiTheme="majorHAnsi" w:cs="Times New Roman"/>
                <w:sz w:val="18"/>
                <w:szCs w:val="18"/>
                <w:lang w:val="ro-RO" w:eastAsia="ro-RO"/>
              </w:rPr>
              <w:t>-</w:t>
            </w:r>
          </w:p>
        </w:tc>
        <w:tc>
          <w:tcPr>
            <w:tcW w:w="2107" w:type="dxa"/>
            <w:vAlign w:val="center"/>
          </w:tcPr>
          <w:p w:rsidR="001C15B8" w:rsidRPr="009545FE" w:rsidDel="009545FE" w:rsidRDefault="001C15B8" w:rsidP="001C15B8">
            <w:pPr>
              <w:widowControl w:val="0"/>
              <w:spacing w:after="0" w:line="240" w:lineRule="auto"/>
              <w:ind w:right="4" w:firstLine="0"/>
              <w:jc w:val="right"/>
              <w:rPr>
                <w:rFonts w:asciiTheme="majorHAnsi" w:eastAsia="Times New Roman" w:hAnsiTheme="majorHAnsi" w:cs="Times New Roman"/>
                <w:sz w:val="18"/>
                <w:szCs w:val="18"/>
                <w:lang w:val="ro-RO" w:eastAsia="ro-RO"/>
              </w:rPr>
            </w:pPr>
            <w:r w:rsidRPr="009545FE">
              <w:rPr>
                <w:rFonts w:asciiTheme="majorHAnsi" w:eastAsia="Calibri" w:hAnsiTheme="majorHAnsi" w:cs="Times New Roman"/>
                <w:sz w:val="18"/>
                <w:szCs w:val="18"/>
                <w:lang w:eastAsia="en-US"/>
              </w:rPr>
              <w:t>-</w:t>
            </w:r>
          </w:p>
        </w:tc>
      </w:tr>
      <w:tr w:rsidR="001C15B8" w:rsidRPr="005D1819" w:rsidTr="0037604E">
        <w:trPr>
          <w:tblCellSpacing w:w="20" w:type="dxa"/>
          <w:jc w:val="center"/>
        </w:trPr>
        <w:tc>
          <w:tcPr>
            <w:tcW w:w="4058" w:type="dxa"/>
          </w:tcPr>
          <w:p w:rsidR="001C15B8" w:rsidRPr="005D1819" w:rsidRDefault="001C15B8" w:rsidP="0037604E">
            <w:pPr>
              <w:spacing w:after="0" w:line="240" w:lineRule="auto"/>
              <w:ind w:firstLine="0"/>
              <w:rPr>
                <w:rFonts w:ascii="Cambria" w:eastAsia="Times New Roman" w:hAnsi="Cambria" w:cs="Times New Roman"/>
                <w:spacing w:val="-4"/>
                <w:sz w:val="24"/>
                <w:szCs w:val="24"/>
                <w:lang w:val="en-GB" w:eastAsia="ro-RO"/>
              </w:rPr>
            </w:pPr>
            <w:r w:rsidRPr="005D1819">
              <w:rPr>
                <w:rFonts w:ascii="Cambria" w:eastAsia="Cambria" w:hAnsi="Cambria" w:cs="Cambria"/>
                <w:sz w:val="24"/>
                <w:szCs w:val="24"/>
                <w:lang w:val="en-GB"/>
              </w:rPr>
              <w:t>Loss: cash and cash equivalent</w:t>
            </w:r>
          </w:p>
        </w:tc>
        <w:tc>
          <w:tcPr>
            <w:tcW w:w="2658" w:type="dxa"/>
            <w:vAlign w:val="center"/>
          </w:tcPr>
          <w:p w:rsidR="001C15B8" w:rsidRPr="009545FE" w:rsidRDefault="001C15B8" w:rsidP="001C15B8">
            <w:pPr>
              <w:spacing w:after="0" w:line="240" w:lineRule="auto"/>
              <w:ind w:firstLine="0"/>
              <w:jc w:val="right"/>
              <w:rPr>
                <w:rFonts w:asciiTheme="majorHAnsi" w:eastAsia="Times New Roman" w:hAnsiTheme="majorHAnsi" w:cs="Times New Roman"/>
                <w:spacing w:val="-4"/>
                <w:sz w:val="18"/>
                <w:szCs w:val="18"/>
                <w:u w:val="single"/>
                <w:lang w:val="ro-RO" w:eastAsia="ro-RO"/>
              </w:rPr>
            </w:pPr>
            <w:r w:rsidRPr="009545FE">
              <w:rPr>
                <w:rFonts w:asciiTheme="majorHAnsi" w:eastAsia="Calibri" w:hAnsiTheme="majorHAnsi" w:cs="Times New Roman"/>
                <w:sz w:val="18"/>
                <w:szCs w:val="18"/>
                <w:u w:val="single"/>
                <w:lang w:val="ro-RO" w:eastAsia="en-US"/>
              </w:rPr>
              <w:t>(949.293.236)</w:t>
            </w:r>
          </w:p>
        </w:tc>
        <w:tc>
          <w:tcPr>
            <w:tcW w:w="2107" w:type="dxa"/>
            <w:vAlign w:val="center"/>
          </w:tcPr>
          <w:p w:rsidR="001C15B8" w:rsidRPr="009545FE" w:rsidRDefault="001C15B8" w:rsidP="001C15B8">
            <w:pPr>
              <w:spacing w:after="0" w:line="240" w:lineRule="auto"/>
              <w:ind w:firstLine="0"/>
              <w:jc w:val="right"/>
              <w:rPr>
                <w:rFonts w:asciiTheme="majorHAnsi" w:eastAsia="Calibri" w:hAnsiTheme="majorHAnsi" w:cs="Times New Roman"/>
                <w:sz w:val="18"/>
                <w:szCs w:val="18"/>
                <w:u w:val="single"/>
                <w:lang w:val="ro-RO" w:eastAsia="en-US"/>
              </w:rPr>
            </w:pPr>
            <w:r w:rsidRPr="009545FE">
              <w:rPr>
                <w:rFonts w:asciiTheme="majorHAnsi" w:eastAsia="Calibri" w:hAnsiTheme="majorHAnsi" w:cs="Times New Roman"/>
                <w:sz w:val="18"/>
                <w:szCs w:val="18"/>
                <w:u w:val="single"/>
                <w:lang w:eastAsia="en-US"/>
              </w:rPr>
              <w:t>(700.797.782)</w:t>
            </w:r>
          </w:p>
        </w:tc>
      </w:tr>
      <w:tr w:rsidR="001C15B8" w:rsidRPr="005D1819" w:rsidTr="0037604E">
        <w:trPr>
          <w:tblCellSpacing w:w="20" w:type="dxa"/>
          <w:jc w:val="center"/>
        </w:trPr>
        <w:tc>
          <w:tcPr>
            <w:tcW w:w="4058" w:type="dxa"/>
          </w:tcPr>
          <w:p w:rsidR="001C15B8" w:rsidRPr="005D1819" w:rsidRDefault="001C15B8" w:rsidP="0037604E">
            <w:pPr>
              <w:spacing w:after="0" w:line="240" w:lineRule="auto"/>
              <w:ind w:firstLine="0"/>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 xml:space="preserve">Net cash position </w:t>
            </w:r>
          </w:p>
        </w:tc>
        <w:tc>
          <w:tcPr>
            <w:tcW w:w="2658" w:type="dxa"/>
            <w:vAlign w:val="center"/>
          </w:tcPr>
          <w:p w:rsidR="001C15B8" w:rsidRPr="009545FE" w:rsidRDefault="001C15B8" w:rsidP="001C15B8">
            <w:pPr>
              <w:spacing w:after="0" w:line="240" w:lineRule="auto"/>
              <w:ind w:firstLine="0"/>
              <w:jc w:val="right"/>
              <w:rPr>
                <w:rFonts w:asciiTheme="majorHAnsi" w:eastAsia="Times New Roman" w:hAnsiTheme="majorHAnsi" w:cs="Times New Roman"/>
                <w:sz w:val="18"/>
                <w:szCs w:val="18"/>
                <w:u w:val="double"/>
                <w:lang w:val="ro-RO" w:eastAsia="ro-RO"/>
              </w:rPr>
            </w:pPr>
            <w:r w:rsidRPr="009545FE">
              <w:rPr>
                <w:rFonts w:asciiTheme="majorHAnsi" w:eastAsia="Calibri" w:hAnsiTheme="majorHAnsi" w:cs="Times New Roman"/>
                <w:sz w:val="18"/>
                <w:szCs w:val="18"/>
                <w:u w:val="double"/>
                <w:lang w:val="ro-RO" w:eastAsia="en-US"/>
              </w:rPr>
              <w:t>(949.293.236)</w:t>
            </w:r>
          </w:p>
        </w:tc>
        <w:tc>
          <w:tcPr>
            <w:tcW w:w="2107" w:type="dxa"/>
            <w:vAlign w:val="center"/>
          </w:tcPr>
          <w:p w:rsidR="001C15B8" w:rsidRPr="009545FE" w:rsidRDefault="001C15B8" w:rsidP="001C15B8">
            <w:pPr>
              <w:spacing w:after="0" w:line="240" w:lineRule="auto"/>
              <w:ind w:firstLine="0"/>
              <w:jc w:val="right"/>
              <w:rPr>
                <w:rFonts w:asciiTheme="majorHAnsi" w:eastAsia="Calibri" w:hAnsiTheme="majorHAnsi" w:cs="Times New Roman"/>
                <w:sz w:val="18"/>
                <w:szCs w:val="18"/>
                <w:u w:val="double"/>
                <w:lang w:val="ro-RO" w:eastAsia="en-US"/>
              </w:rPr>
            </w:pPr>
            <w:r w:rsidRPr="009545FE">
              <w:rPr>
                <w:rFonts w:asciiTheme="majorHAnsi" w:eastAsia="Calibri" w:hAnsiTheme="majorHAnsi" w:cs="Times New Roman"/>
                <w:sz w:val="18"/>
                <w:szCs w:val="18"/>
                <w:u w:val="single"/>
                <w:lang w:eastAsia="en-US"/>
              </w:rPr>
              <w:t>(700.797.782)</w:t>
            </w:r>
          </w:p>
        </w:tc>
      </w:tr>
    </w:tbl>
    <w:p w:rsidR="0037604E" w:rsidRPr="005D1819" w:rsidRDefault="0037604E" w:rsidP="0037604E">
      <w:pPr>
        <w:tabs>
          <w:tab w:val="right" w:pos="6521"/>
          <w:tab w:val="right" w:pos="8786"/>
        </w:tabs>
        <w:spacing w:after="0" w:line="240" w:lineRule="auto"/>
        <w:ind w:left="709" w:firstLine="0"/>
        <w:jc w:val="both"/>
        <w:rPr>
          <w:rFonts w:ascii="Cambria" w:eastAsia="Times New Roman" w:hAnsi="Cambria" w:cs="Times New Roman"/>
          <w:sz w:val="24"/>
          <w:szCs w:val="24"/>
          <w:lang w:val="en-GB" w:eastAsia="ro-RO"/>
        </w:rPr>
      </w:pPr>
    </w:p>
    <w:p w:rsidR="0037604E" w:rsidRPr="005D1819" w:rsidRDefault="0037604E" w:rsidP="0037604E">
      <w:pPr>
        <w:spacing w:after="0" w:line="240" w:lineRule="auto"/>
        <w:ind w:firstLine="0"/>
        <w:rPr>
          <w:rFonts w:ascii="Cambria" w:eastAsia="Times New Roman" w:hAnsi="Cambria" w:cs="Times New Roman"/>
          <w:b/>
          <w:sz w:val="24"/>
          <w:szCs w:val="24"/>
          <w:lang w:val="en-GB" w:eastAsia="ro-RO"/>
        </w:rPr>
      </w:pPr>
      <w:r w:rsidRPr="005D1819">
        <w:rPr>
          <w:rFonts w:ascii="Cambria" w:eastAsia="Cambria" w:hAnsi="Cambria" w:cs="Cambria"/>
          <w:b/>
          <w:bCs/>
          <w:sz w:val="24"/>
          <w:szCs w:val="24"/>
          <w:lang w:val="en-GB"/>
        </w:rPr>
        <w:t xml:space="preserve">Fair value estimate </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Cambria" w:hAnsi="Cambria" w:cs="Cambria"/>
          <w:sz w:val="24"/>
          <w:szCs w:val="24"/>
          <w:lang w:val="en-GB"/>
        </w:rPr>
        <w:t xml:space="preserve">The fair value of financial instruments traded on an active market is based on market prices quoted at the end of the reporting period. </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highlight w:val="yellow"/>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Cambria" w:hAnsi="Cambria" w:cs="Cambria"/>
          <w:sz w:val="24"/>
          <w:szCs w:val="24"/>
          <w:lang w:val="en-GB"/>
        </w:rPr>
        <w:t>The fair value of financial instruments that are not traded on an active market is set using valuation techniques.</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r w:rsidRPr="005D1819">
        <w:rPr>
          <w:rFonts w:ascii="Cambria" w:eastAsia="Cambria" w:hAnsi="Cambria" w:cs="Cambria"/>
          <w:sz w:val="24"/>
          <w:szCs w:val="24"/>
          <w:lang w:val="en-GB"/>
        </w:rPr>
        <w:t xml:space="preserve">It is considered that the book value less the impairment provision of trade receivables and payables to approximate their fair value. </w:t>
      </w:r>
    </w:p>
    <w:p w:rsidR="0037604E" w:rsidRPr="005D1819" w:rsidRDefault="0037604E" w:rsidP="0037604E">
      <w:pPr>
        <w:widowControl w:val="0"/>
        <w:spacing w:after="0" w:line="240" w:lineRule="auto"/>
        <w:ind w:firstLine="0"/>
        <w:jc w:val="both"/>
        <w:rPr>
          <w:rFonts w:ascii="Cambria" w:eastAsia="Times New Roman" w:hAnsi="Cambria" w:cs="Times New Roman"/>
          <w:spacing w:val="-6"/>
          <w:sz w:val="24"/>
          <w:szCs w:val="24"/>
          <w:lang w:val="en-GB" w:eastAsia="ro-RO"/>
        </w:rPr>
      </w:pPr>
    </w:p>
    <w:p w:rsidR="0037604E" w:rsidRPr="005D1819" w:rsidRDefault="0037604E" w:rsidP="0037604E">
      <w:pPr>
        <w:widowControl w:val="0"/>
        <w:spacing w:after="0" w:line="240" w:lineRule="auto"/>
        <w:ind w:firstLine="0"/>
        <w:jc w:val="both"/>
        <w:rPr>
          <w:rFonts w:ascii="Cambria" w:eastAsia="Times New Roman" w:hAnsi="Cambria" w:cs="Times New Roman"/>
          <w:sz w:val="24"/>
          <w:szCs w:val="24"/>
          <w:lang w:val="en-GB" w:eastAsia="ro-RO"/>
        </w:rPr>
      </w:pPr>
      <w:r w:rsidRPr="005D1819">
        <w:rPr>
          <w:rFonts w:ascii="Cambria" w:eastAsia="Cambria" w:hAnsi="Cambria" w:cs="Cambria"/>
          <w:sz w:val="24"/>
          <w:szCs w:val="24"/>
          <w:lang w:val="en-GB"/>
        </w:rPr>
        <w:t>The fair value of financial liabilities is estimated by discounting the future contractual cash flows using the current market interest rate available to the Company for similar financial instruments.</w:t>
      </w:r>
    </w:p>
    <w:p w:rsidR="0037604E" w:rsidRPr="005D1819" w:rsidRDefault="0037604E" w:rsidP="0037604E">
      <w:pPr>
        <w:tabs>
          <w:tab w:val="left" w:pos="-964"/>
          <w:tab w:val="left" w:pos="-154"/>
          <w:tab w:val="left" w:pos="709"/>
        </w:tabs>
        <w:spacing w:after="120" w:line="25" w:lineRule="atLeast"/>
        <w:ind w:firstLine="0"/>
        <w:jc w:val="both"/>
        <w:rPr>
          <w:rFonts w:ascii="Cambria" w:eastAsia="Times New Roman" w:hAnsi="Cambria" w:cs="Times New Roman"/>
          <w:sz w:val="24"/>
          <w:szCs w:val="24"/>
          <w:lang w:val="en-GB" w:eastAsia="ro-RO"/>
        </w:rPr>
      </w:pPr>
    </w:p>
    <w:p w:rsidR="0037604E" w:rsidRPr="0037604E" w:rsidRDefault="0037604E" w:rsidP="0037604E">
      <w:pPr>
        <w:spacing w:before="600" w:after="0" w:line="360" w:lineRule="auto"/>
        <w:ind w:firstLine="0"/>
        <w:outlineLvl w:val="0"/>
        <w:rPr>
          <w:rFonts w:asciiTheme="majorHAnsi" w:eastAsia="Times New Roman" w:hAnsiTheme="majorHAnsi" w:cstheme="majorBidi"/>
          <w:b/>
          <w:bCs/>
          <w:iCs/>
          <w:sz w:val="32"/>
          <w:szCs w:val="32"/>
          <w:lang w:val="en-GB"/>
        </w:rPr>
      </w:pPr>
      <w:bookmarkStart w:id="148" w:name="_Toc414263647"/>
      <w:bookmarkStart w:id="149" w:name="_Toc446310883"/>
      <w:r w:rsidRPr="0037604E">
        <w:rPr>
          <w:rFonts w:asciiTheme="majorHAnsi" w:eastAsia="Times New Roman" w:hAnsiTheme="majorHAnsi" w:cstheme="majorBidi"/>
          <w:b/>
          <w:bCs/>
          <w:iCs/>
          <w:sz w:val="32"/>
          <w:szCs w:val="32"/>
          <w:lang w:val="en-GB"/>
        </w:rPr>
        <w:t>4. COMPANY MANAGEMENT</w:t>
      </w:r>
      <w:bookmarkEnd w:id="148"/>
      <w:bookmarkEnd w:id="149"/>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before="320" w:after="0" w:line="360" w:lineRule="auto"/>
        <w:ind w:firstLine="0"/>
        <w:outlineLvl w:val="1"/>
        <w:rPr>
          <w:rFonts w:asciiTheme="majorHAnsi" w:eastAsia="Times New Roman" w:hAnsiTheme="majorHAnsi" w:cstheme="majorBidi"/>
          <w:b/>
          <w:bCs/>
          <w:iCs/>
          <w:sz w:val="28"/>
          <w:szCs w:val="28"/>
          <w:lang w:val="en-GB" w:eastAsia="ro-RO"/>
        </w:rPr>
      </w:pPr>
      <w:bookmarkStart w:id="150" w:name="_Toc414263648"/>
      <w:bookmarkStart w:id="151" w:name="_Toc446310884"/>
      <w:r w:rsidRPr="0037604E">
        <w:rPr>
          <w:rFonts w:asciiTheme="majorHAnsi" w:eastAsia="Times New Roman" w:hAnsiTheme="majorHAnsi" w:cstheme="majorBidi"/>
          <w:b/>
          <w:bCs/>
          <w:iCs/>
          <w:sz w:val="28"/>
          <w:szCs w:val="28"/>
          <w:lang w:val="en-GB" w:eastAsia="ro-RO"/>
        </w:rPr>
        <w:t>4.1 The Board of Administration</w:t>
      </w:r>
      <w:bookmarkEnd w:id="150"/>
      <w:bookmarkEnd w:id="151"/>
      <w:r w:rsidRPr="0037604E">
        <w:rPr>
          <w:rFonts w:asciiTheme="majorHAnsi" w:eastAsia="Times New Roman" w:hAnsiTheme="majorHAnsi" w:cstheme="majorBidi"/>
          <w:b/>
          <w:bCs/>
          <w:iCs/>
          <w:sz w:val="28"/>
          <w:szCs w:val="28"/>
          <w:lang w:val="en-GB" w:eastAsia="ro-RO"/>
        </w:rPr>
        <w:t xml:space="preserve"> </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Cambria" w:hAnsi="Cambria" w:cs="Cambria"/>
          <w:b/>
          <w:bCs/>
          <w:sz w:val="24"/>
          <w:szCs w:val="24"/>
          <w:lang w:val="en-GB"/>
        </w:rPr>
        <w:t>The company's administrators at the end of 2016:</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FA6EB9">
      <w:pPr>
        <w:numPr>
          <w:ilvl w:val="0"/>
          <w:numId w:val="62"/>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STERIAN ION</w:t>
      </w:r>
      <w:r w:rsidRPr="0037604E">
        <w:rPr>
          <w:rFonts w:ascii="Cambria" w:eastAsia="Cambria" w:hAnsi="Cambria" w:cs="Cambria"/>
          <w:b/>
          <w:bCs/>
          <w:i/>
          <w:iCs/>
          <w:sz w:val="24"/>
          <w:szCs w:val="24"/>
          <w:lang w:val="en-GB"/>
        </w:rPr>
        <w:t xml:space="preserve"> –</w:t>
      </w:r>
      <w:r w:rsidRPr="0037604E">
        <w:rPr>
          <w:rFonts w:ascii="Cambria" w:eastAsia="Cambria" w:hAnsi="Cambria" w:cs="Cambria"/>
          <w:i/>
          <w:iCs/>
          <w:sz w:val="24"/>
          <w:szCs w:val="24"/>
          <w:lang w:val="en-GB"/>
        </w:rPr>
        <w:t>non-executive administrator- Chairman of the Board of Administration;</w:t>
      </w:r>
    </w:p>
    <w:p w:rsidR="0037604E" w:rsidRPr="0037604E" w:rsidRDefault="0037604E" w:rsidP="00FA6EB9">
      <w:pPr>
        <w:numPr>
          <w:ilvl w:val="0"/>
          <w:numId w:val="62"/>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Times New Roman" w:hAnsi="Cambria" w:cs="Times New Roman"/>
          <w:b/>
          <w:sz w:val="24"/>
          <w:szCs w:val="24"/>
          <w:lang w:val="en-GB" w:eastAsia="ro-RO"/>
        </w:rPr>
        <w:t xml:space="preserve">VĂDUVA </w:t>
      </w:r>
      <w:r w:rsidRPr="0037604E">
        <w:rPr>
          <w:rFonts w:ascii="Cambria" w:eastAsia="Cambria" w:hAnsi="Cambria" w:cs="Cambria"/>
          <w:b/>
          <w:bCs/>
          <w:sz w:val="24"/>
          <w:szCs w:val="24"/>
          <w:lang w:val="en-GB"/>
        </w:rPr>
        <w:t>PETRU ION</w:t>
      </w:r>
      <w:r w:rsidRPr="0037604E">
        <w:rPr>
          <w:rFonts w:ascii="Cambria" w:eastAsia="Cambria" w:hAnsi="Cambria" w:cs="Cambria"/>
          <w:b/>
          <w:bCs/>
          <w:i/>
          <w:iCs/>
          <w:sz w:val="24"/>
          <w:szCs w:val="24"/>
          <w:lang w:val="en-GB"/>
        </w:rPr>
        <w:t xml:space="preserve"> – </w:t>
      </w:r>
      <w:r w:rsidRPr="0037604E">
        <w:rPr>
          <w:rFonts w:ascii="Cambria" w:eastAsia="Cambria" w:hAnsi="Cambria" w:cs="Cambria"/>
          <w:i/>
          <w:iCs/>
          <w:sz w:val="24"/>
          <w:szCs w:val="24"/>
          <w:lang w:val="en-GB"/>
        </w:rPr>
        <w:t>executive administrator - General Manager;</w:t>
      </w:r>
    </w:p>
    <w:p w:rsidR="0037604E" w:rsidRPr="0037604E" w:rsidRDefault="0037604E" w:rsidP="00FA6EB9">
      <w:pPr>
        <w:numPr>
          <w:ilvl w:val="0"/>
          <w:numId w:val="62"/>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ILIESCU BOGDAN-GEORGE</w:t>
      </w:r>
      <w:r w:rsidRPr="0037604E">
        <w:rPr>
          <w:rFonts w:ascii="Cambria" w:eastAsia="Cambria" w:hAnsi="Cambria" w:cs="Cambria"/>
          <w:b/>
          <w:bCs/>
          <w:i/>
          <w:iCs/>
          <w:sz w:val="24"/>
          <w:szCs w:val="24"/>
          <w:lang w:val="en-GB"/>
        </w:rPr>
        <w:t xml:space="preserve"> – </w:t>
      </w:r>
      <w:r w:rsidRPr="0037604E">
        <w:rPr>
          <w:rFonts w:ascii="Cambria" w:eastAsia="Cambria" w:hAnsi="Cambria" w:cs="Cambria"/>
          <w:i/>
          <w:iCs/>
          <w:sz w:val="24"/>
          <w:szCs w:val="24"/>
          <w:lang w:val="en-GB"/>
        </w:rPr>
        <w:t xml:space="preserve">non-executive administrator </w:t>
      </w:r>
    </w:p>
    <w:p w:rsidR="0037604E" w:rsidRPr="0037604E" w:rsidRDefault="0037604E" w:rsidP="00FA6EB9">
      <w:pPr>
        <w:numPr>
          <w:ilvl w:val="0"/>
          <w:numId w:val="62"/>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CERNOV RADU ŞTEFAN</w:t>
      </w:r>
      <w:r w:rsidRPr="0037604E">
        <w:rPr>
          <w:rFonts w:ascii="Cambria" w:eastAsia="Cambria" w:hAnsi="Cambria" w:cs="Cambria"/>
          <w:b/>
          <w:bCs/>
          <w:i/>
          <w:iCs/>
          <w:sz w:val="24"/>
          <w:szCs w:val="24"/>
          <w:lang w:val="en-GB"/>
        </w:rPr>
        <w:t xml:space="preserve"> - </w:t>
      </w:r>
      <w:r w:rsidRPr="0037604E">
        <w:rPr>
          <w:rFonts w:ascii="Cambria" w:eastAsia="Cambria" w:hAnsi="Cambria" w:cs="Cambria"/>
          <w:i/>
          <w:iCs/>
          <w:sz w:val="24"/>
          <w:szCs w:val="24"/>
          <w:lang w:val="en-GB"/>
        </w:rPr>
        <w:t>non-executive administrator;</w:t>
      </w:r>
    </w:p>
    <w:p w:rsidR="0037604E" w:rsidRPr="0037604E" w:rsidRDefault="0037604E" w:rsidP="00FA6EB9">
      <w:pPr>
        <w:numPr>
          <w:ilvl w:val="0"/>
          <w:numId w:val="62"/>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 xml:space="preserve">RIZOIU ANDREI  </w:t>
      </w:r>
      <w:r w:rsidRPr="0037604E">
        <w:rPr>
          <w:rFonts w:ascii="Cambria" w:eastAsia="Cambria" w:hAnsi="Cambria" w:cs="Cambria"/>
          <w:b/>
          <w:bCs/>
          <w:i/>
          <w:iCs/>
          <w:sz w:val="24"/>
          <w:szCs w:val="24"/>
          <w:lang w:val="en-GB"/>
        </w:rPr>
        <w:t xml:space="preserve">- </w:t>
      </w:r>
      <w:r w:rsidRPr="0037604E">
        <w:rPr>
          <w:rFonts w:ascii="Cambria" w:eastAsia="Cambria" w:hAnsi="Cambria" w:cs="Cambria"/>
          <w:i/>
          <w:iCs/>
          <w:sz w:val="24"/>
          <w:szCs w:val="24"/>
          <w:lang w:val="en-GB"/>
        </w:rPr>
        <w:t>non-executive</w:t>
      </w:r>
      <w:r w:rsidRPr="0037604E">
        <w:rPr>
          <w:lang w:val="en-GB"/>
        </w:rPr>
        <w:t xml:space="preserve"> </w:t>
      </w:r>
      <w:r w:rsidRPr="0037604E">
        <w:rPr>
          <w:rFonts w:ascii="Cambria" w:eastAsia="Cambria" w:hAnsi="Cambria" w:cs="Cambria"/>
          <w:i/>
          <w:iCs/>
          <w:sz w:val="24"/>
          <w:szCs w:val="24"/>
          <w:lang w:val="en-GB"/>
        </w:rPr>
        <w:t>administrator</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In 2016 there were no changes in the structure of the Board of Administration</w:t>
      </w:r>
      <w:r w:rsidRPr="0037604E">
        <w:rPr>
          <w:rFonts w:ascii="Cambria" w:eastAsia="Times New Roman" w:hAnsi="Cambria" w:cs="Times New Roman"/>
          <w:b/>
          <w:sz w:val="24"/>
          <w:szCs w:val="24"/>
          <w:lang w:val="en-GB" w:eastAsia="ro-RO"/>
        </w:rPr>
        <w:t>:</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The administrators’ resumes</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color w:val="0000FF"/>
          <w:sz w:val="24"/>
          <w:szCs w:val="24"/>
          <w:u w:val="single"/>
          <w:lang w:val="en-GB" w:eastAsia="ro-RO"/>
        </w:rPr>
      </w:pPr>
      <w:r w:rsidRPr="0037604E">
        <w:rPr>
          <w:rFonts w:ascii="Cambria" w:eastAsia="Times New Roman" w:hAnsi="Cambria" w:cs="Times New Roman"/>
          <w:sz w:val="24"/>
          <w:szCs w:val="24"/>
          <w:lang w:val="en-GB" w:eastAsia="ro-RO"/>
        </w:rPr>
        <w:t xml:space="preserve">The administrators’ resumes may be found on Transgaz webpage at </w:t>
      </w:r>
      <w:hyperlink r:id="rId97" w:history="1">
        <w:r w:rsidRPr="0037604E">
          <w:rPr>
            <w:rFonts w:ascii="Cambria" w:eastAsia="Times New Roman" w:hAnsi="Cambria" w:cs="Times New Roman"/>
            <w:sz w:val="24"/>
            <w:szCs w:val="24"/>
            <w:u w:val="single"/>
            <w:lang w:val="en-GB" w:eastAsia="ro-RO"/>
          </w:rPr>
          <w:t>www.transgaz.ro</w:t>
        </w:r>
      </w:hyperlink>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B115A4" w:rsidRDefault="0037604E" w:rsidP="0037604E">
      <w:pPr>
        <w:spacing w:after="0" w:line="240" w:lineRule="auto"/>
        <w:ind w:firstLine="0"/>
        <w:jc w:val="both"/>
        <w:rPr>
          <w:rFonts w:ascii="Cambria" w:eastAsia="Times New Roman" w:hAnsi="Cambria" w:cs="Times New Roman"/>
          <w:b/>
          <w:sz w:val="24"/>
          <w:szCs w:val="24"/>
          <w:lang w:val="en-GB" w:eastAsia="ro-RO"/>
        </w:rPr>
      </w:pPr>
      <w:r w:rsidRPr="00B115A4">
        <w:rPr>
          <w:rFonts w:ascii="Cambria" w:eastAsia="Cambria" w:hAnsi="Cambria" w:cs="Cambria"/>
          <w:b/>
          <w:bCs/>
          <w:sz w:val="24"/>
          <w:szCs w:val="24"/>
          <w:lang w:val="en-GB"/>
        </w:rPr>
        <w:t>Agreements/understandings or special family ties</w:t>
      </w:r>
    </w:p>
    <w:p w:rsidR="0037604E" w:rsidRPr="00B115A4"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B115A4" w:rsidRDefault="0037604E" w:rsidP="0037604E">
      <w:pPr>
        <w:spacing w:after="0" w:line="240" w:lineRule="auto"/>
        <w:ind w:firstLine="0"/>
        <w:jc w:val="both"/>
        <w:rPr>
          <w:rFonts w:ascii="Cambria" w:eastAsia="Times New Roman" w:hAnsi="Cambria" w:cs="Times New Roman"/>
          <w:sz w:val="24"/>
          <w:szCs w:val="24"/>
          <w:lang w:val="en-GB" w:eastAsia="ro-RO"/>
        </w:rPr>
      </w:pPr>
      <w:r w:rsidRPr="00B115A4">
        <w:rPr>
          <w:rFonts w:ascii="Cambria" w:eastAsia="Cambria" w:hAnsi="Cambria" w:cs="Cambria"/>
          <w:sz w:val="24"/>
          <w:szCs w:val="24"/>
          <w:lang w:val="en-GB"/>
        </w:rPr>
        <w:t>According to information provided by administrators, there is no agreement or family tie between the respective person and another person due to which that person was appointed administrator.</w:t>
      </w:r>
    </w:p>
    <w:p w:rsidR="0037604E" w:rsidRPr="00B115A4"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B115A4" w:rsidRDefault="0037604E" w:rsidP="0037604E">
      <w:pPr>
        <w:spacing w:after="0" w:line="240" w:lineRule="auto"/>
        <w:ind w:firstLine="0"/>
        <w:jc w:val="both"/>
        <w:rPr>
          <w:rFonts w:ascii="Cambria" w:eastAsia="Times New Roman" w:hAnsi="Cambria" w:cs="Times New Roman"/>
          <w:b/>
          <w:sz w:val="24"/>
          <w:szCs w:val="24"/>
          <w:lang w:val="en-GB" w:eastAsia="ro-RO"/>
        </w:rPr>
      </w:pPr>
      <w:r w:rsidRPr="00B115A4">
        <w:rPr>
          <w:rFonts w:ascii="Cambria" w:eastAsia="Cambria" w:hAnsi="Cambria" w:cs="Cambria"/>
          <w:b/>
          <w:bCs/>
          <w:sz w:val="24"/>
          <w:szCs w:val="24"/>
          <w:lang w:val="en-GB"/>
        </w:rPr>
        <w:t>Administrator’s participation to Transgaz capital</w:t>
      </w:r>
    </w:p>
    <w:p w:rsidR="0037604E" w:rsidRPr="00B115A4"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B115A4" w:rsidRDefault="00B115A4" w:rsidP="0037604E">
      <w:pPr>
        <w:spacing w:after="0" w:line="240" w:lineRule="auto"/>
        <w:ind w:firstLine="0"/>
        <w:jc w:val="both"/>
        <w:rPr>
          <w:rFonts w:ascii="Cambria" w:eastAsia="Times New Roman" w:hAnsi="Cambria" w:cs="Times New Roman"/>
          <w:sz w:val="24"/>
          <w:szCs w:val="24"/>
          <w:lang w:val="en-GB" w:eastAsia="ro-RO"/>
        </w:rPr>
      </w:pPr>
      <w:r>
        <w:rPr>
          <w:rFonts w:ascii="Cambria" w:eastAsia="Cambria" w:hAnsi="Cambria" w:cs="Cambria"/>
          <w:sz w:val="24"/>
          <w:szCs w:val="24"/>
          <w:lang w:val="en-GB"/>
        </w:rPr>
        <w:t>The Company's administrators</w:t>
      </w:r>
      <w:r w:rsidR="0037604E" w:rsidRPr="00B115A4">
        <w:rPr>
          <w:rFonts w:ascii="Cambria" w:eastAsia="Cambria" w:hAnsi="Cambria" w:cs="Cambria"/>
          <w:sz w:val="24"/>
          <w:szCs w:val="24"/>
          <w:lang w:val="en-GB"/>
        </w:rPr>
        <w:t xml:space="preserve"> do not own shares in the share capital of the company</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before="320" w:after="0" w:line="360" w:lineRule="auto"/>
        <w:ind w:firstLine="0"/>
        <w:outlineLvl w:val="1"/>
        <w:rPr>
          <w:rFonts w:asciiTheme="majorHAnsi" w:eastAsia="Times New Roman" w:hAnsiTheme="majorHAnsi" w:cstheme="majorBidi"/>
          <w:b/>
          <w:bCs/>
          <w:iCs/>
          <w:sz w:val="28"/>
          <w:szCs w:val="28"/>
          <w:lang w:val="en-GB" w:eastAsia="ro-RO"/>
        </w:rPr>
      </w:pPr>
      <w:bookmarkStart w:id="152" w:name="_Toc414263649"/>
      <w:bookmarkStart w:id="153" w:name="_Toc446310885"/>
      <w:r w:rsidRPr="0037604E">
        <w:rPr>
          <w:rFonts w:asciiTheme="majorHAnsi" w:eastAsia="Times New Roman" w:hAnsiTheme="majorHAnsi" w:cstheme="majorBidi"/>
          <w:b/>
          <w:bCs/>
          <w:iCs/>
          <w:sz w:val="28"/>
          <w:szCs w:val="28"/>
          <w:lang w:val="en-GB" w:eastAsia="ro-RO"/>
        </w:rPr>
        <w:t>4.2 Executive management</w:t>
      </w:r>
      <w:bookmarkEnd w:id="152"/>
      <w:bookmarkEnd w:id="153"/>
      <w:r w:rsidRPr="0037604E">
        <w:rPr>
          <w:rFonts w:asciiTheme="majorHAnsi" w:eastAsia="Times New Roman" w:hAnsiTheme="majorHAnsi" w:cstheme="majorBidi"/>
          <w:b/>
          <w:bCs/>
          <w:iCs/>
          <w:sz w:val="28"/>
          <w:szCs w:val="28"/>
          <w:lang w:val="en-GB" w:eastAsia="ro-RO"/>
        </w:rPr>
        <w:t xml:space="preserve"> </w:t>
      </w:r>
    </w:p>
    <w:p w:rsidR="0037604E" w:rsidRPr="0037604E" w:rsidRDefault="0037604E" w:rsidP="0037604E">
      <w:pPr>
        <w:spacing w:after="0" w:line="240" w:lineRule="auto"/>
        <w:ind w:firstLine="0"/>
        <w:jc w:val="both"/>
        <w:rPr>
          <w:rFonts w:ascii="Cambria" w:eastAsia="Cambria" w:hAnsi="Cambria" w:cs="Cambria"/>
          <w:sz w:val="24"/>
          <w:szCs w:val="24"/>
          <w:lang w:val="en-GB"/>
        </w:rPr>
      </w:pPr>
      <w:r w:rsidRPr="0037604E">
        <w:rPr>
          <w:rFonts w:ascii="Cambria" w:eastAsia="Cambria" w:hAnsi="Cambria" w:cs="Cambria"/>
          <w:sz w:val="24"/>
          <w:szCs w:val="24"/>
          <w:lang w:val="en-GB"/>
        </w:rPr>
        <w:t xml:space="preserve">Members of the executive management have individual labour agreements concluded for indefinite periods. The management and execution staff in Transgaz is appointed, hired or laid off by the General Manager. </w:t>
      </w:r>
    </w:p>
    <w:p w:rsidR="0037604E" w:rsidRPr="0037604E" w:rsidRDefault="0037604E" w:rsidP="0037604E">
      <w:pPr>
        <w:spacing w:after="0" w:line="240" w:lineRule="auto"/>
        <w:ind w:firstLine="0"/>
        <w:jc w:val="both"/>
        <w:rPr>
          <w:rFonts w:ascii="Cambria" w:eastAsia="Cambria" w:hAnsi="Cambria" w:cs="Cambria"/>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Cambria" w:hAnsi="Cambria" w:cs="Cambria"/>
          <w:sz w:val="24"/>
          <w:szCs w:val="24"/>
          <w:lang w:val="en-GB"/>
        </w:rPr>
        <w:t xml:space="preserve">According to the information available, there is no agreement, covenant or family tie between the mentioned persons and another person due to which they have been appointed as members of the executive management. </w:t>
      </w:r>
      <w:r w:rsidRPr="0037604E">
        <w:rPr>
          <w:rFonts w:ascii="Cambria" w:eastAsia="Cambria" w:hAnsi="Cambria" w:cs="Cambria"/>
          <w:bCs/>
          <w:sz w:val="24"/>
          <w:szCs w:val="24"/>
          <w:lang w:val="en-GB"/>
        </w:rPr>
        <w:t>The table below shows the members of the executive management holding shares in Transgaz:</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tbl>
      <w:tblPr>
        <w:tblpPr w:leftFromText="180" w:rightFromText="180" w:vertAnchor="text" w:tblpXSpec="center" w:tblpY="1"/>
        <w:tblOverlap w:val="never"/>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2718"/>
        <w:gridCol w:w="1755"/>
        <w:gridCol w:w="2717"/>
        <w:gridCol w:w="1831"/>
      </w:tblGrid>
      <w:tr w:rsidR="0037604E" w:rsidRPr="0037604E" w:rsidTr="0037604E">
        <w:trPr>
          <w:trHeight w:val="464"/>
          <w:tblHeader/>
          <w:tblCellSpacing w:w="20" w:type="dxa"/>
        </w:trPr>
        <w:tc>
          <w:tcPr>
            <w:tcW w:w="2658" w:type="dxa"/>
            <w:shd w:val="clear" w:color="auto" w:fill="DBE5F1"/>
            <w:vAlign w:val="center"/>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Name and first name</w:t>
            </w:r>
          </w:p>
        </w:tc>
        <w:tc>
          <w:tcPr>
            <w:tcW w:w="1715" w:type="dxa"/>
            <w:shd w:val="clear" w:color="auto" w:fill="DBE5F1"/>
            <w:vAlign w:val="center"/>
          </w:tcPr>
          <w:p w:rsidR="0037604E" w:rsidRPr="0037604E" w:rsidRDefault="0037604E" w:rsidP="0037604E">
            <w:pPr>
              <w:spacing w:after="0" w:line="240" w:lineRule="auto"/>
              <w:jc w:val="center"/>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Position</w:t>
            </w:r>
          </w:p>
        </w:tc>
        <w:tc>
          <w:tcPr>
            <w:tcW w:w="2677" w:type="dxa"/>
            <w:shd w:val="clear" w:color="auto" w:fill="DBE5F1"/>
            <w:vAlign w:val="center"/>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Number of shares as at 31.12.2016</w:t>
            </w:r>
          </w:p>
        </w:tc>
        <w:tc>
          <w:tcPr>
            <w:tcW w:w="0" w:type="auto"/>
            <w:shd w:val="clear" w:color="auto" w:fill="DBE5F1"/>
            <w:vAlign w:val="center"/>
          </w:tcPr>
          <w:p w:rsidR="0037604E" w:rsidRPr="0037604E" w:rsidRDefault="0037604E" w:rsidP="0037604E">
            <w:pPr>
              <w:spacing w:after="0" w:line="240" w:lineRule="auto"/>
              <w:ind w:firstLine="0"/>
              <w:rPr>
                <w:rFonts w:ascii="Cambria" w:eastAsia="Times New Roman" w:hAnsi="Cambria" w:cs="Times New Roman"/>
                <w:b/>
                <w:sz w:val="20"/>
                <w:szCs w:val="20"/>
                <w:lang w:val="en-GB"/>
              </w:rPr>
            </w:pPr>
            <w:r w:rsidRPr="0037604E">
              <w:rPr>
                <w:rFonts w:ascii="Cambria" w:eastAsia="Times New Roman" w:hAnsi="Cambria" w:cs="Times New Roman"/>
                <w:b/>
                <w:sz w:val="20"/>
                <w:szCs w:val="20"/>
                <w:lang w:val="en-GB"/>
              </w:rPr>
              <w:t>Interest share (%)</w:t>
            </w:r>
          </w:p>
        </w:tc>
      </w:tr>
      <w:tr w:rsidR="0037604E" w:rsidRPr="0037604E" w:rsidTr="0037604E">
        <w:trPr>
          <w:trHeight w:val="182"/>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 xml:space="preserve">Rusu Ioan </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2.508</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0,021301</w:t>
            </w:r>
          </w:p>
        </w:tc>
      </w:tr>
      <w:tr w:rsidR="0037604E" w:rsidRPr="0037604E" w:rsidTr="0037604E">
        <w:trPr>
          <w:trHeight w:val="182"/>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Pătârniche Mihai</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97</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0,000823</w:t>
            </w:r>
          </w:p>
        </w:tc>
      </w:tr>
      <w:tr w:rsidR="0037604E" w:rsidRPr="0037604E" w:rsidTr="0037604E">
        <w:trPr>
          <w:trHeight w:val="182"/>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 xml:space="preserve">Laţa Ilie </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46</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0,000390</w:t>
            </w:r>
          </w:p>
        </w:tc>
      </w:tr>
      <w:tr w:rsidR="0037604E" w:rsidRPr="0037604E" w:rsidTr="0037604E">
        <w:trPr>
          <w:trHeight w:val="182"/>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Tătaru Ion</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25</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0,000212</w:t>
            </w:r>
          </w:p>
        </w:tc>
      </w:tr>
      <w:tr w:rsidR="0037604E" w:rsidRPr="0037604E" w:rsidTr="0037604E">
        <w:trPr>
          <w:trHeight w:val="227"/>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Lupean Marius</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 xml:space="preserve">Director </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20</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0,000169</w:t>
            </w:r>
          </w:p>
        </w:tc>
      </w:tr>
      <w:tr w:rsidR="0037604E" w:rsidRPr="0037604E" w:rsidTr="0037604E">
        <w:trPr>
          <w:trHeight w:val="290"/>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Şai Alexandru</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10</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0,000084</w:t>
            </w:r>
          </w:p>
        </w:tc>
      </w:tr>
      <w:tr w:rsidR="0037604E" w:rsidRPr="0037604E" w:rsidTr="0037604E">
        <w:trPr>
          <w:trHeight w:val="308"/>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 xml:space="preserve">Comaniţă Adela </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7</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0,000059</w:t>
            </w:r>
          </w:p>
        </w:tc>
      </w:tr>
      <w:tr w:rsidR="0037604E" w:rsidRPr="0037604E" w:rsidTr="0037604E">
        <w:trPr>
          <w:trHeight w:val="218"/>
          <w:tblHeader/>
          <w:tblCellSpacing w:w="20" w:type="dxa"/>
        </w:trPr>
        <w:tc>
          <w:tcPr>
            <w:tcW w:w="2658" w:type="dxa"/>
            <w:vAlign w:val="center"/>
          </w:tcPr>
          <w:p w:rsidR="0037604E" w:rsidRPr="0037604E" w:rsidRDefault="0037604E" w:rsidP="0037604E">
            <w:pPr>
              <w:spacing w:after="0" w:line="240" w:lineRule="auto"/>
              <w:ind w:firstLine="0"/>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Nita Viorel</w:t>
            </w:r>
          </w:p>
        </w:tc>
        <w:tc>
          <w:tcPr>
            <w:tcW w:w="1715" w:type="dxa"/>
            <w:vAlign w:val="center"/>
          </w:tcPr>
          <w:p w:rsidR="0037604E" w:rsidRPr="0037604E" w:rsidRDefault="0037604E" w:rsidP="0037604E">
            <w:pPr>
              <w:spacing w:after="0" w:line="240" w:lineRule="auto"/>
              <w:jc w:val="center"/>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Director</w:t>
            </w:r>
          </w:p>
        </w:tc>
        <w:tc>
          <w:tcPr>
            <w:tcW w:w="2677" w:type="dxa"/>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5</w:t>
            </w:r>
          </w:p>
        </w:tc>
        <w:tc>
          <w:tcPr>
            <w:tcW w:w="0" w:type="auto"/>
            <w:vAlign w:val="center"/>
          </w:tcPr>
          <w:p w:rsidR="0037604E" w:rsidRPr="0037604E" w:rsidRDefault="0037604E" w:rsidP="0037604E">
            <w:pPr>
              <w:spacing w:after="0" w:line="240" w:lineRule="auto"/>
              <w:jc w:val="right"/>
              <w:rPr>
                <w:rFonts w:ascii="Cambria" w:eastAsia="Times New Roman" w:hAnsi="Cambria" w:cs="Times New Roman"/>
                <w:sz w:val="20"/>
                <w:szCs w:val="20"/>
                <w:lang w:val="en-GB"/>
              </w:rPr>
            </w:pPr>
            <w:r w:rsidRPr="0037604E">
              <w:rPr>
                <w:rFonts w:ascii="Cambria" w:eastAsia="Times New Roman" w:hAnsi="Cambria" w:cs="Times New Roman"/>
                <w:sz w:val="20"/>
                <w:szCs w:val="20"/>
                <w:lang w:val="en-GB"/>
              </w:rPr>
              <w:t>0,000042</w:t>
            </w:r>
          </w:p>
        </w:tc>
      </w:tr>
    </w:tbl>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r w:rsidRPr="0037604E">
        <w:rPr>
          <w:rFonts w:ascii="Cambria" w:eastAsia="Times New Roman" w:hAnsi="Cambria" w:cs="Times New Roman"/>
          <w:b/>
          <w:i/>
          <w:sz w:val="16"/>
          <w:szCs w:val="16"/>
          <w:lang w:val="en-GB" w:eastAsia="ro-RO"/>
        </w:rPr>
        <w:t>Table 41- M</w:t>
      </w:r>
      <w:r w:rsidRPr="0037604E">
        <w:rPr>
          <w:rFonts w:ascii="Cambria" w:eastAsia="Cambria" w:hAnsi="Cambria" w:cs="Cambria"/>
          <w:b/>
          <w:bCs/>
          <w:i/>
          <w:sz w:val="16"/>
          <w:szCs w:val="16"/>
          <w:lang w:val="en-GB"/>
        </w:rPr>
        <w:t>embers of the executive management holding shares in Transgaz</w:t>
      </w:r>
      <w:r w:rsidRPr="0037604E">
        <w:rPr>
          <w:rFonts w:ascii="Cambria" w:eastAsia="Times New Roman" w:hAnsi="Cambria" w:cs="Times New Roman"/>
          <w:b/>
          <w:i/>
          <w:sz w:val="16"/>
          <w:szCs w:val="16"/>
          <w:lang w:val="en-GB" w:eastAsia="ro-RO"/>
        </w:rPr>
        <w:t xml:space="preserve"> as</w:t>
      </w:r>
      <w:r w:rsidRPr="0037604E">
        <w:rPr>
          <w:rFonts w:ascii="Cambria" w:eastAsia="Times New Roman" w:hAnsi="Cambria" w:cs="Times New Roman"/>
          <w:b/>
          <w:sz w:val="16"/>
          <w:szCs w:val="16"/>
          <w:lang w:val="en-GB" w:eastAsia="ro-RO"/>
        </w:rPr>
        <w:t xml:space="preserve"> </w:t>
      </w:r>
      <w:r w:rsidRPr="0037604E">
        <w:rPr>
          <w:rFonts w:ascii="Cambria" w:eastAsia="Times New Roman" w:hAnsi="Cambria" w:cs="Times New Roman"/>
          <w:b/>
          <w:i/>
          <w:sz w:val="16"/>
          <w:szCs w:val="16"/>
          <w:lang w:val="en-GB" w:eastAsia="ro-RO"/>
        </w:rPr>
        <w:t>at 31.12.2016</w:t>
      </w:r>
    </w:p>
    <w:p w:rsidR="0037604E" w:rsidRPr="0037604E" w:rsidRDefault="0037604E" w:rsidP="0037604E">
      <w:pPr>
        <w:spacing w:after="0" w:line="240" w:lineRule="auto"/>
        <w:ind w:firstLine="0"/>
        <w:jc w:val="center"/>
        <w:rPr>
          <w:rFonts w:ascii="Cambria" w:eastAsia="Times New Roman" w:hAnsi="Cambria" w:cs="Times New Roman"/>
          <w:b/>
          <w:i/>
          <w:sz w:val="16"/>
          <w:szCs w:val="16"/>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Cambria" w:hAnsi="Cambria" w:cs="Cambria"/>
          <w:sz w:val="24"/>
          <w:szCs w:val="24"/>
          <w:lang w:val="en-GB"/>
        </w:rPr>
      </w:pPr>
      <w:r w:rsidRPr="0037604E">
        <w:rPr>
          <w:rFonts w:ascii="Cambria" w:eastAsia="Times New Roman" w:hAnsi="Cambria" w:cs="Times New Roman"/>
          <w:sz w:val="24"/>
          <w:szCs w:val="24"/>
          <w:lang w:val="en-GB" w:eastAsia="ro-RO"/>
        </w:rPr>
        <w:t xml:space="preserve">The following persons represent the Company’s executive </w:t>
      </w:r>
      <w:r w:rsidRPr="0037604E">
        <w:rPr>
          <w:rFonts w:ascii="Cambria" w:eastAsia="Cambria" w:hAnsi="Cambria" w:cs="Cambria"/>
          <w:sz w:val="24"/>
          <w:szCs w:val="24"/>
          <w:lang w:val="en-GB"/>
        </w:rPr>
        <w:t>management:</w:t>
      </w:r>
    </w:p>
    <w:tbl>
      <w:tblPr>
        <w:tblpPr w:leftFromText="180" w:rightFromText="180" w:vertAnchor="text" w:tblpXSpec="center" w:tblpY="1"/>
        <w:tblOverlap w:val="never"/>
        <w:tblW w:w="5329" w:type="pct"/>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1E0" w:firstRow="1" w:lastRow="1" w:firstColumn="1" w:lastColumn="1" w:noHBand="0" w:noVBand="0"/>
      </w:tblPr>
      <w:tblGrid>
        <w:gridCol w:w="981"/>
        <w:gridCol w:w="2418"/>
        <w:gridCol w:w="2268"/>
        <w:gridCol w:w="3948"/>
      </w:tblGrid>
      <w:tr w:rsidR="0037604E" w:rsidRPr="0037604E" w:rsidTr="0037604E">
        <w:trPr>
          <w:trHeight w:val="255"/>
          <w:tblHeader/>
          <w:tblCellSpacing w:w="20" w:type="dxa"/>
        </w:trPr>
        <w:tc>
          <w:tcPr>
            <w:tcW w:w="479"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color w:val="000000"/>
                <w:sz w:val="20"/>
                <w:szCs w:val="20"/>
                <w:lang w:val="ro-RO" w:eastAsia="ro-RO"/>
              </w:rPr>
            </w:pPr>
            <w:r w:rsidRPr="0037604E">
              <w:rPr>
                <w:rFonts w:ascii="Cambria" w:eastAsia="Times New Roman" w:hAnsi="Cambria" w:cs="Times New Roman"/>
                <w:b/>
                <w:color w:val="000000"/>
                <w:sz w:val="20"/>
                <w:szCs w:val="20"/>
                <w:lang w:val="ro-RO" w:eastAsia="ro-RO"/>
              </w:rPr>
              <w:t>Nr.</w:t>
            </w:r>
          </w:p>
          <w:p w:rsidR="0037604E" w:rsidRPr="0037604E" w:rsidRDefault="0037604E" w:rsidP="0037604E">
            <w:pPr>
              <w:spacing w:after="0" w:line="240" w:lineRule="auto"/>
              <w:ind w:firstLine="0"/>
              <w:jc w:val="center"/>
              <w:rPr>
                <w:rFonts w:ascii="Cambria" w:eastAsia="Times New Roman" w:hAnsi="Cambria" w:cs="Times New Roman"/>
                <w:b/>
                <w:color w:val="000000"/>
                <w:sz w:val="20"/>
                <w:szCs w:val="20"/>
                <w:lang w:val="ro-RO" w:eastAsia="ro-RO"/>
              </w:rPr>
            </w:pPr>
            <w:r w:rsidRPr="0037604E">
              <w:rPr>
                <w:rFonts w:ascii="Cambria" w:eastAsia="Times New Roman" w:hAnsi="Cambria" w:cs="Times New Roman"/>
                <w:b/>
                <w:color w:val="000000"/>
                <w:sz w:val="20"/>
                <w:szCs w:val="20"/>
                <w:lang w:val="ro-RO" w:eastAsia="ro-RO"/>
              </w:rPr>
              <w:t>crt.</w:t>
            </w:r>
          </w:p>
        </w:tc>
        <w:tc>
          <w:tcPr>
            <w:tcW w:w="1237"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color w:val="000000"/>
                <w:sz w:val="20"/>
                <w:szCs w:val="20"/>
                <w:lang w:val="ro-RO" w:eastAsia="ro-RO"/>
              </w:rPr>
            </w:pPr>
            <w:r w:rsidRPr="0037604E">
              <w:rPr>
                <w:rFonts w:ascii="Cambria" w:eastAsia="Times New Roman" w:hAnsi="Cambria" w:cs="Times New Roman"/>
                <w:b/>
                <w:color w:val="000000"/>
                <w:sz w:val="20"/>
                <w:szCs w:val="20"/>
                <w:lang w:val="ro-RO" w:eastAsia="ro-RO"/>
              </w:rPr>
              <w:t>Nume şi prenume</w:t>
            </w:r>
          </w:p>
        </w:tc>
        <w:tc>
          <w:tcPr>
            <w:tcW w:w="1159"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color w:val="000000"/>
                <w:sz w:val="20"/>
                <w:szCs w:val="20"/>
                <w:lang w:val="ro-RO" w:eastAsia="ro-RO"/>
              </w:rPr>
            </w:pPr>
            <w:r w:rsidRPr="0037604E">
              <w:rPr>
                <w:rFonts w:ascii="Cambria" w:eastAsia="Times New Roman" w:hAnsi="Cambria" w:cs="Times New Roman"/>
                <w:b/>
                <w:color w:val="000000"/>
                <w:sz w:val="20"/>
                <w:szCs w:val="20"/>
                <w:lang w:val="ro-RO" w:eastAsia="ro-RO"/>
              </w:rPr>
              <w:t>Funcţia</w:t>
            </w:r>
          </w:p>
        </w:tc>
        <w:tc>
          <w:tcPr>
            <w:tcW w:w="2022" w:type="pct"/>
            <w:shd w:val="clear" w:color="auto" w:fill="D6E0F4"/>
            <w:vAlign w:val="center"/>
          </w:tcPr>
          <w:p w:rsidR="0037604E" w:rsidRPr="0037604E" w:rsidRDefault="0037604E" w:rsidP="0037604E">
            <w:pPr>
              <w:spacing w:after="0" w:line="240" w:lineRule="auto"/>
              <w:ind w:firstLine="0"/>
              <w:jc w:val="center"/>
              <w:rPr>
                <w:rFonts w:ascii="Cambria" w:eastAsia="Times New Roman" w:hAnsi="Cambria" w:cs="Times New Roman"/>
                <w:b/>
                <w:color w:val="000000"/>
                <w:sz w:val="20"/>
                <w:szCs w:val="20"/>
                <w:lang w:val="ro-RO" w:eastAsia="ro-RO"/>
              </w:rPr>
            </w:pPr>
            <w:r w:rsidRPr="0037604E">
              <w:rPr>
                <w:rFonts w:ascii="Cambria" w:eastAsia="Times New Roman" w:hAnsi="Cambria" w:cs="Times New Roman"/>
                <w:b/>
                <w:color w:val="000000"/>
                <w:sz w:val="20"/>
                <w:szCs w:val="20"/>
                <w:lang w:val="ro-RO" w:eastAsia="ro-RO"/>
              </w:rPr>
              <w:t>Departament/Direcţie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w:t>
            </w:r>
          </w:p>
        </w:tc>
        <w:tc>
          <w:tcPr>
            <w:tcW w:w="1237"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Petru Ion Văduva</w:t>
            </w:r>
          </w:p>
        </w:tc>
        <w:tc>
          <w:tcPr>
            <w:tcW w:w="1159"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Director - General</w:t>
            </w:r>
          </w:p>
        </w:tc>
        <w:tc>
          <w:tcPr>
            <w:tcW w:w="2022"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Calibri" w:hAnsiTheme="majorHAnsi" w:cs="DokChampa"/>
                <w:sz w:val="20"/>
                <w:szCs w:val="20"/>
                <w:lang w:eastAsia="en-US"/>
              </w:rPr>
              <w:t>SNTGN Transgaz SA</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w:t>
            </w:r>
          </w:p>
        </w:tc>
        <w:tc>
          <w:tcPr>
            <w:tcW w:w="1237"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Gheorghe Haţegan</w:t>
            </w:r>
          </w:p>
        </w:tc>
        <w:tc>
          <w:tcPr>
            <w:tcW w:w="1159"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 xml:space="preserve">Deputy Director - General </w:t>
            </w:r>
          </w:p>
        </w:tc>
        <w:tc>
          <w:tcPr>
            <w:tcW w:w="2022"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Calibri" w:hAnsiTheme="majorHAnsi" w:cs="DokChampa"/>
                <w:sz w:val="20"/>
                <w:szCs w:val="20"/>
                <w:lang w:eastAsia="en-US"/>
              </w:rPr>
              <w:t>SNTGN Transgaz SA</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w:t>
            </w:r>
          </w:p>
        </w:tc>
        <w:tc>
          <w:tcPr>
            <w:tcW w:w="1237"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Tarsac Grigore</w:t>
            </w:r>
          </w:p>
        </w:tc>
        <w:tc>
          <w:tcPr>
            <w:tcW w:w="1159"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 xml:space="preserve">Deputy Director - General </w:t>
            </w:r>
          </w:p>
        </w:tc>
        <w:tc>
          <w:tcPr>
            <w:tcW w:w="2022"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Calibri" w:hAnsiTheme="majorHAnsi" w:cs="DokChampa"/>
                <w:sz w:val="20"/>
                <w:szCs w:val="20"/>
                <w:lang w:eastAsia="en-US"/>
              </w:rPr>
              <w:t>SNTGN Transgaz SA</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w:t>
            </w:r>
          </w:p>
        </w:tc>
        <w:tc>
          <w:tcPr>
            <w:tcW w:w="1237"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Lupean Marius</w:t>
            </w:r>
          </w:p>
        </w:tc>
        <w:tc>
          <w:tcPr>
            <w:tcW w:w="1159"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Director</w:t>
            </w:r>
          </w:p>
        </w:tc>
        <w:tc>
          <w:tcPr>
            <w:tcW w:w="2022"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Economic Division</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5.</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Elisabeta</w:t>
            </w:r>
            <w:r w:rsidRPr="0037604E">
              <w:rPr>
                <w:rFonts w:asciiTheme="majorHAnsi" w:eastAsia="Calibri" w:hAnsiTheme="majorHAnsi" w:cs="DokChampa"/>
                <w:sz w:val="20"/>
                <w:szCs w:val="20"/>
                <w:lang w:eastAsia="en-US"/>
              </w:rPr>
              <w:t xml:space="preserve"> </w:t>
            </w:r>
            <w:r w:rsidRPr="0037604E">
              <w:rPr>
                <w:rFonts w:asciiTheme="majorHAnsi" w:eastAsia="Times New Roman" w:hAnsiTheme="majorHAnsi" w:cs="Times New Roman"/>
                <w:sz w:val="20"/>
                <w:szCs w:val="20"/>
                <w:lang w:val="en-GB" w:eastAsia="ro-RO"/>
              </w:rPr>
              <w:t xml:space="preserve">Ghidiu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Strategy and Corporate Management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6.</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Florian Vardol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Legal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7.</w:t>
            </w:r>
          </w:p>
        </w:tc>
        <w:tc>
          <w:tcPr>
            <w:tcW w:w="1237"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Ciprian Octavian  Alic</w:t>
            </w:r>
          </w:p>
        </w:tc>
        <w:tc>
          <w:tcPr>
            <w:tcW w:w="1159"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Director</w:t>
            </w:r>
          </w:p>
        </w:tc>
        <w:tc>
          <w:tcPr>
            <w:tcW w:w="2022" w:type="pct"/>
            <w:vAlign w:val="center"/>
          </w:tcPr>
          <w:p w:rsidR="0037604E" w:rsidRPr="0037604E" w:rsidRDefault="0037604E" w:rsidP="0037604E">
            <w:pPr>
              <w:spacing w:after="0" w:line="240" w:lineRule="auto"/>
              <w:ind w:firstLine="0"/>
              <w:jc w:val="both"/>
              <w:rPr>
                <w:rFonts w:asciiTheme="majorHAnsi" w:eastAsia="Times New Roman" w:hAnsiTheme="majorHAnsi" w:cs="Times New Roman"/>
                <w:sz w:val="20"/>
                <w:szCs w:val="20"/>
                <w:lang w:val="en-GB" w:eastAsia="ro-RO"/>
              </w:rPr>
            </w:pPr>
            <w:r w:rsidRPr="0037604E">
              <w:rPr>
                <w:rFonts w:asciiTheme="majorHAnsi" w:eastAsia="Times New Roman" w:hAnsiTheme="majorHAnsi" w:cs="Times New Roman"/>
                <w:sz w:val="20"/>
                <w:szCs w:val="20"/>
                <w:lang w:val="en-GB" w:eastAsia="ro-RO"/>
              </w:rPr>
              <w:t xml:space="preserve">European Funds and International Relations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8.</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Gheorghe Marius Stroia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Operation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lastRenderedPageBreak/>
              <w:t>9.</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Florin Emil  Cosma</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Exploitation and Maintenance  Division</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10.</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Ion Tătaru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Development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11.</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Viorel Ciprian Achim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HSQE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12.</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Bogdan Avram Luca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Sectoral Procurement and Contracting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13.</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Mihai Leontin Leahu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Design and Research Department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14.</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Daniel Gruia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IT and Communication Division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15.</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Mihai Iuliu Fodor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Budget nd Finances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16.</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Adela Marinela Comăniță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Accounting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17.</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Oana  Cristina Niculescu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Budgeting Strategy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18.</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Olga Idu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Endorsement and Litigations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19.</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Cornel Ovidiu Ilieș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European Funds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20.</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Florin Bunea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Gas Market Operator Unit Bucharest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21.</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Larisa Banu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Deputy 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Gas Market Operator Unit Bucharest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22.</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Ioan Rău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Commercial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23.</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Mihai Pătîrniche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The National Gas Dispatching Centre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24.</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Alexandru Șai</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Gas Metering and Quality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25.</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Aurel Muntean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Gas Metering and Quality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26.</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Viorel Barbu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NTS Rehabilitation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27.</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Sorin Gabriel Deac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Works Preparation and Execution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28.</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Nicu Drusan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Protection and Security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29.</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Monica Alexandra Petrescu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Special Projects Procurement Unit</w:t>
            </w:r>
            <w:r w:rsidRPr="0037604E">
              <w:rPr>
                <w:rFonts w:asciiTheme="majorHAnsi" w:eastAsia="Calibri" w:hAnsiTheme="majorHAnsi" w:cs="DokChampa"/>
                <w:sz w:val="20"/>
                <w:szCs w:val="20"/>
                <w:lang w:eastAsia="en-US"/>
              </w:rPr>
              <w:t xml:space="preserve">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30.</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Adela Cristina Pinzar</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Sectoral Procurement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31.</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Angela Aneta Mateş</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 xml:space="preserve">HR Unit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32.</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Gabriela Elena Mareș</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Regulations and Licences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33.</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Ionel Sârbu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Land Regulations Unit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34.</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Sorin Bolchiș</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Automations and SCADA Unit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35.</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Adrian Ionuț Tudor</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Deputy 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Automations and SCADA Unit</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36.</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Sebastian Moldovan</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Deputy 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Automations and SCADA Unit </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37.</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Mihai Antoniu Olteanu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Project Manager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Black Sea PMU</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38.</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Corneliu Paul Popescu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Project Manager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BRUA PMU</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39.</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Ilie Lața</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Subsidiary Director sucursală</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Medias Subsidiary</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40.</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Angela Velicea</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Financial</w:t>
            </w:r>
            <w:r w:rsidRPr="0037604E">
              <w:rPr>
                <w:rFonts w:asciiTheme="majorHAnsi" w:eastAsia="Calibri" w:hAnsiTheme="majorHAnsi" w:cs="DokChampa"/>
                <w:sz w:val="20"/>
                <w:szCs w:val="20"/>
                <w:lang w:eastAsia="en-US"/>
              </w:rPr>
              <w:t xml:space="preserve"> Director  </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Times New Roman" w:hAnsiTheme="majorHAnsi" w:cs="Times New Roman"/>
                <w:sz w:val="20"/>
                <w:szCs w:val="20"/>
                <w:lang w:val="en-GB" w:eastAsia="ro-RO"/>
              </w:rPr>
              <w:t>Medias Subsidiary</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41.</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Gheorghe Bachios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Arad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42.</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Gheorghe Cristolovean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Brasov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43.</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Eduard-Cristian Schimdt-Hăineala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Bacău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44.</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Cristian Gherghe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Constanța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45.</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Ioan Rusu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Mediaș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46.</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Victorel Gurgu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Bucharest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47.</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Nicușor Dumitru</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Head of department in charge with the responsibilities of regional office 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Brăila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48.</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Viorel Niță</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Craiova Regional Office</w:t>
            </w:r>
          </w:p>
        </w:tc>
      </w:tr>
      <w:tr w:rsidR="0037604E" w:rsidRPr="0037604E" w:rsidTr="0037604E">
        <w:trPr>
          <w:cantSplit/>
          <w:trHeight w:val="255"/>
          <w:tblCellSpacing w:w="20" w:type="dxa"/>
        </w:trPr>
        <w:tc>
          <w:tcPr>
            <w:tcW w:w="479" w:type="pct"/>
            <w:vAlign w:val="center"/>
          </w:tcPr>
          <w:p w:rsidR="0037604E" w:rsidRPr="0037604E" w:rsidRDefault="0037604E" w:rsidP="0037604E">
            <w:pPr>
              <w:spacing w:after="0" w:line="240" w:lineRule="auto"/>
              <w:ind w:firstLine="0"/>
              <w:jc w:val="center"/>
              <w:rPr>
                <w:rFonts w:ascii="Cambria" w:eastAsia="Times New Roman" w:hAnsi="Cambria" w:cs="Times New Roman"/>
                <w:color w:val="000000"/>
                <w:sz w:val="20"/>
                <w:szCs w:val="20"/>
                <w:lang w:val="ro-RO" w:eastAsia="ro-RO"/>
              </w:rPr>
            </w:pPr>
            <w:r w:rsidRPr="0037604E">
              <w:rPr>
                <w:rFonts w:ascii="Cambria" w:eastAsia="Times New Roman" w:hAnsi="Cambria" w:cs="Times New Roman"/>
                <w:color w:val="000000"/>
                <w:sz w:val="20"/>
                <w:szCs w:val="20"/>
                <w:lang w:val="ro-RO" w:eastAsia="ro-RO"/>
              </w:rPr>
              <w:t>49</w:t>
            </w:r>
          </w:p>
        </w:tc>
        <w:tc>
          <w:tcPr>
            <w:tcW w:w="1237"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 xml:space="preserve">Marcel Tandrau  </w:t>
            </w:r>
          </w:p>
        </w:tc>
        <w:tc>
          <w:tcPr>
            <w:tcW w:w="1159"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Director</w:t>
            </w:r>
          </w:p>
        </w:tc>
        <w:tc>
          <w:tcPr>
            <w:tcW w:w="2022" w:type="pct"/>
            <w:vAlign w:val="center"/>
          </w:tcPr>
          <w:p w:rsidR="0037604E" w:rsidRPr="0037604E" w:rsidRDefault="0037604E" w:rsidP="0037604E">
            <w:pPr>
              <w:spacing w:after="0" w:line="240" w:lineRule="auto"/>
              <w:ind w:firstLine="0"/>
              <w:rPr>
                <w:rFonts w:asciiTheme="majorHAnsi" w:eastAsia="Calibri" w:hAnsiTheme="majorHAnsi" w:cs="DokChampa"/>
                <w:sz w:val="20"/>
                <w:szCs w:val="20"/>
                <w:lang w:eastAsia="en-US"/>
              </w:rPr>
            </w:pPr>
            <w:r w:rsidRPr="0037604E">
              <w:rPr>
                <w:rFonts w:asciiTheme="majorHAnsi" w:eastAsia="Calibri" w:hAnsiTheme="majorHAnsi" w:cs="DokChampa"/>
                <w:sz w:val="20"/>
                <w:szCs w:val="20"/>
                <w:lang w:eastAsia="en-US"/>
              </w:rPr>
              <w:t>Cluj Regional Office</w:t>
            </w:r>
          </w:p>
        </w:tc>
      </w:tr>
    </w:tbl>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E80C4A" w:rsidP="0037604E">
      <w:pPr>
        <w:spacing w:after="0" w:line="240" w:lineRule="auto"/>
        <w:ind w:firstLine="0"/>
        <w:jc w:val="center"/>
        <w:rPr>
          <w:rFonts w:ascii="Cambria" w:eastAsia="Times New Roman" w:hAnsi="Cambria" w:cs="Times New Roman"/>
          <w:b/>
          <w:i/>
          <w:sz w:val="16"/>
          <w:szCs w:val="16"/>
          <w:lang w:val="en-GB" w:eastAsia="ro-RO"/>
        </w:rPr>
      </w:pPr>
      <w:r>
        <w:rPr>
          <w:rFonts w:ascii="Cambria" w:eastAsia="Times New Roman" w:hAnsi="Cambria" w:cs="Times New Roman"/>
          <w:b/>
          <w:i/>
          <w:sz w:val="16"/>
          <w:szCs w:val="16"/>
          <w:lang w:val="en-GB" w:eastAsia="ro-RO"/>
        </w:rPr>
        <w:lastRenderedPageBreak/>
        <w:t>Table 45</w:t>
      </w:r>
      <w:r w:rsidR="0037604E" w:rsidRPr="0037604E">
        <w:rPr>
          <w:rFonts w:ascii="Cambria" w:eastAsia="Times New Roman" w:hAnsi="Cambria" w:cs="Times New Roman"/>
          <w:b/>
          <w:i/>
          <w:sz w:val="16"/>
          <w:szCs w:val="16"/>
          <w:lang w:val="en-GB" w:eastAsia="ro-RO"/>
        </w:rPr>
        <w:t>–SNTGN Transgaz SA Mediaş</w:t>
      </w:r>
      <w:r w:rsidR="0037604E" w:rsidRPr="0037604E">
        <w:rPr>
          <w:rFonts w:ascii="Cambria" w:eastAsia="Cambria" w:hAnsi="Cambria" w:cs="Cambria"/>
          <w:b/>
          <w:bCs/>
          <w:i/>
          <w:sz w:val="16"/>
          <w:szCs w:val="16"/>
          <w:lang w:val="en-GB"/>
        </w:rPr>
        <w:t xml:space="preserve"> executive management</w:t>
      </w:r>
    </w:p>
    <w:p w:rsidR="0037604E" w:rsidRPr="00B115A4" w:rsidRDefault="0037604E" w:rsidP="0037604E">
      <w:pPr>
        <w:spacing w:before="320" w:after="0" w:line="360" w:lineRule="auto"/>
        <w:ind w:firstLine="0"/>
        <w:outlineLvl w:val="1"/>
        <w:rPr>
          <w:rFonts w:asciiTheme="majorHAnsi" w:eastAsia="Cambria" w:hAnsiTheme="majorHAnsi" w:cstheme="majorBidi"/>
          <w:b/>
          <w:bCs/>
          <w:iCs/>
          <w:sz w:val="28"/>
          <w:szCs w:val="28"/>
          <w:lang w:val="en-GB"/>
        </w:rPr>
      </w:pPr>
      <w:bookmarkStart w:id="154" w:name="_Toc319916370"/>
      <w:bookmarkStart w:id="155" w:name="_Toc350496243"/>
      <w:bookmarkStart w:id="156" w:name="_Toc381360573"/>
      <w:bookmarkStart w:id="157" w:name="_Toc414263650"/>
      <w:bookmarkStart w:id="158" w:name="_Toc446310886"/>
      <w:r w:rsidRPr="00B115A4">
        <w:rPr>
          <w:rFonts w:asciiTheme="majorHAnsi" w:eastAsia="Times New Roman" w:hAnsiTheme="majorHAnsi" w:cs="Times New Roman"/>
          <w:b/>
          <w:bCs/>
          <w:iCs/>
          <w:sz w:val="28"/>
          <w:szCs w:val="28"/>
          <w:lang w:val="en-GB" w:eastAsia="ro-RO"/>
        </w:rPr>
        <w:t xml:space="preserve">4.3. </w:t>
      </w:r>
      <w:bookmarkEnd w:id="154"/>
      <w:bookmarkEnd w:id="155"/>
      <w:bookmarkEnd w:id="156"/>
      <w:bookmarkEnd w:id="157"/>
      <w:r w:rsidRPr="00B115A4">
        <w:rPr>
          <w:rFonts w:asciiTheme="majorHAnsi" w:eastAsia="Cambria" w:hAnsiTheme="majorHAnsi" w:cstheme="majorBidi"/>
          <w:b/>
          <w:bCs/>
          <w:iCs/>
          <w:sz w:val="28"/>
          <w:szCs w:val="28"/>
          <w:lang w:val="en-GB"/>
        </w:rPr>
        <w:t>Potential litigation or administrative procedures</w:t>
      </w:r>
      <w:bookmarkEnd w:id="158"/>
      <w:r w:rsidRPr="00B115A4">
        <w:rPr>
          <w:rFonts w:asciiTheme="majorHAnsi" w:eastAsia="Cambria" w:hAnsiTheme="majorHAnsi" w:cstheme="majorBidi"/>
          <w:b/>
          <w:bCs/>
          <w:iCs/>
          <w:sz w:val="28"/>
          <w:szCs w:val="28"/>
          <w:lang w:val="en-GB"/>
        </w:rPr>
        <w:t xml:space="preserve"> </w:t>
      </w:r>
    </w:p>
    <w:p w:rsidR="0037604E" w:rsidRPr="00B115A4" w:rsidRDefault="0037604E" w:rsidP="0037604E">
      <w:pPr>
        <w:spacing w:line="240" w:lineRule="auto"/>
        <w:ind w:firstLine="0"/>
        <w:rPr>
          <w:rFonts w:asciiTheme="majorHAnsi" w:hAnsiTheme="majorHAnsi"/>
          <w:sz w:val="24"/>
          <w:szCs w:val="24"/>
          <w:lang w:val="en-GB"/>
        </w:rPr>
      </w:pPr>
      <w:r w:rsidRPr="00B115A4">
        <w:rPr>
          <w:rFonts w:asciiTheme="majorHAnsi" w:hAnsiTheme="majorHAnsi"/>
          <w:sz w:val="24"/>
          <w:szCs w:val="24"/>
          <w:lang w:val="en-GB"/>
        </w:rPr>
        <w:t>Refference: litigation or administrative proceedings in which it was involved in the past 5 years related to the administrative and executive management as well as those concerning their ability to perform their duties within Transgaz.</w:t>
      </w:r>
    </w:p>
    <w:p w:rsidR="0037604E" w:rsidRPr="00B115A4" w:rsidRDefault="0037604E" w:rsidP="0037604E">
      <w:pPr>
        <w:spacing w:line="240" w:lineRule="auto"/>
        <w:ind w:firstLine="0"/>
        <w:rPr>
          <w:rFonts w:asciiTheme="majorHAnsi" w:hAnsiTheme="majorHAnsi"/>
          <w:sz w:val="24"/>
          <w:szCs w:val="24"/>
          <w:lang w:val="en-GB"/>
        </w:rPr>
      </w:pPr>
      <w:r w:rsidRPr="00B115A4">
        <w:rPr>
          <w:rFonts w:asciiTheme="majorHAnsi" w:hAnsiTheme="majorHAnsi"/>
          <w:sz w:val="24"/>
          <w:szCs w:val="24"/>
          <w:lang w:val="en-GB"/>
        </w:rPr>
        <w:t>Not appropriate.</w:t>
      </w:r>
    </w:p>
    <w:p w:rsidR="0037604E" w:rsidRPr="0037604E" w:rsidRDefault="0037604E" w:rsidP="0037604E">
      <w:pPr>
        <w:spacing w:before="600" w:after="0" w:line="360" w:lineRule="auto"/>
        <w:ind w:firstLine="0"/>
        <w:outlineLvl w:val="0"/>
        <w:rPr>
          <w:rFonts w:asciiTheme="majorHAnsi" w:eastAsia="Times New Roman" w:hAnsiTheme="majorHAnsi" w:cstheme="majorBidi"/>
          <w:b/>
          <w:bCs/>
          <w:iCs/>
          <w:sz w:val="32"/>
          <w:szCs w:val="32"/>
          <w:lang w:val="en-GB"/>
        </w:rPr>
      </w:pPr>
      <w:bookmarkStart w:id="159" w:name="_Toc414263651"/>
      <w:bookmarkStart w:id="160" w:name="_Toc446310887"/>
      <w:r w:rsidRPr="0037604E">
        <w:rPr>
          <w:rFonts w:asciiTheme="majorHAnsi" w:eastAsia="Times New Roman" w:hAnsiTheme="majorHAnsi" w:cstheme="majorBidi"/>
          <w:b/>
          <w:bCs/>
          <w:iCs/>
          <w:sz w:val="32"/>
          <w:szCs w:val="32"/>
          <w:lang w:val="en-GB"/>
        </w:rPr>
        <w:t>5. OTHER ASPECTS</w:t>
      </w:r>
      <w:bookmarkEnd w:id="159"/>
      <w:bookmarkEnd w:id="160"/>
    </w:p>
    <w:p w:rsidR="0037604E" w:rsidRPr="0037604E" w:rsidRDefault="0037604E" w:rsidP="0037604E">
      <w:pPr>
        <w:spacing w:after="0" w:line="240" w:lineRule="auto"/>
        <w:ind w:firstLine="0"/>
        <w:jc w:val="both"/>
        <w:rPr>
          <w:rFonts w:ascii="Cambria" w:eastAsia="Times New Roman" w:hAnsi="Cambria" w:cs="Times New Roman"/>
          <w:b/>
          <w:sz w:val="24"/>
          <w:szCs w:val="24"/>
          <w:highlight w:val="yellow"/>
          <w:lang w:val="en-GB" w:eastAsia="ro-RO"/>
        </w:rPr>
      </w:pPr>
    </w:p>
    <w:p w:rsidR="0037604E" w:rsidRPr="0037604E" w:rsidRDefault="0037604E" w:rsidP="0037604E">
      <w:pPr>
        <w:shd w:val="clear" w:color="auto" w:fill="E4E9EF"/>
        <w:spacing w:after="0" w:line="240" w:lineRule="auto"/>
        <w:ind w:firstLine="0"/>
        <w:jc w:val="both"/>
        <w:rPr>
          <w:rFonts w:ascii="Cambria" w:eastAsia="Times New Roman" w:hAnsi="Cambria" w:cs="Times New Roman"/>
          <w:b/>
          <w:i/>
          <w:sz w:val="24"/>
          <w:szCs w:val="24"/>
          <w:lang w:val="en-GB" w:eastAsia="ro-RO"/>
        </w:rPr>
      </w:pPr>
      <w:r w:rsidRPr="0037604E">
        <w:rPr>
          <w:rFonts w:ascii="Cambria" w:eastAsia="Cambria" w:hAnsi="Cambria" w:cs="Cambria"/>
          <w:b/>
          <w:bCs/>
          <w:i/>
          <w:iCs/>
          <w:sz w:val="24"/>
          <w:szCs w:val="24"/>
          <w:lang w:val="en-GB"/>
        </w:rPr>
        <w:t xml:space="preserve">The list of all entities in which Transgaz holds shares </w:t>
      </w:r>
    </w:p>
    <w:p w:rsidR="0037604E" w:rsidRPr="0037604E" w:rsidRDefault="0037604E" w:rsidP="0037604E">
      <w:pPr>
        <w:spacing w:after="0" w:line="240" w:lineRule="auto"/>
        <w:ind w:firstLine="0"/>
        <w:jc w:val="both"/>
        <w:rPr>
          <w:rFonts w:ascii="Cambria" w:eastAsia="Times New Roman" w:hAnsi="Cambria" w:cs="Times New Roman"/>
          <w:b/>
          <w:sz w:val="24"/>
          <w:szCs w:val="24"/>
          <w:highlight w:val="yellow"/>
          <w:lang w:val="en-GB" w:eastAsia="ro-RO"/>
        </w:rPr>
      </w:pPr>
    </w:p>
    <w:p w:rsidR="0037604E" w:rsidRPr="0037604E" w:rsidRDefault="0037604E" w:rsidP="00FA6EB9">
      <w:pPr>
        <w:numPr>
          <w:ilvl w:val="0"/>
          <w:numId w:val="61"/>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 xml:space="preserve">NABUCCO GAS PIPELINE INTERNATIONAL GmbH, </w:t>
      </w:r>
      <w:r w:rsidRPr="0037604E">
        <w:rPr>
          <w:rFonts w:ascii="Cambria" w:eastAsia="Cambria" w:hAnsi="Cambria" w:cs="Cambria"/>
          <w:sz w:val="24"/>
          <w:szCs w:val="24"/>
          <w:lang w:val="en-GB"/>
        </w:rPr>
        <w:t xml:space="preserve">based in Vienna, company in which Transgaz owns equity interests of 17.93% of the share capital and whose object of activity is the development of Nabucco project. </w:t>
      </w:r>
    </w:p>
    <w:p w:rsidR="0037604E" w:rsidRPr="0037604E" w:rsidRDefault="0037604E" w:rsidP="0037604E">
      <w:pPr>
        <w:spacing w:after="0" w:line="240" w:lineRule="auto"/>
        <w:ind w:left="450" w:firstLine="0"/>
        <w:contextualSpacing/>
        <w:jc w:val="both"/>
        <w:rPr>
          <w:rFonts w:ascii="Cambria" w:eastAsia="Cambria" w:hAnsi="Cambria" w:cs="Cambria"/>
          <w:b/>
          <w:bCs/>
          <w:sz w:val="24"/>
          <w:szCs w:val="24"/>
          <w:lang w:val="en-GB"/>
        </w:rPr>
      </w:pPr>
    </w:p>
    <w:p w:rsidR="0037604E" w:rsidRPr="0037604E" w:rsidRDefault="0037604E" w:rsidP="0037604E">
      <w:pPr>
        <w:spacing w:after="0" w:line="240" w:lineRule="auto"/>
        <w:ind w:left="450" w:firstLine="0"/>
        <w:contextualSpacing/>
        <w:jc w:val="both"/>
        <w:rPr>
          <w:rFonts w:ascii="Cambria" w:eastAsia="Cambria" w:hAnsi="Cambria" w:cs="Cambria"/>
          <w:sz w:val="24"/>
          <w:szCs w:val="24"/>
          <w:lang w:val="en-GB"/>
        </w:rPr>
      </w:pPr>
      <w:r w:rsidRPr="0037604E">
        <w:rPr>
          <w:rFonts w:ascii="Cambria" w:eastAsia="Cambria" w:hAnsi="Cambria" w:cs="Cambria"/>
          <w:sz w:val="24"/>
          <w:szCs w:val="24"/>
          <w:lang w:val="en-GB"/>
        </w:rPr>
        <w:t>The lack of perspective of Nabucco project in the context of failure to be selected by Shah Deniz Consortium and the uncertainty of commissioning new gas fields in the predictable future in the Caspian Sea and Middle East determined Nabucco shareholders to make the decision of liquidating the project company and the National Nabucco Companies (NNCs), voluntary liquidation controlled by NIC shareholders through a liquidator;</w:t>
      </w:r>
    </w:p>
    <w:p w:rsidR="0037604E" w:rsidRPr="0037604E" w:rsidRDefault="0037604E" w:rsidP="0037604E">
      <w:pPr>
        <w:spacing w:after="0" w:line="240" w:lineRule="auto"/>
        <w:ind w:left="450" w:firstLine="0"/>
        <w:contextualSpacing/>
        <w:jc w:val="both"/>
        <w:rPr>
          <w:rFonts w:asciiTheme="majorHAnsi" w:eastAsia="Calibri" w:hAnsiTheme="majorHAnsi" w:cs="Times New Roman"/>
          <w:sz w:val="24"/>
          <w:szCs w:val="24"/>
          <w:lang w:val="ro-RO" w:eastAsia="en-US"/>
        </w:rPr>
      </w:pPr>
    </w:p>
    <w:p w:rsidR="0037604E" w:rsidRPr="0037604E" w:rsidRDefault="0037604E" w:rsidP="0037604E">
      <w:pPr>
        <w:spacing w:after="0" w:line="240" w:lineRule="auto"/>
        <w:ind w:left="450" w:firstLine="0"/>
        <w:contextualSpacing/>
        <w:jc w:val="both"/>
        <w:rPr>
          <w:rFonts w:asciiTheme="majorHAnsi" w:eastAsia="Times New Roman" w:hAnsiTheme="majorHAnsi" w:cs="Times New Roman"/>
          <w:sz w:val="24"/>
          <w:szCs w:val="24"/>
          <w:lang w:eastAsia="ro-RO"/>
        </w:rPr>
      </w:pPr>
      <w:r w:rsidRPr="0037604E">
        <w:rPr>
          <w:rFonts w:asciiTheme="majorHAnsi" w:eastAsia="Calibri" w:hAnsiTheme="majorHAnsi" w:cs="Times New Roman"/>
          <w:sz w:val="24"/>
          <w:szCs w:val="24"/>
          <w:lang w:val="ro-RO" w:eastAsia="en-US"/>
        </w:rPr>
        <w:t>In the following period it is expected to cashing of additional amounts from the liquidation of NIC, but because of the level of uncertainty the Company`s investment in NIC amounting to RON 138.544.435 was fully provisioned;</w:t>
      </w:r>
    </w:p>
    <w:p w:rsidR="0037604E" w:rsidRPr="0037604E" w:rsidRDefault="0037604E" w:rsidP="0037604E">
      <w:pPr>
        <w:spacing w:after="0" w:line="240" w:lineRule="auto"/>
        <w:ind w:left="450" w:firstLine="0"/>
        <w:contextualSpacing/>
        <w:jc w:val="both"/>
        <w:rPr>
          <w:rFonts w:ascii="Cambria" w:eastAsia="Times New Roman" w:hAnsi="Cambria" w:cs="Times New Roman"/>
          <w:sz w:val="24"/>
          <w:szCs w:val="24"/>
          <w:lang w:val="en-GB" w:eastAsia="ro-RO"/>
        </w:rPr>
      </w:pPr>
    </w:p>
    <w:p w:rsidR="0037604E" w:rsidRPr="0037604E" w:rsidRDefault="0037604E" w:rsidP="00FA6EB9">
      <w:pPr>
        <w:numPr>
          <w:ilvl w:val="0"/>
          <w:numId w:val="61"/>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 xml:space="preserve">SC MEBIS SA </w:t>
      </w:r>
      <w:r w:rsidRPr="0037604E">
        <w:rPr>
          <w:rFonts w:ascii="Cambria" w:eastAsia="Cambria" w:hAnsi="Cambria" w:cs="Cambria"/>
          <w:b/>
          <w:sz w:val="24"/>
          <w:szCs w:val="24"/>
          <w:lang w:val="en-GB"/>
        </w:rPr>
        <w:t>Bistriţa</w:t>
      </w:r>
      <w:r w:rsidRPr="0037604E">
        <w:rPr>
          <w:rFonts w:ascii="Cambria" w:eastAsia="Cambria" w:hAnsi="Cambria" w:cs="Cambria"/>
          <w:b/>
          <w:bCs/>
          <w:sz w:val="24"/>
          <w:szCs w:val="24"/>
          <w:lang w:val="en-GB"/>
        </w:rPr>
        <w:t>,</w:t>
      </w:r>
      <w:r w:rsidRPr="0037604E">
        <w:rPr>
          <w:rFonts w:ascii="Cambria" w:eastAsia="Cambria" w:hAnsi="Cambria" w:cs="Cambria"/>
          <w:sz w:val="24"/>
          <w:szCs w:val="24"/>
          <w:lang w:val="en-GB"/>
        </w:rPr>
        <w:t xml:space="preserve"> based in Bistriţa, (J06/150/1991) in which Transgaz owns a 17.47% stake, whose object of activity is the development of metal structures and complex welded assemblies, assemblies and hydraulic products</w:t>
      </w:r>
      <w:r w:rsidRPr="0037604E">
        <w:rPr>
          <w:lang w:val="en-GB"/>
        </w:rPr>
        <w:t xml:space="preserve"> </w:t>
      </w:r>
      <w:r w:rsidRPr="0037604E">
        <w:rPr>
          <w:rFonts w:ascii="Cambria" w:eastAsia="Cambria" w:hAnsi="Cambria" w:cs="Cambria"/>
          <w:sz w:val="24"/>
          <w:szCs w:val="24"/>
          <w:lang w:val="en-GB"/>
        </w:rPr>
        <w:t>is in liquidation procedure, which is why its stake in SC MEBIS SA was fully provisioned. Transgaz does not have any obligations to SC MEBIS SA</w:t>
      </w:r>
      <w:r w:rsidRPr="0037604E">
        <w:rPr>
          <w:rFonts w:ascii="Cambria" w:eastAsia="Times New Roman" w:hAnsi="Cambria" w:cs="Times New Roman"/>
          <w:sz w:val="24"/>
          <w:szCs w:val="24"/>
          <w:lang w:val="en-GB" w:eastAsia="ro-RO"/>
        </w:rPr>
        <w:t>;</w:t>
      </w:r>
    </w:p>
    <w:p w:rsidR="0037604E" w:rsidRPr="0037604E" w:rsidRDefault="0037604E" w:rsidP="0037604E">
      <w:pPr>
        <w:spacing w:after="0" w:line="240" w:lineRule="auto"/>
        <w:ind w:left="450" w:firstLine="0"/>
        <w:contextualSpacing/>
        <w:jc w:val="both"/>
        <w:rPr>
          <w:rFonts w:ascii="Cambria" w:eastAsia="Times New Roman" w:hAnsi="Cambria" w:cs="Times New Roman"/>
          <w:sz w:val="24"/>
          <w:szCs w:val="24"/>
          <w:lang w:val="en-GB" w:eastAsia="ro-RO"/>
        </w:rPr>
      </w:pPr>
    </w:p>
    <w:p w:rsidR="0037604E" w:rsidRPr="0037604E" w:rsidRDefault="0037604E" w:rsidP="00FA6EB9">
      <w:pPr>
        <w:numPr>
          <w:ilvl w:val="0"/>
          <w:numId w:val="61"/>
        </w:numPr>
        <w:spacing w:after="0" w:line="240" w:lineRule="auto"/>
        <w:contextualSpacing/>
        <w:jc w:val="both"/>
        <w:rPr>
          <w:rFonts w:ascii="Cambria" w:eastAsia="Times New Roman" w:hAnsi="Cambria" w:cs="Times New Roman"/>
          <w:sz w:val="24"/>
          <w:szCs w:val="24"/>
          <w:lang w:val="en-GB" w:eastAsia="ro-RO"/>
        </w:rPr>
      </w:pPr>
      <w:r w:rsidRPr="0037604E">
        <w:rPr>
          <w:rFonts w:ascii="Cambria" w:eastAsia="Cambria" w:hAnsi="Cambria" w:cs="Cambria"/>
          <w:b/>
          <w:bCs/>
          <w:sz w:val="24"/>
          <w:szCs w:val="24"/>
          <w:lang w:val="en-GB"/>
        </w:rPr>
        <w:t>SC Resial SA</w:t>
      </w:r>
      <w:r w:rsidRPr="0037604E">
        <w:rPr>
          <w:rFonts w:ascii="Cambria" w:eastAsia="Cambria" w:hAnsi="Cambria" w:cs="Cambria"/>
          <w:sz w:val="24"/>
          <w:szCs w:val="24"/>
          <w:lang w:val="en-GB"/>
        </w:rPr>
        <w:t xml:space="preserve"> based in Alba Iulia (J01/77/1991) in which Transgaz owns a 68.16% stake, whose main activity is the manufacture and marketing of alumina silicate refractory products</w:t>
      </w:r>
      <w:r w:rsidRPr="0037604E">
        <w:rPr>
          <w:rFonts w:ascii="Cambria" w:eastAsia="Times New Roman" w:hAnsi="Cambria" w:cs="Times New Roman"/>
          <w:sz w:val="24"/>
          <w:szCs w:val="24"/>
          <w:lang w:val="en-GB" w:eastAsia="ro-RO"/>
        </w:rPr>
        <w:t>. The company is under bankruptcy proceedings, since 2006.</w:t>
      </w:r>
      <w:r w:rsidRPr="0037604E">
        <w:rPr>
          <w:lang w:val="en-GB"/>
        </w:rPr>
        <w:t xml:space="preserve"> The </w:t>
      </w:r>
      <w:r w:rsidRPr="0037604E">
        <w:rPr>
          <w:rFonts w:ascii="Cambria" w:eastAsia="Times New Roman" w:hAnsi="Cambria" w:cs="Times New Roman"/>
          <w:sz w:val="24"/>
          <w:szCs w:val="24"/>
          <w:lang w:val="en-GB" w:eastAsia="ro-RO"/>
        </w:rPr>
        <w:t>procedure is performed by a bailiff appointed by the court and is beyond the control of Transgaz, which is why the participation is not consolidated and is recorded at cost lower than the impairment provision amounted to 100% of cost.</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loan granted to SC RESIAL SA is fully provisioned. Transgaz Management does not expect to recover any amount from this venture and does not record any residual obligations for SC RESIAL SA.</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u w:val="thick"/>
          <w:lang w:val="en-GB" w:eastAsia="ro-RO"/>
        </w:rPr>
      </w:pPr>
      <w:r w:rsidRPr="0037604E">
        <w:rPr>
          <w:rFonts w:ascii="Cambria" w:eastAsia="Times New Roman" w:hAnsi="Cambria" w:cs="Times New Roman"/>
          <w:b/>
          <w:sz w:val="24"/>
          <w:szCs w:val="24"/>
          <w:u w:val="thick"/>
          <w:lang w:val="en-GB" w:eastAsia="ro-RO"/>
        </w:rPr>
        <w:t>Infographic monitoring of Transgaz news in 2016</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lastRenderedPageBreak/>
        <w:t xml:space="preserve">From the monitoring of the news on Transgaz activity on the media channels in 2016 we mention that in this year these were in a no. of 307, out of which:  </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tbl>
      <w:tblPr>
        <w:tblpPr w:leftFromText="180" w:rightFromText="180" w:vertAnchor="text" w:horzAnchor="margin" w:tblpXSpec="center" w:tblpY="175"/>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683"/>
        <w:gridCol w:w="1975"/>
        <w:gridCol w:w="1208"/>
        <w:gridCol w:w="1080"/>
        <w:gridCol w:w="919"/>
        <w:gridCol w:w="1663"/>
        <w:gridCol w:w="1493"/>
      </w:tblGrid>
      <w:tr w:rsidR="0037604E" w:rsidRPr="0037604E" w:rsidTr="0037604E">
        <w:trPr>
          <w:trHeight w:val="208"/>
          <w:tblCellSpacing w:w="20" w:type="dxa"/>
        </w:trPr>
        <w:tc>
          <w:tcPr>
            <w:tcW w:w="625" w:type="dxa"/>
            <w:vMerge w:val="restart"/>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Nr. crt.</w:t>
            </w:r>
          </w:p>
        </w:tc>
        <w:tc>
          <w:tcPr>
            <w:tcW w:w="1971" w:type="dxa"/>
            <w:vMerge w:val="restart"/>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Categorie știri</w:t>
            </w:r>
          </w:p>
        </w:tc>
        <w:tc>
          <w:tcPr>
            <w:tcW w:w="2282" w:type="dxa"/>
            <w:gridSpan w:val="2"/>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12 months</w:t>
            </w:r>
          </w:p>
        </w:tc>
        <w:tc>
          <w:tcPr>
            <w:tcW w:w="893" w:type="dxa"/>
            <w:vMerge w:val="restart"/>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w:t>
            </w:r>
          </w:p>
        </w:tc>
        <w:tc>
          <w:tcPr>
            <w:tcW w:w="3163" w:type="dxa"/>
            <w:gridSpan w:val="2"/>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Percent</w:t>
            </w:r>
          </w:p>
        </w:tc>
      </w:tr>
      <w:tr w:rsidR="0037604E" w:rsidRPr="0037604E" w:rsidTr="0037604E">
        <w:trPr>
          <w:trHeight w:val="208"/>
          <w:tblCellSpacing w:w="20" w:type="dxa"/>
        </w:trPr>
        <w:tc>
          <w:tcPr>
            <w:tcW w:w="625" w:type="dxa"/>
            <w:vMerge/>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p>
        </w:tc>
        <w:tc>
          <w:tcPr>
            <w:tcW w:w="1971" w:type="dxa"/>
            <w:vMerge/>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p>
        </w:tc>
        <w:tc>
          <w:tcPr>
            <w:tcW w:w="118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2016</w:t>
            </w:r>
          </w:p>
        </w:tc>
        <w:tc>
          <w:tcPr>
            <w:tcW w:w="1054"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2015</w:t>
            </w:r>
          </w:p>
        </w:tc>
        <w:tc>
          <w:tcPr>
            <w:tcW w:w="893" w:type="dxa"/>
            <w:vMerge/>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p>
        </w:tc>
        <w:tc>
          <w:tcPr>
            <w:tcW w:w="1661"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2016</w:t>
            </w:r>
          </w:p>
        </w:tc>
        <w:tc>
          <w:tcPr>
            <w:tcW w:w="1462"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2015</w:t>
            </w:r>
          </w:p>
        </w:tc>
      </w:tr>
      <w:tr w:rsidR="0037604E" w:rsidRPr="0037604E" w:rsidTr="0037604E">
        <w:trPr>
          <w:trHeight w:val="208"/>
          <w:tblCellSpacing w:w="20" w:type="dxa"/>
        </w:trPr>
        <w:tc>
          <w:tcPr>
            <w:tcW w:w="625"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w:t>
            </w:r>
          </w:p>
        </w:tc>
        <w:tc>
          <w:tcPr>
            <w:tcW w:w="1971" w:type="dxa"/>
            <w:vAlign w:val="center"/>
          </w:tcPr>
          <w:p w:rsidR="0037604E" w:rsidRPr="0037604E" w:rsidRDefault="0037604E" w:rsidP="0037604E">
            <w:pPr>
              <w:spacing w:after="0" w:line="240" w:lineRule="auto"/>
              <w:ind w:firstLine="0"/>
              <w:rPr>
                <w:rFonts w:asciiTheme="majorHAnsi" w:eastAsia="Times New Roman" w:hAnsiTheme="majorHAnsi" w:cs="Times New Roman"/>
                <w:lang w:eastAsia="ro-RO"/>
              </w:rPr>
            </w:pPr>
            <w:r w:rsidRPr="0037604E">
              <w:rPr>
                <w:rFonts w:ascii="Cambria" w:eastAsia="Times New Roman" w:hAnsi="Cambria" w:cs="Times New Roman"/>
                <w:sz w:val="24"/>
                <w:szCs w:val="24"/>
                <w:lang w:val="en-GB" w:eastAsia="ro-RO"/>
              </w:rPr>
              <w:t>Neutral news</w:t>
            </w:r>
          </w:p>
        </w:tc>
        <w:tc>
          <w:tcPr>
            <w:tcW w:w="1188"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161</w:t>
            </w:r>
          </w:p>
        </w:tc>
        <w:tc>
          <w:tcPr>
            <w:tcW w:w="1054"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117</w:t>
            </w:r>
          </w:p>
        </w:tc>
        <w:tc>
          <w:tcPr>
            <w:tcW w:w="893" w:type="dxa"/>
            <w:vAlign w:val="center"/>
          </w:tcPr>
          <w:p w:rsidR="0037604E" w:rsidRPr="0037604E" w:rsidRDefault="0037604E" w:rsidP="0037604E">
            <w:pPr>
              <w:spacing w:after="0" w:line="240" w:lineRule="auto"/>
              <w:ind w:firstLine="0"/>
              <w:jc w:val="center"/>
              <w:rPr>
                <w:rFonts w:asciiTheme="majorHAnsi" w:eastAsia="Calibri" w:hAnsiTheme="majorHAnsi" w:cs="DokChampa"/>
                <w:lang w:eastAsia="en-US"/>
              </w:rPr>
            </w:pPr>
            <w:r w:rsidRPr="0037604E">
              <w:rPr>
                <w:rFonts w:asciiTheme="majorHAnsi" w:eastAsia="Calibri" w:hAnsiTheme="majorHAnsi" w:cs="DokChampa"/>
                <w:lang w:eastAsia="en-US"/>
              </w:rPr>
              <w:t>38</w:t>
            </w:r>
          </w:p>
        </w:tc>
        <w:tc>
          <w:tcPr>
            <w:tcW w:w="1661"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53%</w:t>
            </w:r>
          </w:p>
        </w:tc>
        <w:tc>
          <w:tcPr>
            <w:tcW w:w="1462"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60%</w:t>
            </w:r>
          </w:p>
        </w:tc>
      </w:tr>
      <w:tr w:rsidR="0037604E" w:rsidRPr="0037604E" w:rsidTr="0037604E">
        <w:trPr>
          <w:trHeight w:val="259"/>
          <w:tblCellSpacing w:w="20" w:type="dxa"/>
        </w:trPr>
        <w:tc>
          <w:tcPr>
            <w:tcW w:w="625"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2.</w:t>
            </w:r>
          </w:p>
        </w:tc>
        <w:tc>
          <w:tcPr>
            <w:tcW w:w="1971" w:type="dxa"/>
            <w:vAlign w:val="center"/>
          </w:tcPr>
          <w:p w:rsidR="0037604E" w:rsidRPr="0037604E" w:rsidRDefault="0037604E" w:rsidP="0037604E">
            <w:pPr>
              <w:spacing w:after="0" w:line="240" w:lineRule="auto"/>
              <w:ind w:firstLine="0"/>
              <w:rPr>
                <w:rFonts w:asciiTheme="majorHAnsi" w:eastAsia="Times New Roman" w:hAnsiTheme="majorHAnsi" w:cs="Times New Roman"/>
                <w:lang w:eastAsia="ro-RO"/>
              </w:rPr>
            </w:pPr>
            <w:r w:rsidRPr="0037604E">
              <w:rPr>
                <w:rFonts w:ascii="Cambria" w:eastAsia="Times New Roman" w:hAnsi="Cambria" w:cs="Times New Roman"/>
                <w:sz w:val="24"/>
                <w:szCs w:val="24"/>
                <w:lang w:val="en-GB" w:eastAsia="ro-RO"/>
              </w:rPr>
              <w:t>Positive news</w:t>
            </w:r>
          </w:p>
        </w:tc>
        <w:tc>
          <w:tcPr>
            <w:tcW w:w="1188"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130</w:t>
            </w:r>
          </w:p>
        </w:tc>
        <w:tc>
          <w:tcPr>
            <w:tcW w:w="1054"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49</w:t>
            </w:r>
          </w:p>
        </w:tc>
        <w:tc>
          <w:tcPr>
            <w:tcW w:w="893" w:type="dxa"/>
            <w:vAlign w:val="center"/>
          </w:tcPr>
          <w:p w:rsidR="0037604E" w:rsidRPr="0037604E" w:rsidRDefault="0037604E" w:rsidP="0037604E">
            <w:pPr>
              <w:spacing w:after="0" w:line="240" w:lineRule="auto"/>
              <w:ind w:firstLine="0"/>
              <w:jc w:val="center"/>
              <w:rPr>
                <w:rFonts w:asciiTheme="majorHAnsi" w:eastAsia="Calibri" w:hAnsiTheme="majorHAnsi" w:cs="DokChampa"/>
                <w:lang w:eastAsia="en-US"/>
              </w:rPr>
            </w:pPr>
            <w:r w:rsidRPr="0037604E">
              <w:rPr>
                <w:rFonts w:asciiTheme="majorHAnsi" w:eastAsia="Calibri" w:hAnsiTheme="majorHAnsi" w:cs="DokChampa"/>
                <w:lang w:eastAsia="en-US"/>
              </w:rPr>
              <w:t>165</w:t>
            </w:r>
          </w:p>
        </w:tc>
        <w:tc>
          <w:tcPr>
            <w:tcW w:w="1661"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42%</w:t>
            </w:r>
          </w:p>
        </w:tc>
        <w:tc>
          <w:tcPr>
            <w:tcW w:w="1462"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25%</w:t>
            </w:r>
          </w:p>
        </w:tc>
      </w:tr>
      <w:tr w:rsidR="0037604E" w:rsidRPr="0037604E" w:rsidTr="0037604E">
        <w:trPr>
          <w:trHeight w:val="274"/>
          <w:tblCellSpacing w:w="20" w:type="dxa"/>
        </w:trPr>
        <w:tc>
          <w:tcPr>
            <w:tcW w:w="625"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3.</w:t>
            </w:r>
          </w:p>
        </w:tc>
        <w:tc>
          <w:tcPr>
            <w:tcW w:w="1971" w:type="dxa"/>
            <w:vAlign w:val="center"/>
          </w:tcPr>
          <w:p w:rsidR="0037604E" w:rsidRPr="0037604E" w:rsidRDefault="0037604E" w:rsidP="0037604E">
            <w:pPr>
              <w:spacing w:after="0" w:line="240" w:lineRule="auto"/>
              <w:ind w:firstLine="0"/>
              <w:rPr>
                <w:rFonts w:asciiTheme="majorHAnsi" w:eastAsia="Times New Roman" w:hAnsiTheme="majorHAnsi" w:cs="Times New Roman"/>
                <w:lang w:eastAsia="ro-RO"/>
              </w:rPr>
            </w:pPr>
            <w:r w:rsidRPr="0037604E">
              <w:rPr>
                <w:rFonts w:ascii="Cambria" w:eastAsia="Times New Roman" w:hAnsi="Cambria" w:cs="Times New Roman"/>
                <w:sz w:val="24"/>
                <w:szCs w:val="24"/>
                <w:lang w:val="en-GB" w:eastAsia="ro-RO"/>
              </w:rPr>
              <w:t>Negative news</w:t>
            </w:r>
          </w:p>
        </w:tc>
        <w:tc>
          <w:tcPr>
            <w:tcW w:w="1188"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16</w:t>
            </w:r>
          </w:p>
        </w:tc>
        <w:tc>
          <w:tcPr>
            <w:tcW w:w="1054"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29</w:t>
            </w:r>
          </w:p>
        </w:tc>
        <w:tc>
          <w:tcPr>
            <w:tcW w:w="893" w:type="dxa"/>
            <w:vAlign w:val="center"/>
          </w:tcPr>
          <w:p w:rsidR="0037604E" w:rsidRPr="0037604E" w:rsidRDefault="0037604E" w:rsidP="0037604E">
            <w:pPr>
              <w:spacing w:after="0" w:line="240" w:lineRule="auto"/>
              <w:ind w:firstLine="0"/>
              <w:jc w:val="center"/>
              <w:rPr>
                <w:rFonts w:asciiTheme="majorHAnsi" w:eastAsia="Calibri" w:hAnsiTheme="majorHAnsi" w:cs="DokChampa"/>
                <w:lang w:eastAsia="en-US"/>
              </w:rPr>
            </w:pPr>
            <w:r w:rsidRPr="0037604E">
              <w:rPr>
                <w:rFonts w:asciiTheme="majorHAnsi" w:eastAsia="Calibri" w:hAnsiTheme="majorHAnsi" w:cs="DokChampa"/>
                <w:lang w:eastAsia="en-US"/>
              </w:rPr>
              <w:t>-45</w:t>
            </w:r>
          </w:p>
        </w:tc>
        <w:tc>
          <w:tcPr>
            <w:tcW w:w="1661"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5%</w:t>
            </w:r>
          </w:p>
        </w:tc>
        <w:tc>
          <w:tcPr>
            <w:tcW w:w="1462" w:type="dxa"/>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r w:rsidRPr="0037604E">
              <w:rPr>
                <w:rFonts w:asciiTheme="majorHAnsi" w:eastAsia="Times New Roman" w:hAnsiTheme="majorHAnsi" w:cs="Times New Roman"/>
                <w:lang w:eastAsia="ro-RO"/>
              </w:rPr>
              <w:t>15%</w:t>
            </w:r>
          </w:p>
        </w:tc>
      </w:tr>
      <w:tr w:rsidR="0037604E" w:rsidRPr="0037604E" w:rsidTr="0037604E">
        <w:trPr>
          <w:trHeight w:val="314"/>
          <w:tblCellSpacing w:w="20" w:type="dxa"/>
        </w:trPr>
        <w:tc>
          <w:tcPr>
            <w:tcW w:w="625"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lang w:eastAsia="ro-RO"/>
              </w:rPr>
            </w:pPr>
          </w:p>
        </w:tc>
        <w:tc>
          <w:tcPr>
            <w:tcW w:w="1971" w:type="dxa"/>
            <w:shd w:val="clear" w:color="auto" w:fill="D6E0F4"/>
            <w:vAlign w:val="center"/>
          </w:tcPr>
          <w:p w:rsidR="0037604E" w:rsidRPr="0037604E" w:rsidRDefault="0037604E" w:rsidP="0037604E">
            <w:pPr>
              <w:spacing w:after="0" w:line="240" w:lineRule="auto"/>
              <w:ind w:firstLine="0"/>
              <w:rPr>
                <w:rFonts w:asciiTheme="majorHAnsi" w:eastAsia="Times New Roman" w:hAnsiTheme="majorHAnsi" w:cs="Times New Roman"/>
                <w:b/>
                <w:lang w:eastAsia="ro-RO"/>
              </w:rPr>
            </w:pPr>
            <w:r w:rsidRPr="0037604E">
              <w:rPr>
                <w:rFonts w:ascii="Cambria" w:eastAsia="Times New Roman" w:hAnsi="Cambria" w:cs="Times New Roman"/>
                <w:sz w:val="24"/>
                <w:szCs w:val="24"/>
                <w:lang w:val="en-GB" w:eastAsia="ro-RO"/>
              </w:rPr>
              <w:t>Total news</w:t>
            </w:r>
          </w:p>
        </w:tc>
        <w:tc>
          <w:tcPr>
            <w:tcW w:w="1188"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307</w:t>
            </w:r>
          </w:p>
        </w:tc>
        <w:tc>
          <w:tcPr>
            <w:tcW w:w="1054"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195</w:t>
            </w:r>
          </w:p>
        </w:tc>
        <w:tc>
          <w:tcPr>
            <w:tcW w:w="893"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57</w:t>
            </w:r>
          </w:p>
        </w:tc>
        <w:tc>
          <w:tcPr>
            <w:tcW w:w="1661"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100%</w:t>
            </w:r>
          </w:p>
        </w:tc>
        <w:tc>
          <w:tcPr>
            <w:tcW w:w="1462" w:type="dxa"/>
            <w:shd w:val="clear" w:color="auto" w:fill="D6E0F4"/>
            <w:vAlign w:val="center"/>
          </w:tcPr>
          <w:p w:rsidR="0037604E" w:rsidRPr="0037604E" w:rsidRDefault="0037604E" w:rsidP="0037604E">
            <w:pPr>
              <w:spacing w:after="0" w:line="240" w:lineRule="auto"/>
              <w:ind w:firstLine="0"/>
              <w:jc w:val="center"/>
              <w:rPr>
                <w:rFonts w:asciiTheme="majorHAnsi" w:eastAsia="Times New Roman" w:hAnsiTheme="majorHAnsi" w:cs="Times New Roman"/>
                <w:b/>
                <w:lang w:eastAsia="ro-RO"/>
              </w:rPr>
            </w:pPr>
            <w:r w:rsidRPr="0037604E">
              <w:rPr>
                <w:rFonts w:asciiTheme="majorHAnsi" w:eastAsia="Times New Roman" w:hAnsiTheme="majorHAnsi" w:cs="Times New Roman"/>
                <w:b/>
                <w:lang w:eastAsia="ro-RO"/>
              </w:rPr>
              <w:t>100%</w:t>
            </w:r>
          </w:p>
        </w:tc>
      </w:tr>
    </w:tbl>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sz w:val="24"/>
          <w:szCs w:val="24"/>
          <w:lang w:val="en-GB"/>
        </w:rPr>
      </w:pPr>
      <w:r w:rsidRPr="0037604E">
        <w:rPr>
          <w:noProof/>
          <w:lang w:val="ro-RO" w:eastAsia="ro-RO"/>
        </w:rPr>
        <w:drawing>
          <wp:inline distT="0" distB="0" distL="0" distR="0" wp14:anchorId="08159C6C" wp14:editId="401E941B">
            <wp:extent cx="4681538" cy="2028826"/>
            <wp:effectExtent l="0" t="0" r="5080" b="0"/>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7604E" w:rsidRPr="0037604E" w:rsidRDefault="0037604E" w:rsidP="0037604E">
      <w:pPr>
        <w:spacing w:after="0" w:line="240" w:lineRule="auto"/>
        <w:ind w:firstLine="0"/>
        <w:jc w:val="center"/>
        <w:rPr>
          <w:rFonts w:asciiTheme="majorHAnsi" w:eastAsia="Times New Roman" w:hAnsiTheme="majorHAnsi" w:cs="Times New Roman"/>
          <w:b/>
          <w:bCs/>
          <w:i/>
          <w:iCs/>
          <w:sz w:val="16"/>
          <w:szCs w:val="16"/>
        </w:rPr>
      </w:pPr>
    </w:p>
    <w:p w:rsidR="0037604E" w:rsidRPr="0037604E" w:rsidRDefault="0037604E" w:rsidP="0037604E">
      <w:pPr>
        <w:spacing w:after="0" w:line="240" w:lineRule="auto"/>
        <w:ind w:firstLine="0"/>
        <w:jc w:val="center"/>
        <w:rPr>
          <w:rFonts w:asciiTheme="majorHAnsi" w:eastAsia="Times New Roman" w:hAnsiTheme="majorHAnsi" w:cs="Times New Roman"/>
          <w:b/>
          <w:bCs/>
          <w:i/>
          <w:iCs/>
          <w:sz w:val="16"/>
          <w:szCs w:val="16"/>
        </w:rPr>
      </w:pPr>
      <w:r w:rsidRPr="0037604E">
        <w:rPr>
          <w:rFonts w:asciiTheme="majorHAnsi" w:eastAsia="Times New Roman" w:hAnsiTheme="majorHAnsi" w:cs="Times New Roman"/>
          <w:b/>
          <w:bCs/>
          <w:i/>
          <w:iCs/>
          <w:sz w:val="16"/>
          <w:szCs w:val="16"/>
        </w:rPr>
        <w:t>Chart 53- Positive, neutral, negative news on the activity of Transgaz in 2016</w:t>
      </w:r>
    </w:p>
    <w:p w:rsidR="0037604E" w:rsidRPr="0037604E" w:rsidRDefault="0037604E" w:rsidP="0037604E">
      <w:pPr>
        <w:spacing w:after="0" w:line="240" w:lineRule="auto"/>
        <w:ind w:firstLine="0"/>
        <w:rPr>
          <w:rFonts w:ascii="Cambria" w:eastAsia="Times New Roman" w:hAnsi="Cambria" w:cs="Times New Roman"/>
          <w:sz w:val="24"/>
          <w:szCs w:val="24"/>
          <w:lang w:val="en-GB"/>
        </w:rPr>
      </w:pPr>
    </w:p>
    <w:p w:rsidR="0037604E" w:rsidRPr="0037604E" w:rsidRDefault="0037604E" w:rsidP="0037604E">
      <w:pPr>
        <w:spacing w:after="0" w:line="240" w:lineRule="auto"/>
        <w:ind w:firstLine="0"/>
        <w:rPr>
          <w:rFonts w:ascii="Cambria" w:eastAsia="Times New Roman" w:hAnsi="Cambria" w:cs="Times New Roman"/>
          <w:sz w:val="24"/>
          <w:szCs w:val="24"/>
          <w:lang w:val="en-GB"/>
        </w:rPr>
      </w:pPr>
      <w:r w:rsidRPr="0037604E">
        <w:rPr>
          <w:noProof/>
          <w:lang w:val="ro-RO" w:eastAsia="ro-RO"/>
        </w:rPr>
        <w:drawing>
          <wp:inline distT="0" distB="0" distL="0" distR="0" wp14:anchorId="7024A47A" wp14:editId="48C6BFE6">
            <wp:extent cx="5732980" cy="2229492"/>
            <wp:effectExtent l="0" t="0" r="1270"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37604E" w:rsidRPr="0037604E" w:rsidRDefault="0037604E" w:rsidP="0037604E">
      <w:pPr>
        <w:spacing w:after="0" w:line="240" w:lineRule="auto"/>
        <w:ind w:firstLine="0"/>
        <w:jc w:val="center"/>
        <w:rPr>
          <w:rFonts w:asciiTheme="majorHAnsi" w:eastAsia="Times New Roman" w:hAnsiTheme="majorHAnsi" w:cs="Times New Roman"/>
          <w:b/>
          <w:bCs/>
          <w:i/>
          <w:iCs/>
          <w:sz w:val="16"/>
          <w:szCs w:val="16"/>
        </w:rPr>
      </w:pPr>
      <w:r w:rsidRPr="0037604E">
        <w:rPr>
          <w:rFonts w:asciiTheme="majorHAnsi" w:eastAsia="Times New Roman" w:hAnsiTheme="majorHAnsi" w:cs="Times New Roman"/>
          <w:b/>
          <w:bCs/>
          <w:i/>
          <w:iCs/>
          <w:sz w:val="16"/>
          <w:szCs w:val="16"/>
        </w:rPr>
        <w:t>Chart 54- Distribution of positive, neutral, negative news on the activity of Transgaz in 2016</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Theme="majorHAnsi" w:hAnsiTheme="majorHAnsi"/>
          <w:color w:val="FF0000"/>
          <w:sz w:val="24"/>
          <w:szCs w:val="24"/>
        </w:rPr>
      </w:pPr>
      <w:r w:rsidRPr="0037604E">
        <w:rPr>
          <w:rFonts w:asciiTheme="majorHAnsi" w:eastAsia="Times New Roman" w:hAnsiTheme="majorHAnsi" w:cs="Times New Roman"/>
          <w:b/>
          <w:iCs/>
          <w:sz w:val="24"/>
          <w:szCs w:val="24"/>
          <w:lang w:eastAsia="ro-RO"/>
        </w:rPr>
        <w:t xml:space="preserve">In 2016 the negative news decreased by </w:t>
      </w:r>
      <w:r w:rsidRPr="0037604E">
        <w:rPr>
          <w:rFonts w:asciiTheme="majorHAnsi" w:eastAsia="Times New Roman" w:hAnsiTheme="majorHAnsi" w:cs="Times New Roman"/>
          <w:b/>
          <w:sz w:val="24"/>
          <w:szCs w:val="24"/>
          <w:lang w:eastAsia="ro-RO"/>
        </w:rPr>
        <w:t>45% as compared to the previous year and the positive news increased by 165%, which creates a strong and professional image o the company at the nationl and international level.</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CF2860" w:rsidP="0037604E">
      <w:pPr>
        <w:spacing w:after="0" w:line="240" w:lineRule="auto"/>
        <w:ind w:firstLine="0"/>
        <w:jc w:val="both"/>
        <w:rPr>
          <w:rFonts w:ascii="Cambria" w:eastAsia="Times New Roman" w:hAnsi="Cambria" w:cs="Times New Roman"/>
          <w:sz w:val="24"/>
          <w:szCs w:val="24"/>
          <w:lang w:val="en-GB"/>
        </w:rPr>
      </w:pPr>
      <w:r>
        <w:rPr>
          <w:rFonts w:ascii="Cambria" w:eastAsia="Times New Roman" w:hAnsi="Cambria" w:cs="Times New Roman"/>
          <w:sz w:val="24"/>
          <w:szCs w:val="24"/>
          <w:lang w:val="en-GB"/>
        </w:rPr>
        <w:t xml:space="preserve">Total </w:t>
      </w:r>
      <w:r w:rsidR="0037604E" w:rsidRPr="0037604E">
        <w:rPr>
          <w:rFonts w:ascii="Cambria" w:eastAsia="Times New Roman" w:hAnsi="Cambria" w:cs="Times New Roman"/>
          <w:sz w:val="24"/>
          <w:szCs w:val="24"/>
          <w:lang w:val="en-GB"/>
        </w:rPr>
        <w:t>distribution of news in 2016 and classification by subject: investment, financial results, European grants, capital market, development plan:</w:t>
      </w: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rPr>
      </w:pPr>
      <w:r w:rsidRPr="0037604E">
        <w:rPr>
          <w:noProof/>
          <w:lang w:val="ro-RO" w:eastAsia="ro-RO"/>
        </w:rPr>
        <w:lastRenderedPageBreak/>
        <w:drawing>
          <wp:inline distT="0" distB="0" distL="0" distR="0" wp14:anchorId="0BBCC3D5" wp14:editId="63B17DB8">
            <wp:extent cx="5671335" cy="1397285"/>
            <wp:effectExtent l="0" t="0" r="5715" b="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37604E" w:rsidRPr="0037604E" w:rsidRDefault="0037604E" w:rsidP="0037604E">
      <w:pPr>
        <w:spacing w:after="0" w:line="240" w:lineRule="auto"/>
        <w:ind w:firstLine="0"/>
        <w:jc w:val="center"/>
        <w:rPr>
          <w:rFonts w:asciiTheme="majorHAnsi" w:eastAsia="Times New Roman" w:hAnsiTheme="majorHAnsi" w:cs="Times New Roman"/>
          <w:b/>
          <w:bCs/>
          <w:i/>
          <w:iCs/>
          <w:sz w:val="16"/>
          <w:szCs w:val="16"/>
        </w:rPr>
      </w:pPr>
      <w:r w:rsidRPr="0037604E">
        <w:rPr>
          <w:rFonts w:asciiTheme="majorHAnsi" w:eastAsia="Times New Roman" w:hAnsiTheme="majorHAnsi" w:cs="Times New Roman"/>
          <w:b/>
          <w:bCs/>
          <w:i/>
          <w:iCs/>
          <w:sz w:val="16"/>
          <w:szCs w:val="16"/>
        </w:rPr>
        <w:t>Ghart 55- Monitorization of news by theme  – 2016</w:t>
      </w:r>
    </w:p>
    <w:p w:rsidR="0037604E" w:rsidRPr="0037604E" w:rsidRDefault="0037604E" w:rsidP="0037604E">
      <w:pPr>
        <w:spacing w:after="0" w:line="240" w:lineRule="auto"/>
        <w:ind w:firstLine="0"/>
        <w:jc w:val="center"/>
        <w:rPr>
          <w:rFonts w:asciiTheme="majorHAnsi" w:eastAsia="Times New Roman" w:hAnsiTheme="majorHAnsi" w:cs="Times New Roman"/>
          <w:b/>
          <w:bCs/>
          <w:i/>
          <w:iCs/>
          <w:sz w:val="16"/>
          <w:szCs w:val="16"/>
        </w:rPr>
      </w:pPr>
    </w:p>
    <w:p w:rsidR="0037604E" w:rsidRPr="0037604E" w:rsidRDefault="0037604E" w:rsidP="0037604E">
      <w:pPr>
        <w:tabs>
          <w:tab w:val="left" w:pos="-964"/>
          <w:tab w:val="left" w:pos="-154"/>
          <w:tab w:val="left" w:pos="709"/>
        </w:tabs>
        <w:spacing w:after="0" w:line="240" w:lineRule="auto"/>
        <w:ind w:firstLine="0"/>
        <w:jc w:val="both"/>
        <w:rPr>
          <w:rFonts w:asciiTheme="majorHAnsi" w:hAnsiTheme="majorHAnsi"/>
          <w:sz w:val="24"/>
        </w:rPr>
      </w:pPr>
      <w:r w:rsidRPr="0037604E">
        <w:rPr>
          <w:rFonts w:asciiTheme="majorHAnsi" w:eastAsia="Times New Roman" w:hAnsiTheme="majorHAnsi" w:cs="Times New Roman"/>
          <w:sz w:val="24"/>
          <w:szCs w:val="24"/>
          <w:lang w:eastAsia="ro-RO"/>
        </w:rPr>
        <w:t>Distribution by months in year 2016 of references appeared depending of the approached theme is as follows</w:t>
      </w:r>
      <w:r w:rsidRPr="0037604E">
        <w:rPr>
          <w:rFonts w:asciiTheme="majorHAnsi" w:hAnsiTheme="majorHAnsi"/>
          <w:sz w:val="24"/>
        </w:rPr>
        <w:t>:</w:t>
      </w:r>
    </w:p>
    <w:p w:rsidR="0037604E" w:rsidRPr="0037604E" w:rsidRDefault="0037604E" w:rsidP="0037604E">
      <w:pPr>
        <w:spacing w:after="0" w:line="240" w:lineRule="auto"/>
        <w:ind w:firstLine="0"/>
        <w:jc w:val="both"/>
        <w:rPr>
          <w:rFonts w:ascii="Calibri" w:eastAsia="Times New Roman" w:hAnsi="Calibri" w:cs="Times New Roman"/>
          <w:b/>
          <w:noProof/>
          <w:sz w:val="32"/>
          <w:szCs w:val="32"/>
          <w:lang w:val="ro-RO" w:eastAsia="ro-RO"/>
        </w:rPr>
      </w:pPr>
      <w:r w:rsidRPr="0037604E">
        <w:rPr>
          <w:rFonts w:ascii="Cambria" w:eastAsia="Times New Roman" w:hAnsi="Cambria" w:cs="Times New Roman"/>
          <w:b/>
          <w:noProof/>
          <w:sz w:val="24"/>
          <w:szCs w:val="24"/>
          <w:lang w:val="ro-RO" w:eastAsia="ro-RO"/>
        </w:rPr>
        <mc:AlternateContent>
          <mc:Choice Requires="wps">
            <w:drawing>
              <wp:anchor distT="0" distB="0" distL="114300" distR="114300" simplePos="0" relativeHeight="251970560" behindDoc="0" locked="0" layoutInCell="1" allowOverlap="1" wp14:anchorId="2B30F6A7" wp14:editId="10733359">
                <wp:simplePos x="0" y="0"/>
                <wp:positionH relativeFrom="margin">
                  <wp:posOffset>1180531</wp:posOffset>
                </wp:positionH>
                <wp:positionV relativeFrom="paragraph">
                  <wp:posOffset>51681</wp:posOffset>
                </wp:positionV>
                <wp:extent cx="3753134" cy="279779"/>
                <wp:effectExtent l="0" t="0" r="0" b="6350"/>
                <wp:wrapNone/>
                <wp:docPr id="69" name="Text Box 69"/>
                <wp:cNvGraphicFramePr/>
                <a:graphic xmlns:a="http://schemas.openxmlformats.org/drawingml/2006/main">
                  <a:graphicData uri="http://schemas.microsoft.com/office/word/2010/wordprocessingShape">
                    <wps:wsp>
                      <wps:cNvSpPr txBox="1"/>
                      <wps:spPr>
                        <a:xfrm>
                          <a:off x="0" y="0"/>
                          <a:ext cx="3753134" cy="279779"/>
                        </a:xfrm>
                        <a:prstGeom prst="rect">
                          <a:avLst/>
                        </a:prstGeom>
                        <a:solidFill>
                          <a:sysClr val="window" lastClr="FFFFFF"/>
                        </a:solidFill>
                        <a:ln w="6350">
                          <a:noFill/>
                        </a:ln>
                        <a:effectLst/>
                      </wps:spPr>
                      <wps:txbx>
                        <w:txbxContent>
                          <w:p w:rsidR="00CE3BCA" w:rsidRPr="004A7E92" w:rsidRDefault="00CE3BCA" w:rsidP="0037604E">
                            <w:pPr>
                              <w:ind w:firstLine="0"/>
                              <w:rPr>
                                <w:rFonts w:asciiTheme="majorHAnsi" w:hAnsiTheme="majorHAnsi"/>
                                <w:b/>
                                <w:sz w:val="20"/>
                                <w:szCs w:val="2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0F6A7" id="Text Box 69" o:spid="_x0000_s1051" type="#_x0000_t202" style="position:absolute;left:0;text-align:left;margin-left:92.95pt;margin-top:4.05pt;width:295.5pt;height:22.0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" fillcolor="window" stroked="f" strokeweight=".5pt">
                <v:textbox>
                  <w:txbxContent>
                    <w:p w:rsidR="00CE3BCA" w:rsidRPr="004A7E92" w:rsidRDefault="00CE3BCA" w:rsidP="0037604E">
                      <w:pPr>
                        <w:ind w:firstLine="0"/>
                        <w:rPr>
                          <w:rFonts w:asciiTheme="majorHAnsi" w:hAnsiTheme="majorHAnsi"/>
                          <w:b/>
                          <w:sz w:val="20"/>
                          <w:szCs w:val="20"/>
                          <w:lang w:val="en-GB"/>
                        </w:rPr>
                      </w:pPr>
                    </w:p>
                  </w:txbxContent>
                </v:textbox>
                <w10:wrap anchorx="margin"/>
              </v:shape>
            </w:pict>
          </mc:Fallback>
        </mc:AlternateContent>
      </w:r>
    </w:p>
    <w:p w:rsidR="0037604E" w:rsidRPr="0037604E" w:rsidRDefault="0037604E" w:rsidP="0037604E">
      <w:pPr>
        <w:spacing w:after="0" w:line="240" w:lineRule="auto"/>
        <w:ind w:firstLine="0"/>
        <w:jc w:val="both"/>
        <w:rPr>
          <w:rFonts w:ascii="Calibri" w:eastAsia="Times New Roman" w:hAnsi="Calibri" w:cs="Times New Roman"/>
          <w:b/>
          <w:noProof/>
          <w:sz w:val="32"/>
          <w:szCs w:val="32"/>
          <w:lang w:val="ro-RO" w:eastAsia="ro-RO"/>
        </w:rPr>
      </w:pPr>
      <w:r w:rsidRPr="0037604E">
        <w:rPr>
          <w:rFonts w:asciiTheme="majorHAnsi" w:hAnsiTheme="majorHAnsi"/>
          <w:noProof/>
          <w:lang w:val="ro-RO" w:eastAsia="ro-RO"/>
        </w:rPr>
        <w:drawing>
          <wp:inline distT="0" distB="0" distL="0" distR="0" wp14:anchorId="2E85862B" wp14:editId="5378F93C">
            <wp:extent cx="5732145" cy="1628775"/>
            <wp:effectExtent l="0" t="0" r="190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37604E" w:rsidRPr="0037604E" w:rsidRDefault="0037604E" w:rsidP="0037604E">
      <w:pPr>
        <w:ind w:firstLine="0"/>
        <w:jc w:val="center"/>
        <w:rPr>
          <w:rFonts w:asciiTheme="majorHAnsi" w:hAnsiTheme="majorHAnsi"/>
          <w:b/>
          <w:i/>
          <w:sz w:val="18"/>
          <w:szCs w:val="20"/>
          <w:lang w:val="en-GB"/>
        </w:rPr>
      </w:pPr>
      <w:r w:rsidRPr="0037604E">
        <w:rPr>
          <w:rFonts w:asciiTheme="majorHAnsi" w:eastAsia="Times New Roman" w:hAnsiTheme="majorHAnsi" w:cs="Times New Roman"/>
          <w:b/>
          <w:bCs/>
          <w:i/>
          <w:iCs/>
          <w:sz w:val="16"/>
          <w:szCs w:val="16"/>
        </w:rPr>
        <w:t xml:space="preserve">Ghart 56- </w:t>
      </w:r>
      <w:r w:rsidRPr="0037604E">
        <w:rPr>
          <w:rFonts w:asciiTheme="majorHAnsi" w:hAnsiTheme="majorHAnsi"/>
          <w:b/>
          <w:i/>
          <w:sz w:val="18"/>
          <w:szCs w:val="20"/>
          <w:lang w:val="en-GB"/>
        </w:rPr>
        <w:t>Monitorization of news by theme per months - 2016</w:t>
      </w:r>
    </w:p>
    <w:p w:rsidR="0037604E" w:rsidRPr="0037604E" w:rsidRDefault="0037604E" w:rsidP="0037604E">
      <w:pPr>
        <w:spacing w:after="0" w:line="240" w:lineRule="auto"/>
        <w:ind w:firstLine="0"/>
        <w:jc w:val="both"/>
        <w:rPr>
          <w:rFonts w:ascii="Calibri" w:eastAsia="Times New Roman" w:hAnsi="Calibri" w:cs="Times New Roman"/>
          <w:b/>
          <w:sz w:val="32"/>
          <w:szCs w:val="32"/>
          <w:lang w:val="en-GB"/>
        </w:rPr>
      </w:pPr>
    </w:p>
    <w:p w:rsidR="0037604E" w:rsidRPr="0037604E" w:rsidRDefault="0037604E" w:rsidP="0037604E">
      <w:pPr>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share of the references published in 2016 depending on the theme addressed is as follows:</w:t>
      </w:r>
    </w:p>
    <w:p w:rsidR="0037604E" w:rsidRPr="0037604E" w:rsidRDefault="0037604E" w:rsidP="0037604E">
      <w:pPr>
        <w:spacing w:after="0" w:line="240" w:lineRule="auto"/>
        <w:ind w:firstLine="0"/>
        <w:jc w:val="both"/>
        <w:rPr>
          <w:rFonts w:ascii="Cambria" w:eastAsia="Times New Roman" w:hAnsi="Cambria" w:cs="Times New Roman"/>
          <w:b/>
          <w:sz w:val="24"/>
          <w:szCs w:val="24"/>
          <w:u w:val="thick"/>
          <w:lang w:val="en-GB" w:eastAsia="ro-RO"/>
        </w:rPr>
      </w:pPr>
      <w:r w:rsidRPr="0037604E">
        <w:rPr>
          <w:rFonts w:asciiTheme="majorHAnsi" w:hAnsiTheme="majorHAnsi"/>
          <w:noProof/>
          <w:lang w:val="ro-RO" w:eastAsia="ro-RO"/>
        </w:rPr>
        <w:drawing>
          <wp:inline distT="0" distB="0" distL="0" distR="0" wp14:anchorId="62FE55ED" wp14:editId="52334AD9">
            <wp:extent cx="5342562" cy="2075380"/>
            <wp:effectExtent l="0" t="0" r="0" b="1270"/>
            <wp:docPr id="663" name="Chart 6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37604E" w:rsidRPr="0037604E" w:rsidRDefault="0037604E" w:rsidP="0037604E">
      <w:pPr>
        <w:ind w:firstLine="0"/>
        <w:jc w:val="center"/>
        <w:rPr>
          <w:rFonts w:asciiTheme="majorHAnsi" w:hAnsiTheme="majorHAnsi"/>
          <w:b/>
          <w:i/>
          <w:sz w:val="18"/>
          <w:szCs w:val="20"/>
          <w:lang w:val="en-GB"/>
        </w:rPr>
      </w:pPr>
      <w:r w:rsidRPr="0037604E">
        <w:rPr>
          <w:rFonts w:asciiTheme="majorHAnsi" w:hAnsiTheme="majorHAnsi"/>
          <w:b/>
          <w:i/>
          <w:sz w:val="18"/>
          <w:szCs w:val="20"/>
          <w:lang w:val="en-GB"/>
        </w:rPr>
        <w:t>Chart 57 - News share by theme - 2016</w:t>
      </w:r>
    </w:p>
    <w:p w:rsidR="0037604E" w:rsidRPr="0037604E" w:rsidRDefault="0037604E" w:rsidP="0037604E">
      <w:pPr>
        <w:spacing w:after="0" w:line="240" w:lineRule="auto"/>
        <w:ind w:firstLine="0"/>
        <w:jc w:val="both"/>
        <w:rPr>
          <w:rFonts w:ascii="Cambria" w:eastAsia="Times New Roman" w:hAnsi="Cambria" w:cs="Times New Roman"/>
          <w:b/>
          <w:sz w:val="24"/>
          <w:szCs w:val="24"/>
          <w:u w:val="thick"/>
          <w:lang w:val="en-GB" w:eastAsia="ro-RO"/>
        </w:rPr>
      </w:pPr>
    </w:p>
    <w:p w:rsidR="0037604E" w:rsidRPr="0037604E" w:rsidRDefault="00A74DFB" w:rsidP="0037604E">
      <w:pPr>
        <w:spacing w:after="0" w:line="240" w:lineRule="auto"/>
        <w:ind w:firstLine="0"/>
        <w:jc w:val="both"/>
        <w:rPr>
          <w:rFonts w:ascii="Cambria" w:eastAsia="Times New Roman" w:hAnsi="Cambria" w:cs="Times New Roman"/>
          <w:b/>
          <w:sz w:val="24"/>
          <w:szCs w:val="24"/>
          <w:u w:val="thick"/>
          <w:lang w:val="en-GB" w:eastAsia="ro-RO"/>
        </w:rPr>
      </w:pPr>
      <w:r>
        <w:rPr>
          <w:rFonts w:ascii="Cambria" w:eastAsia="Times New Roman" w:hAnsi="Cambria" w:cs="Times New Roman"/>
          <w:b/>
          <w:sz w:val="24"/>
          <w:szCs w:val="24"/>
          <w:u w:val="thick"/>
          <w:lang w:val="en-GB" w:eastAsia="ro-RO"/>
        </w:rPr>
        <w:t>Transgaz’ r</w:t>
      </w:r>
      <w:r w:rsidR="0037604E" w:rsidRPr="0037604E">
        <w:rPr>
          <w:rFonts w:ascii="Cambria" w:eastAsia="Times New Roman" w:hAnsi="Cambria" w:cs="Times New Roman"/>
          <w:b/>
          <w:sz w:val="24"/>
          <w:szCs w:val="24"/>
          <w:u w:val="thick"/>
          <w:lang w:val="en-GB" w:eastAsia="ro-RO"/>
        </w:rPr>
        <w:t>ating</w:t>
      </w:r>
      <w:r>
        <w:rPr>
          <w:rFonts w:ascii="Cambria" w:eastAsia="Times New Roman" w:hAnsi="Cambria" w:cs="Times New Roman"/>
          <w:b/>
          <w:sz w:val="24"/>
          <w:szCs w:val="24"/>
          <w:u w:val="thick"/>
          <w:lang w:val="en-GB" w:eastAsia="ro-RO"/>
        </w:rPr>
        <w:t xml:space="preserve"> review</w:t>
      </w:r>
    </w:p>
    <w:p w:rsidR="0037604E" w:rsidRPr="0037604E" w:rsidRDefault="0037604E" w:rsidP="0037604E">
      <w:pPr>
        <w:spacing w:after="0" w:line="240" w:lineRule="auto"/>
        <w:ind w:firstLine="0"/>
        <w:jc w:val="both"/>
        <w:rPr>
          <w:rFonts w:ascii="Cambria" w:eastAsia="Times New Roman" w:hAnsi="Cambria" w:cs="Times New Roman"/>
          <w:b/>
          <w:sz w:val="24"/>
          <w:szCs w:val="24"/>
          <w:highlight w:val="yellow"/>
          <w:lang w:val="en-GB" w:eastAsia="ro-RO"/>
        </w:rPr>
      </w:pPr>
    </w:p>
    <w:p w:rsidR="0037604E" w:rsidRPr="0037604E" w:rsidRDefault="00B115A4"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Pr>
          <w:rFonts w:ascii="Cambria" w:eastAsia="Times New Roman" w:hAnsi="Cambria" w:cs="Arial"/>
          <w:color w:val="000000"/>
          <w:sz w:val="24"/>
          <w:szCs w:val="24"/>
          <w:lang w:val="en-GB" w:eastAsia="en-US"/>
        </w:rPr>
        <w:t xml:space="preserve">On 24 June </w:t>
      </w:r>
      <w:r w:rsidR="0037604E" w:rsidRPr="0037604E">
        <w:rPr>
          <w:rFonts w:ascii="Cambria" w:eastAsia="Times New Roman" w:hAnsi="Cambria" w:cs="Arial"/>
          <w:color w:val="000000"/>
          <w:sz w:val="24"/>
          <w:szCs w:val="24"/>
          <w:lang w:val="en-GB" w:eastAsia="en-US"/>
        </w:rPr>
        <w:t xml:space="preserve">2015 Standard &amp; Poor's Ratings Services improved Transgaz SA Medias rating from BB to </w:t>
      </w:r>
      <w:r w:rsidR="0037604E" w:rsidRPr="0037604E">
        <w:rPr>
          <w:rFonts w:ascii="Cambria" w:eastAsia="Times New Roman" w:hAnsi="Cambria" w:cs="Arial"/>
          <w:b/>
          <w:color w:val="000000"/>
          <w:sz w:val="24"/>
          <w:szCs w:val="24"/>
          <w:lang w:val="en-GB" w:eastAsia="en-US"/>
        </w:rPr>
        <w:t>BB + with a stable outlook</w:t>
      </w:r>
      <w:r w:rsidR="0037604E" w:rsidRPr="0037604E">
        <w:rPr>
          <w:rFonts w:ascii="Cambria" w:eastAsia="Times New Roman" w:hAnsi="Cambria" w:cs="Arial"/>
          <w:color w:val="000000"/>
          <w:sz w:val="24"/>
          <w:szCs w:val="24"/>
          <w:lang w:val="en-GB" w:eastAsia="en-US"/>
        </w:rPr>
        <w:t xml:space="preserve">, </w:t>
      </w:r>
      <w:r w:rsidR="0037604E" w:rsidRPr="0037604E">
        <w:rPr>
          <w:rFonts w:ascii="Cambria" w:eastAsia="Times New Roman" w:hAnsi="Cambria" w:cs="Arial"/>
          <w:b/>
          <w:color w:val="000000"/>
          <w:sz w:val="24"/>
          <w:szCs w:val="24"/>
          <w:lang w:val="en-GB" w:eastAsia="en-US"/>
        </w:rPr>
        <w:t>rating valid also in 2016</w:t>
      </w:r>
      <w:r w:rsidR="0037604E" w:rsidRPr="0037604E">
        <w:rPr>
          <w:rFonts w:ascii="Cambria" w:eastAsia="Times New Roman" w:hAnsi="Cambria" w:cs="Arial"/>
          <w:color w:val="000000"/>
          <w:sz w:val="24"/>
          <w:szCs w:val="24"/>
          <w:lang w:val="en-GB" w:eastAsia="en-US"/>
        </w:rPr>
        <w:t>.</w:t>
      </w: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The financial rating agency's decision to improve Transgaz rating recognizes the success of the efforts of the management team to improve and modernize the operational and institutional transparency, the investment program of the company.</w:t>
      </w: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At the same time, the rating agency recognized the progress made in the regulator and stabilizing the regulatory framework.</w:t>
      </w: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Among the positive points listed in the Standard &amp; Poor's analysis include:</w:t>
      </w:r>
    </w:p>
    <w:p w:rsidR="0037604E" w:rsidRPr="0037604E" w:rsidRDefault="0037604E" w:rsidP="00FA6EB9">
      <w:pPr>
        <w:numPr>
          <w:ilvl w:val="0"/>
          <w:numId w:val="92"/>
        </w:numPr>
        <w:shd w:val="clear" w:color="auto" w:fill="FFFFFF"/>
        <w:spacing w:after="0" w:line="240" w:lineRule="auto"/>
        <w:contextualSpacing/>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improving the predictability and transparency of the regulatory activity related to the natural gas transmission services in Romania by maintaining unchanged the current framework until the end of the current regulatory period;</w:t>
      </w:r>
    </w:p>
    <w:p w:rsidR="0037604E" w:rsidRPr="0037604E" w:rsidRDefault="0037604E" w:rsidP="00FA6EB9">
      <w:pPr>
        <w:numPr>
          <w:ilvl w:val="0"/>
          <w:numId w:val="92"/>
        </w:numPr>
        <w:shd w:val="clear" w:color="auto" w:fill="FFFFFF"/>
        <w:spacing w:after="0" w:line="240" w:lineRule="auto"/>
        <w:contextualSpacing/>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cash-flow predictability at least until 2017, the end of the regulatory period;</w:t>
      </w:r>
    </w:p>
    <w:p w:rsidR="0037604E" w:rsidRPr="0037604E" w:rsidRDefault="0037604E" w:rsidP="00FA6EB9">
      <w:pPr>
        <w:numPr>
          <w:ilvl w:val="0"/>
          <w:numId w:val="92"/>
        </w:numPr>
        <w:shd w:val="clear" w:color="auto" w:fill="FFFFFF"/>
        <w:spacing w:after="0" w:line="240" w:lineRule="auto"/>
        <w:contextualSpacing/>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increasing the percentage of capacity booking charges to 50%;</w:t>
      </w:r>
    </w:p>
    <w:p w:rsidR="0037604E" w:rsidRPr="0037604E" w:rsidRDefault="0037604E" w:rsidP="00FA6EB9">
      <w:pPr>
        <w:numPr>
          <w:ilvl w:val="0"/>
          <w:numId w:val="92"/>
        </w:numPr>
        <w:shd w:val="clear" w:color="auto" w:fill="FFFFFF"/>
        <w:spacing w:after="0" w:line="240" w:lineRule="auto"/>
        <w:contextualSpacing/>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efficiency gains for five years and pay higher insurance for new investments due to the recognition of unrealized gains from the previous regulatory period;</w:t>
      </w:r>
    </w:p>
    <w:p w:rsidR="0037604E" w:rsidRPr="0037604E" w:rsidRDefault="0037604E" w:rsidP="00FA6EB9">
      <w:pPr>
        <w:numPr>
          <w:ilvl w:val="0"/>
          <w:numId w:val="92"/>
        </w:numPr>
        <w:shd w:val="clear" w:color="auto" w:fill="FFFFFF"/>
        <w:spacing w:after="0" w:line="240" w:lineRule="auto"/>
        <w:contextualSpacing/>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Increasing medium and long term investments starting with the second half of 2015.</w:t>
      </w:r>
    </w:p>
    <w:p w:rsidR="0037604E" w:rsidRPr="0037604E" w:rsidRDefault="0037604E" w:rsidP="0037604E">
      <w:pPr>
        <w:shd w:val="clear" w:color="auto" w:fill="FFFFFF"/>
        <w:spacing w:after="0" w:line="240" w:lineRule="auto"/>
        <w:ind w:left="720" w:firstLine="0"/>
        <w:contextualSpacing/>
        <w:jc w:val="both"/>
        <w:rPr>
          <w:rFonts w:ascii="Cambria" w:eastAsia="Times New Roman" w:hAnsi="Cambria" w:cs="Arial"/>
          <w:color w:val="000000"/>
          <w:sz w:val="24"/>
          <w:szCs w:val="24"/>
          <w:lang w:val="en-GB" w:eastAsia="en-US"/>
        </w:rPr>
      </w:pP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The stable outlook reflects Standard &amp; Poor`s opinion that the regulatory framework was improved, it remains predictable and transparent and Transgaz will get strong financial and operational results in the next two or three years.</w:t>
      </w: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p>
    <w:p w:rsidR="0037604E" w:rsidRPr="0037604E" w:rsidRDefault="0037604E" w:rsidP="0037604E">
      <w:pPr>
        <w:shd w:val="clear" w:color="auto" w:fill="FFFFFF"/>
        <w:spacing w:after="0" w:line="240" w:lineRule="auto"/>
        <w:ind w:firstLine="0"/>
        <w:jc w:val="both"/>
        <w:rPr>
          <w:rFonts w:ascii="Cambria" w:eastAsia="Times New Roman" w:hAnsi="Cambria" w:cs="Arial"/>
          <w:color w:val="000000"/>
          <w:sz w:val="24"/>
          <w:szCs w:val="24"/>
          <w:lang w:val="en-GB" w:eastAsia="en-US"/>
        </w:rPr>
      </w:pPr>
      <w:r w:rsidRPr="0037604E">
        <w:rPr>
          <w:rFonts w:ascii="Cambria" w:eastAsia="Times New Roman" w:hAnsi="Cambria" w:cs="Arial"/>
          <w:color w:val="000000"/>
          <w:sz w:val="24"/>
          <w:szCs w:val="24"/>
          <w:lang w:val="en-GB" w:eastAsia="en-US"/>
        </w:rPr>
        <w:t>The report also notes that an increase in Romania's rating by two notches may result in an improvement in the company's rating  as both the credit profile of the company and government support remain unchanged</w:t>
      </w:r>
    </w:p>
    <w:p w:rsidR="0037604E" w:rsidRPr="0037604E" w:rsidRDefault="0037604E" w:rsidP="00FA6EB9">
      <w:pPr>
        <w:numPr>
          <w:ilvl w:val="0"/>
          <w:numId w:val="66"/>
        </w:numPr>
        <w:spacing w:before="600" w:after="0" w:line="360" w:lineRule="auto"/>
        <w:outlineLvl w:val="0"/>
        <w:rPr>
          <w:rFonts w:asciiTheme="majorHAnsi" w:eastAsia="Times New Roman" w:hAnsiTheme="majorHAnsi" w:cstheme="majorBidi"/>
          <w:b/>
          <w:bCs/>
          <w:iCs/>
          <w:sz w:val="32"/>
          <w:szCs w:val="32"/>
          <w:lang w:val="en-GB"/>
        </w:rPr>
      </w:pPr>
      <w:bookmarkStart w:id="161" w:name="_Toc414263652"/>
      <w:bookmarkStart w:id="162" w:name="_Toc446310888"/>
      <w:r w:rsidRPr="0037604E">
        <w:rPr>
          <w:rFonts w:asciiTheme="majorHAnsi" w:eastAsia="Times New Roman" w:hAnsiTheme="majorHAnsi" w:cstheme="majorBidi"/>
          <w:b/>
          <w:bCs/>
          <w:iCs/>
          <w:sz w:val="32"/>
          <w:szCs w:val="32"/>
          <w:lang w:val="en-GB"/>
        </w:rPr>
        <w:t>ADMINISTRATORS’ DISCHARGE</w:t>
      </w:r>
      <w:bookmarkEnd w:id="161"/>
      <w:bookmarkEnd w:id="162"/>
    </w:p>
    <w:p w:rsidR="0037604E" w:rsidRPr="0037604E" w:rsidRDefault="0037604E" w:rsidP="0037604E">
      <w:pPr>
        <w:tabs>
          <w:tab w:val="left" w:pos="1080"/>
        </w:tabs>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rPr>
      </w:pPr>
      <w:r w:rsidRPr="0037604E">
        <w:rPr>
          <w:rFonts w:ascii="Cambria" w:eastAsia="Times New Roman" w:hAnsi="Cambria" w:cs="Times New Roman"/>
          <w:sz w:val="24"/>
          <w:szCs w:val="24"/>
          <w:lang w:val="en-GB"/>
        </w:rPr>
        <w:t xml:space="preserve">Based on Art. 55 and Art. 56 of GEO 109/2011, </w:t>
      </w:r>
      <w:r w:rsidRPr="0037604E">
        <w:rPr>
          <w:rFonts w:ascii="Cambria" w:eastAsia="Times New Roman" w:hAnsi="Cambria" w:cs="Times New Roman"/>
          <w:bCs/>
          <w:kern w:val="20"/>
          <w:sz w:val="24"/>
          <w:szCs w:val="24"/>
          <w:lang w:val="en-GB" w:eastAsia="ro-RO"/>
        </w:rPr>
        <w:t>as further amended and supplimented</w:t>
      </w:r>
      <w:r w:rsidRPr="0037604E">
        <w:rPr>
          <w:rFonts w:asciiTheme="majorHAnsi" w:hAnsiTheme="majorHAnsi"/>
          <w:sz w:val="24"/>
          <w:szCs w:val="24"/>
          <w:lang w:val="ro-RO"/>
        </w:rPr>
        <w:t xml:space="preserve">, </w:t>
      </w:r>
      <w:r w:rsidRPr="0037604E">
        <w:rPr>
          <w:rFonts w:ascii="Cambria" w:eastAsia="Times New Roman" w:hAnsi="Cambria" w:cs="Times New Roman"/>
          <w:sz w:val="24"/>
          <w:szCs w:val="24"/>
          <w:lang w:val="en-GB"/>
        </w:rPr>
        <w:t xml:space="preserve"> SNTGN Transgaz SA administrators submit for the approval of the General Meeting of the Shareholders the Report issued by the Board of Administration for 2016.</w:t>
      </w: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Considering</w:t>
      </w:r>
      <w:r w:rsidRPr="0037604E">
        <w:rPr>
          <w:rFonts w:ascii="Cambria" w:eastAsia="Times New Roman" w:hAnsi="Cambria" w:cs="Times New Roman"/>
          <w:sz w:val="24"/>
          <w:szCs w:val="24"/>
          <w:lang w:val="en-GB"/>
        </w:rPr>
        <w:t>:</w:t>
      </w:r>
    </w:p>
    <w:p w:rsidR="0037604E" w:rsidRPr="0037604E" w:rsidRDefault="0037604E" w:rsidP="00FA6EB9">
      <w:pPr>
        <w:numPr>
          <w:ilvl w:val="0"/>
          <w:numId w:val="64"/>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bCs/>
          <w:sz w:val="24"/>
          <w:szCs w:val="24"/>
          <w:lang w:val="en-GB"/>
        </w:rPr>
        <w:t xml:space="preserve">Art.111 (2)(d), </w:t>
      </w:r>
      <w:r w:rsidRPr="0037604E">
        <w:rPr>
          <w:rFonts w:asciiTheme="majorHAnsi" w:hAnsiTheme="majorHAnsi"/>
          <w:bCs/>
          <w:sz w:val="24"/>
          <w:szCs w:val="24"/>
        </w:rPr>
        <w:t>Art. 155 and Art. 186 of Companie</w:t>
      </w:r>
      <w:r w:rsidRPr="0037604E">
        <w:rPr>
          <w:rFonts w:asciiTheme="majorHAnsi" w:hAnsiTheme="majorHAnsi"/>
          <w:bCs/>
          <w:sz w:val="24"/>
          <w:szCs w:val="24"/>
          <w:lang w:val="en-GB"/>
        </w:rPr>
        <w:t xml:space="preserve">s` Law </w:t>
      </w:r>
      <w:r w:rsidRPr="0037604E">
        <w:rPr>
          <w:rFonts w:asciiTheme="majorHAnsi" w:hAnsiTheme="majorHAnsi"/>
          <w:bCs/>
          <w:sz w:val="24"/>
          <w:szCs w:val="24"/>
        </w:rPr>
        <w:t>31/1990</w:t>
      </w:r>
      <w:r w:rsidRPr="0037604E">
        <w:rPr>
          <w:rFonts w:asciiTheme="majorHAnsi" w:hAnsiTheme="majorHAnsi"/>
          <w:sz w:val="24"/>
          <w:szCs w:val="24"/>
        </w:rPr>
        <w:t xml:space="preserve"> as further amended and supplemented</w:t>
      </w:r>
      <w:r w:rsidRPr="0037604E">
        <w:rPr>
          <w:rFonts w:ascii="Cambria" w:eastAsia="Times New Roman" w:hAnsi="Cambria" w:cs="Times New Roman"/>
          <w:sz w:val="24"/>
          <w:szCs w:val="24"/>
          <w:lang w:val="en-GB"/>
        </w:rPr>
        <w:t>;</w:t>
      </w:r>
    </w:p>
    <w:p w:rsidR="0037604E" w:rsidRPr="0037604E" w:rsidRDefault="0037604E" w:rsidP="00FA6EB9">
      <w:pPr>
        <w:numPr>
          <w:ilvl w:val="0"/>
          <w:numId w:val="64"/>
        </w:numPr>
        <w:shd w:val="clear" w:color="auto" w:fill="FFFFFF"/>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bCs/>
          <w:sz w:val="24"/>
          <w:szCs w:val="24"/>
          <w:lang w:val="en-GB"/>
        </w:rPr>
        <w:t>Art.15 (3) (h) in the Articles of Incorporation of SNTGN Transgaz SA updated on 29 April 2016</w:t>
      </w:r>
      <w:r w:rsidRPr="0037604E">
        <w:rPr>
          <w:rFonts w:ascii="Cambria" w:eastAsia="Times New Roman" w:hAnsi="Cambria" w:cs="Times New Roman"/>
          <w:sz w:val="24"/>
          <w:szCs w:val="24"/>
          <w:lang w:val="en-GB"/>
        </w:rPr>
        <w:t>;</w:t>
      </w:r>
    </w:p>
    <w:p w:rsidR="0037604E" w:rsidRPr="0037604E" w:rsidRDefault="0037604E" w:rsidP="00FA6EB9">
      <w:pPr>
        <w:numPr>
          <w:ilvl w:val="0"/>
          <w:numId w:val="64"/>
        </w:numPr>
        <w:spacing w:after="0" w:line="240" w:lineRule="auto"/>
        <w:jc w:val="both"/>
        <w:rPr>
          <w:rFonts w:ascii="Cambria" w:eastAsia="Times New Roman" w:hAnsi="Cambria" w:cs="Times New Roman"/>
          <w:sz w:val="24"/>
          <w:szCs w:val="24"/>
          <w:lang w:val="en-GB"/>
        </w:rPr>
      </w:pPr>
      <w:r w:rsidRPr="0037604E">
        <w:rPr>
          <w:rFonts w:ascii="Cambria" w:eastAsia="Times New Roman" w:hAnsi="Cambria" w:cs="Times New Roman"/>
          <w:bCs/>
          <w:sz w:val="24"/>
          <w:szCs w:val="24"/>
          <w:lang w:val="en-GB"/>
        </w:rPr>
        <w:t>Art.4.1 (h) of the Administrators’ Mandate Contract concluded on 30 September 2013,</w:t>
      </w: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eastAsia="ro-RO"/>
        </w:rPr>
      </w:pPr>
      <w:r w:rsidRPr="0037604E">
        <w:rPr>
          <w:rFonts w:ascii="Cambria" w:eastAsia="Times New Roman" w:hAnsi="Cambria" w:cs="Times New Roman"/>
          <w:sz w:val="24"/>
          <w:szCs w:val="24"/>
          <w:lang w:val="en-GB" w:eastAsia="ro-RO"/>
        </w:rPr>
        <w:t>the Company’s administrators submit for the approval of the General Meeting of the Shareholders the discharge from administration for the activity performed in 2016 as presented in this report.</w:t>
      </w: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tabs>
          <w:tab w:val="left" w:pos="1080"/>
        </w:tabs>
        <w:spacing w:after="0" w:line="240" w:lineRule="auto"/>
        <w:ind w:firstLine="0"/>
        <w:jc w:val="both"/>
        <w:rPr>
          <w:rFonts w:ascii="Cambria" w:eastAsia="Times New Roman" w:hAnsi="Cambria" w:cs="Times New Roman"/>
          <w:sz w:val="24"/>
          <w:szCs w:val="24"/>
          <w:lang w:val="en-GB" w:eastAsia="ro-RO"/>
        </w:rPr>
      </w:pPr>
    </w:p>
    <w:p w:rsidR="0037604E" w:rsidRPr="0037604E" w:rsidRDefault="0037604E" w:rsidP="0037604E">
      <w:pPr>
        <w:shd w:val="clear" w:color="auto" w:fill="DBE5F1"/>
        <w:tabs>
          <w:tab w:val="left" w:pos="1080"/>
        </w:tabs>
        <w:spacing w:after="0" w:line="240" w:lineRule="auto"/>
        <w:ind w:firstLine="0"/>
        <w:jc w:val="both"/>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 xml:space="preserve">Note:  </w:t>
      </w:r>
      <w:r w:rsidRPr="0037604E">
        <w:rPr>
          <w:rFonts w:ascii="Cambria" w:eastAsia="Times New Roman" w:hAnsi="Cambria" w:cs="Times New Roman"/>
          <w:b/>
          <w:sz w:val="24"/>
          <w:szCs w:val="24"/>
          <w:lang w:val="en-GB"/>
        </w:rPr>
        <w:t>Annexes 1 and 2 are part of the Report.</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ION STERIAN – Non-executive Administrator – Chairman of the Board of Administration</w:t>
      </w: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 xml:space="preserve">PETRU ION VĂDUVA – Executive Administrator –Director - General </w:t>
      </w: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RADU ŞTEFAN CERNOV –</w:t>
      </w:r>
      <w:r w:rsidRPr="0037604E">
        <w:rPr>
          <w:lang w:val="en-GB"/>
        </w:rPr>
        <w:t xml:space="preserve"> </w:t>
      </w:r>
      <w:r w:rsidRPr="0037604E">
        <w:rPr>
          <w:rFonts w:ascii="Cambria" w:eastAsia="Times New Roman" w:hAnsi="Cambria" w:cs="Times New Roman"/>
          <w:b/>
          <w:sz w:val="24"/>
          <w:szCs w:val="24"/>
          <w:lang w:val="en-GB" w:eastAsia="ro-RO"/>
        </w:rPr>
        <w:t>Non-executive Administrator</w:t>
      </w: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BOGDAN GEORGE ILIESCU - Non-executive Administrator</w:t>
      </w: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rPr>
          <w:rFonts w:ascii="Cambria" w:eastAsia="Times New Roman" w:hAnsi="Cambria" w:cs="Times New Roman"/>
          <w:b/>
          <w:sz w:val="24"/>
          <w:szCs w:val="24"/>
          <w:lang w:val="en-GB" w:eastAsia="ro-RO"/>
        </w:rPr>
      </w:pPr>
      <w:r w:rsidRPr="0037604E">
        <w:rPr>
          <w:rFonts w:ascii="Cambria" w:eastAsia="Times New Roman" w:hAnsi="Cambria" w:cs="Times New Roman"/>
          <w:b/>
          <w:sz w:val="24"/>
          <w:szCs w:val="24"/>
          <w:lang w:val="en-GB" w:eastAsia="ro-RO"/>
        </w:rPr>
        <w:t>ANDREI RIZOIU - Non-executive Administrator</w:t>
      </w: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eastAsia="ro-RO"/>
        </w:rPr>
      </w:pPr>
    </w:p>
    <w:p w:rsidR="0037604E" w:rsidRPr="0037604E" w:rsidRDefault="0037604E" w:rsidP="0037604E">
      <w:pPr>
        <w:spacing w:after="0" w:line="240" w:lineRule="auto"/>
        <w:ind w:firstLine="0"/>
        <w:jc w:val="both"/>
        <w:rPr>
          <w:rFonts w:ascii="Cambria" w:eastAsia="Times New Roman" w:hAnsi="Cambria" w:cs="Times New Roman"/>
          <w:b/>
          <w:sz w:val="24"/>
          <w:szCs w:val="24"/>
          <w:lang w:val="en-GB"/>
        </w:rPr>
      </w:pPr>
    </w:p>
    <w:p w:rsidR="00425223" w:rsidRPr="00425223" w:rsidRDefault="00425223" w:rsidP="0037604E">
      <w:pPr>
        <w:ind w:firstLine="0"/>
        <w:rPr>
          <w:rFonts w:asciiTheme="majorHAnsi" w:hAnsiTheme="majorHAnsi"/>
          <w:sz w:val="24"/>
        </w:rPr>
      </w:pPr>
    </w:p>
    <w:sectPr w:rsidR="00425223" w:rsidRPr="00425223" w:rsidSect="00A3457B">
      <w:headerReference w:type="even" r:id="rId103"/>
      <w:headerReference w:type="default" r:id="rId104"/>
      <w:footerReference w:type="even" r:id="rId105"/>
      <w:footerReference w:type="default" r:id="rId106"/>
      <w:pgSz w:w="11907" w:h="16839" w:code="9"/>
      <w:pgMar w:top="1440" w:right="1440" w:bottom="990" w:left="1440" w:header="576" w:footer="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6E82" w:rsidRDefault="00BD6E82" w:rsidP="00986043">
      <w:pPr>
        <w:spacing w:after="0" w:line="240" w:lineRule="auto"/>
      </w:pPr>
      <w:r>
        <w:separator/>
      </w:r>
    </w:p>
  </w:endnote>
  <w:endnote w:type="continuationSeparator" w:id="0">
    <w:p w:rsidR="00BD6E82" w:rsidRDefault="00BD6E82" w:rsidP="009860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Univers 45 Light">
    <w:altName w:val="Arial"/>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DokChampa">
    <w:panose1 w:val="020B0604020202020204"/>
    <w:charset w:val="00"/>
    <w:family w:val="swiss"/>
    <w:pitch w:val="variable"/>
    <w:sig w:usb0="03000003" w:usb1="00000000" w:usb2="00000000" w:usb3="00000000" w:csb0="0001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1002AFF" w:usb1="C0000002" w:usb2="00000008" w:usb3="00000000" w:csb0="000101FF" w:csb1="00000000"/>
  </w:font>
  <w:font w:name="TT2519o00">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Knockout-HTF31-JuniorMiddlew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BCA" w:rsidRDefault="00CE3BCA">
    <w:pPr>
      <w:pStyle w:val="Footer"/>
      <w:pBdr>
        <w:top w:val="thinThickSmallGap" w:sz="24" w:space="1" w:color="1B2F48" w:themeColor="accent2" w:themeShade="7F"/>
      </w:pBdr>
      <w:rPr>
        <w:rFonts w:asciiTheme="majorHAnsi" w:eastAsiaTheme="majorEastAsia" w:hAnsiTheme="majorHAnsi" w:cstheme="majorBidi"/>
      </w:rPr>
    </w:pPr>
    <w:r>
      <w:rPr>
        <w:rFonts w:ascii="Cambria" w:hAnsi="Cambria"/>
        <w:sz w:val="18"/>
        <w:szCs w:val="18"/>
      </w:rPr>
      <w:t>SNTGN TRANSGAZ SA – Annual report of the Board of administrators for 2014</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t>17</w:t>
    </w:r>
  </w:p>
  <w:p w:rsidR="00CE3BCA" w:rsidRDefault="00CE3BC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BCA" w:rsidRDefault="00CE3BCA">
    <w:pPr>
      <w:pStyle w:val="Footer"/>
      <w:pBdr>
        <w:top w:val="thinThickSmallGap" w:sz="24" w:space="1" w:color="1B2F48" w:themeColor="accent2" w:themeShade="7F"/>
      </w:pBdr>
      <w:rPr>
        <w:rFonts w:asciiTheme="majorHAnsi" w:eastAsiaTheme="majorEastAsia" w:hAnsiTheme="majorHAnsi" w:cstheme="majorBidi"/>
      </w:rPr>
    </w:pPr>
    <w:r>
      <w:t xml:space="preserve">SNTGN TRANSGAZ SA – Report Issued by the Board of Administration for 2016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932E13" w:rsidRPr="00932E13">
      <w:rPr>
        <w:rFonts w:asciiTheme="majorHAnsi" w:eastAsiaTheme="majorEastAsia" w:hAnsiTheme="majorHAnsi" w:cstheme="majorBidi"/>
        <w:noProof/>
      </w:rPr>
      <w:t>0</w:t>
    </w:r>
    <w:r>
      <w:rPr>
        <w:rFonts w:asciiTheme="majorHAnsi" w:eastAsiaTheme="majorEastAsia" w:hAnsiTheme="majorHAnsi" w:cstheme="majorBidi"/>
        <w:noProof/>
      </w:rPr>
      <w:fldChar w:fldCharType="end"/>
    </w:r>
  </w:p>
  <w:p w:rsidR="00CE3BCA" w:rsidRDefault="00CE3B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6E82" w:rsidRDefault="00BD6E82" w:rsidP="00986043">
      <w:pPr>
        <w:spacing w:after="0" w:line="240" w:lineRule="auto"/>
      </w:pPr>
      <w:r>
        <w:separator/>
      </w:r>
    </w:p>
  </w:footnote>
  <w:footnote w:type="continuationSeparator" w:id="0">
    <w:p w:rsidR="00BD6E82" w:rsidRDefault="00BD6E82" w:rsidP="009860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BCA" w:rsidRDefault="00CE3BCA">
    <w:pPr>
      <w:pStyle w:val="Header"/>
    </w:pPr>
    <w:r>
      <w:rPr>
        <w:noProof/>
        <w:lang w:val="ro-RO" w:eastAsia="ro-RO"/>
      </w:rPr>
      <w:drawing>
        <wp:anchor distT="0" distB="0" distL="114300" distR="114300" simplePos="0" relativeHeight="251659264" behindDoc="0" locked="0" layoutInCell="1" allowOverlap="1" wp14:anchorId="520C8BF0" wp14:editId="466156C5">
          <wp:simplePos x="0" y="0"/>
          <wp:positionH relativeFrom="column">
            <wp:posOffset>4819650</wp:posOffset>
          </wp:positionH>
          <wp:positionV relativeFrom="paragraph">
            <wp:posOffset>0</wp:posOffset>
          </wp:positionV>
          <wp:extent cx="1226820" cy="467360"/>
          <wp:effectExtent l="0" t="0" r="0" b="889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E3BCA" w:rsidRDefault="00CE3BCA" w:rsidP="001023E0">
    <w:pPr>
      <w:ind w:firstLine="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3BCA" w:rsidRDefault="00CE3BCA" w:rsidP="004179B5">
    <w:pPr>
      <w:pStyle w:val="Header"/>
    </w:pPr>
    <w:r>
      <w:rPr>
        <w:noProof/>
        <w:lang w:val="ro-RO" w:eastAsia="ro-RO"/>
      </w:rPr>
      <w:drawing>
        <wp:anchor distT="0" distB="0" distL="114300" distR="114300" simplePos="0" relativeHeight="251658240" behindDoc="0" locked="0" layoutInCell="1" allowOverlap="1" wp14:anchorId="1F4AA294" wp14:editId="0D4BC788">
          <wp:simplePos x="0" y="0"/>
          <wp:positionH relativeFrom="column">
            <wp:posOffset>4676775</wp:posOffset>
          </wp:positionH>
          <wp:positionV relativeFrom="paragraph">
            <wp:posOffset>0</wp:posOffset>
          </wp:positionV>
          <wp:extent cx="1226820" cy="467360"/>
          <wp:effectExtent l="0" t="0" r="0" b="8890"/>
          <wp:wrapSquare wrapText="bothSides"/>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6820" cy="46736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mso6EF7"/>
      </v:shape>
    </w:pict>
  </w:numPicBullet>
  <w:abstractNum w:abstractNumId="0" w15:restartNumberingAfterBreak="0">
    <w:nsid w:val="00804A17"/>
    <w:multiLevelType w:val="hybridMultilevel"/>
    <w:tmpl w:val="2E0E2CE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011826C1"/>
    <w:multiLevelType w:val="hybridMultilevel"/>
    <w:tmpl w:val="886C0E46"/>
    <w:lvl w:ilvl="0" w:tplc="03089A92">
      <w:start w:val="1"/>
      <w:numFmt w:val="decimal"/>
      <w:lvlText w:val="%1."/>
      <w:lvlJc w:val="left"/>
      <w:pPr>
        <w:ind w:left="360" w:hanging="360"/>
      </w:pPr>
      <w:rPr>
        <w:rFonts w:hint="default"/>
        <w:color w:val="auto"/>
      </w:rPr>
    </w:lvl>
    <w:lvl w:ilvl="1" w:tplc="3CC494DE">
      <w:start w:val="1"/>
      <w:numFmt w:val="lowerLetter"/>
      <w:lvlText w:val="%2)"/>
      <w:lvlJc w:val="left"/>
      <w:pPr>
        <w:ind w:left="1155" w:hanging="435"/>
      </w:pPr>
      <w:rPr>
        <w:rFonts w:hint="default"/>
      </w:r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 w15:restartNumberingAfterBreak="0">
    <w:nsid w:val="02995F9E"/>
    <w:multiLevelType w:val="hybridMultilevel"/>
    <w:tmpl w:val="11043498"/>
    <w:lvl w:ilvl="0" w:tplc="0418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03266C56"/>
    <w:multiLevelType w:val="hybridMultilevel"/>
    <w:tmpl w:val="1412640C"/>
    <w:lvl w:ilvl="0" w:tplc="0418000F">
      <w:start w:val="1"/>
      <w:numFmt w:val="decimal"/>
      <w:lvlText w:val="%1."/>
      <w:lvlJc w:val="left"/>
      <w:pPr>
        <w:ind w:left="720" w:hanging="360"/>
      </w:pPr>
      <w:rPr>
        <w:b/>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3947AB2"/>
    <w:multiLevelType w:val="hybridMultilevel"/>
    <w:tmpl w:val="C152E77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4457ECF"/>
    <w:multiLevelType w:val="hybridMultilevel"/>
    <w:tmpl w:val="B0705910"/>
    <w:lvl w:ilvl="0" w:tplc="04090005">
      <w:start w:val="1"/>
      <w:numFmt w:val="bullet"/>
      <w:lvlText w:val=""/>
      <w:lvlJc w:val="left"/>
      <w:pPr>
        <w:ind w:left="990" w:hanging="360"/>
      </w:pPr>
      <w:rPr>
        <w:rFonts w:ascii="Wingdings" w:hAnsi="Wingdings" w:hint="default"/>
      </w:rPr>
    </w:lvl>
    <w:lvl w:ilvl="1" w:tplc="BFA6BAE4">
      <w:start w:val="1"/>
      <w:numFmt w:val="bullet"/>
      <w:lvlText w:val=""/>
      <w:lvlJc w:val="right"/>
      <w:pPr>
        <w:ind w:left="935" w:hanging="360"/>
      </w:pPr>
      <w:rPr>
        <w:rFonts w:ascii="Wingdings" w:hAnsi="Wingdings" w:hint="default"/>
      </w:rPr>
    </w:lvl>
    <w:lvl w:ilvl="2" w:tplc="04090005">
      <w:start w:val="1"/>
      <w:numFmt w:val="bullet"/>
      <w:lvlText w:val=""/>
      <w:lvlJc w:val="left"/>
      <w:pPr>
        <w:ind w:left="1655" w:hanging="360"/>
      </w:pPr>
      <w:rPr>
        <w:rFonts w:ascii="Wingdings" w:hAnsi="Wingdings" w:hint="default"/>
      </w:rPr>
    </w:lvl>
    <w:lvl w:ilvl="3" w:tplc="BFA6BAE4">
      <w:start w:val="1"/>
      <w:numFmt w:val="bullet"/>
      <w:lvlText w:val=""/>
      <w:lvlJc w:val="right"/>
      <w:pPr>
        <w:ind w:left="2375" w:hanging="360"/>
      </w:pPr>
      <w:rPr>
        <w:rFonts w:ascii="Wingdings" w:hAnsi="Wingdings" w:hint="default"/>
      </w:rPr>
    </w:lvl>
    <w:lvl w:ilvl="4" w:tplc="BFA6BAE4">
      <w:start w:val="1"/>
      <w:numFmt w:val="bullet"/>
      <w:lvlText w:val=""/>
      <w:lvlJc w:val="right"/>
      <w:pPr>
        <w:ind w:left="3095" w:hanging="360"/>
      </w:pPr>
      <w:rPr>
        <w:rFonts w:ascii="Wingdings" w:hAnsi="Wingdings" w:hint="default"/>
      </w:rPr>
    </w:lvl>
    <w:lvl w:ilvl="5" w:tplc="04090005">
      <w:start w:val="1"/>
      <w:numFmt w:val="bullet"/>
      <w:lvlText w:val=""/>
      <w:lvlJc w:val="left"/>
      <w:pPr>
        <w:ind w:left="3815" w:hanging="360"/>
      </w:pPr>
      <w:rPr>
        <w:rFonts w:ascii="Wingdings" w:hAnsi="Wingdings" w:hint="default"/>
      </w:rPr>
    </w:lvl>
    <w:lvl w:ilvl="6" w:tplc="83105F7C">
      <w:start w:val="1"/>
      <w:numFmt w:val="bullet"/>
      <w:lvlText w:val=""/>
      <w:lvlJc w:val="left"/>
      <w:pPr>
        <w:ind w:left="4535" w:hanging="360"/>
      </w:pPr>
      <w:rPr>
        <w:rFonts w:ascii="Symbol" w:hAnsi="Symbol" w:hint="default"/>
        <w:color w:val="auto"/>
        <w:sz w:val="24"/>
        <w:szCs w:val="24"/>
      </w:rPr>
    </w:lvl>
    <w:lvl w:ilvl="7" w:tplc="04090003">
      <w:start w:val="1"/>
      <w:numFmt w:val="bullet"/>
      <w:lvlText w:val="o"/>
      <w:lvlJc w:val="left"/>
      <w:pPr>
        <w:ind w:left="5255" w:hanging="360"/>
      </w:pPr>
      <w:rPr>
        <w:rFonts w:ascii="Courier New" w:hAnsi="Courier New" w:cs="Courier New" w:hint="default"/>
      </w:rPr>
    </w:lvl>
    <w:lvl w:ilvl="8" w:tplc="04090005" w:tentative="1">
      <w:start w:val="1"/>
      <w:numFmt w:val="bullet"/>
      <w:lvlText w:val=""/>
      <w:lvlJc w:val="left"/>
      <w:pPr>
        <w:ind w:left="5975" w:hanging="360"/>
      </w:pPr>
      <w:rPr>
        <w:rFonts w:ascii="Wingdings" w:hAnsi="Wingdings" w:hint="default"/>
      </w:rPr>
    </w:lvl>
  </w:abstractNum>
  <w:abstractNum w:abstractNumId="6" w15:restartNumberingAfterBreak="0">
    <w:nsid w:val="04863DF8"/>
    <w:multiLevelType w:val="hybridMultilevel"/>
    <w:tmpl w:val="0642842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05942BD7"/>
    <w:multiLevelType w:val="hybridMultilevel"/>
    <w:tmpl w:val="4962B132"/>
    <w:lvl w:ilvl="0" w:tplc="60F4C906">
      <w:start w:val="1"/>
      <w:numFmt w:val="bullet"/>
      <w:lvlText w:val=""/>
      <w:lvlJc w:val="left"/>
      <w:pPr>
        <w:ind w:left="1170" w:hanging="360"/>
      </w:pPr>
      <w:rPr>
        <w:rFonts w:ascii="Wingdings" w:hAnsi="Wingdings" w:hint="default"/>
        <w:sz w:val="24"/>
      </w:rPr>
    </w:lvl>
    <w:lvl w:ilvl="1" w:tplc="04090003" w:tentative="1">
      <w:start w:val="1"/>
      <w:numFmt w:val="bullet"/>
      <w:lvlText w:val="o"/>
      <w:lvlJc w:val="left"/>
      <w:pPr>
        <w:ind w:left="-90" w:hanging="360"/>
      </w:pPr>
      <w:rPr>
        <w:rFonts w:ascii="Courier New" w:hAnsi="Courier New" w:cs="Courier New" w:hint="default"/>
      </w:rPr>
    </w:lvl>
    <w:lvl w:ilvl="2" w:tplc="04090005" w:tentative="1">
      <w:start w:val="1"/>
      <w:numFmt w:val="bullet"/>
      <w:lvlText w:val=""/>
      <w:lvlJc w:val="left"/>
      <w:pPr>
        <w:ind w:left="630" w:hanging="360"/>
      </w:pPr>
      <w:rPr>
        <w:rFonts w:ascii="Wingdings" w:hAnsi="Wingdings" w:hint="default"/>
      </w:rPr>
    </w:lvl>
    <w:lvl w:ilvl="3" w:tplc="04090001" w:tentative="1">
      <w:start w:val="1"/>
      <w:numFmt w:val="bullet"/>
      <w:lvlText w:val=""/>
      <w:lvlJc w:val="left"/>
      <w:pPr>
        <w:ind w:left="1350" w:hanging="360"/>
      </w:pPr>
      <w:rPr>
        <w:rFonts w:ascii="Symbol" w:hAnsi="Symbol" w:hint="default"/>
      </w:rPr>
    </w:lvl>
    <w:lvl w:ilvl="4" w:tplc="04090003" w:tentative="1">
      <w:start w:val="1"/>
      <w:numFmt w:val="bullet"/>
      <w:lvlText w:val="o"/>
      <w:lvlJc w:val="left"/>
      <w:pPr>
        <w:ind w:left="2070" w:hanging="360"/>
      </w:pPr>
      <w:rPr>
        <w:rFonts w:ascii="Courier New" w:hAnsi="Courier New" w:cs="Courier New" w:hint="default"/>
      </w:rPr>
    </w:lvl>
    <w:lvl w:ilvl="5" w:tplc="04090005" w:tentative="1">
      <w:start w:val="1"/>
      <w:numFmt w:val="bullet"/>
      <w:lvlText w:val=""/>
      <w:lvlJc w:val="left"/>
      <w:pPr>
        <w:ind w:left="2790" w:hanging="360"/>
      </w:pPr>
      <w:rPr>
        <w:rFonts w:ascii="Wingdings" w:hAnsi="Wingdings" w:hint="default"/>
      </w:rPr>
    </w:lvl>
    <w:lvl w:ilvl="6" w:tplc="04090001" w:tentative="1">
      <w:start w:val="1"/>
      <w:numFmt w:val="bullet"/>
      <w:lvlText w:val=""/>
      <w:lvlJc w:val="left"/>
      <w:pPr>
        <w:ind w:left="3510" w:hanging="360"/>
      </w:pPr>
      <w:rPr>
        <w:rFonts w:ascii="Symbol" w:hAnsi="Symbol" w:hint="default"/>
      </w:rPr>
    </w:lvl>
    <w:lvl w:ilvl="7" w:tplc="04090003" w:tentative="1">
      <w:start w:val="1"/>
      <w:numFmt w:val="bullet"/>
      <w:lvlText w:val="o"/>
      <w:lvlJc w:val="left"/>
      <w:pPr>
        <w:ind w:left="4230" w:hanging="360"/>
      </w:pPr>
      <w:rPr>
        <w:rFonts w:ascii="Courier New" w:hAnsi="Courier New" w:cs="Courier New" w:hint="default"/>
      </w:rPr>
    </w:lvl>
    <w:lvl w:ilvl="8" w:tplc="04090005" w:tentative="1">
      <w:start w:val="1"/>
      <w:numFmt w:val="bullet"/>
      <w:lvlText w:val=""/>
      <w:lvlJc w:val="left"/>
      <w:pPr>
        <w:ind w:left="4950" w:hanging="360"/>
      </w:pPr>
      <w:rPr>
        <w:rFonts w:ascii="Wingdings" w:hAnsi="Wingdings" w:hint="default"/>
      </w:rPr>
    </w:lvl>
  </w:abstractNum>
  <w:abstractNum w:abstractNumId="8" w15:restartNumberingAfterBreak="0">
    <w:nsid w:val="05955DE6"/>
    <w:multiLevelType w:val="hybridMultilevel"/>
    <w:tmpl w:val="0682025C"/>
    <w:lvl w:ilvl="0" w:tplc="04090005">
      <w:start w:val="1"/>
      <w:numFmt w:val="bullet"/>
      <w:lvlText w:val=""/>
      <w:lvlJc w:val="left"/>
      <w:pPr>
        <w:ind w:left="450" w:hanging="360"/>
      </w:pPr>
      <w:rPr>
        <w:rFonts w:ascii="Wingdings" w:hAnsi="Wingdings" w:hint="default"/>
        <w:color w:val="auto"/>
        <w:sz w:val="24"/>
        <w:szCs w:val="24"/>
        <w:lang w:val="it-I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15:restartNumberingAfterBreak="0">
    <w:nsid w:val="05A65263"/>
    <w:multiLevelType w:val="hybridMultilevel"/>
    <w:tmpl w:val="DADE225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05D43A0B"/>
    <w:multiLevelType w:val="hybridMultilevel"/>
    <w:tmpl w:val="66F8A7A8"/>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1" w15:restartNumberingAfterBreak="0">
    <w:nsid w:val="0720787D"/>
    <w:multiLevelType w:val="hybridMultilevel"/>
    <w:tmpl w:val="664045D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0728301C"/>
    <w:multiLevelType w:val="hybridMultilevel"/>
    <w:tmpl w:val="995AA908"/>
    <w:lvl w:ilvl="0" w:tplc="0418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73525FB"/>
    <w:multiLevelType w:val="hybridMultilevel"/>
    <w:tmpl w:val="90C68C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7945FB7"/>
    <w:multiLevelType w:val="hybridMultilevel"/>
    <w:tmpl w:val="3F448478"/>
    <w:lvl w:ilvl="0" w:tplc="04090005">
      <w:start w:val="1"/>
      <w:numFmt w:val="bullet"/>
      <w:lvlText w:val=""/>
      <w:lvlJc w:val="left"/>
      <w:pPr>
        <w:tabs>
          <w:tab w:val="num" w:pos="396"/>
        </w:tabs>
        <w:ind w:left="396" w:hanging="360"/>
      </w:pPr>
      <w:rPr>
        <w:rFonts w:ascii="Wingdings" w:hAnsi="Wingdings" w:hint="default"/>
      </w:rPr>
    </w:lvl>
    <w:lvl w:ilvl="1" w:tplc="04090003" w:tentative="1">
      <w:start w:val="1"/>
      <w:numFmt w:val="bullet"/>
      <w:lvlText w:val="o"/>
      <w:lvlJc w:val="left"/>
      <w:pPr>
        <w:tabs>
          <w:tab w:val="num" w:pos="1116"/>
        </w:tabs>
        <w:ind w:left="1116" w:hanging="360"/>
      </w:pPr>
      <w:rPr>
        <w:rFonts w:ascii="Courier New" w:hAnsi="Courier New" w:cs="Courier New"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15" w15:restartNumberingAfterBreak="0">
    <w:nsid w:val="07A447FD"/>
    <w:multiLevelType w:val="hybridMultilevel"/>
    <w:tmpl w:val="79040C6E"/>
    <w:lvl w:ilvl="0" w:tplc="04090005">
      <w:start w:val="1"/>
      <w:numFmt w:val="bullet"/>
      <w:lvlText w:val=""/>
      <w:lvlJc w:val="left"/>
      <w:pPr>
        <w:ind w:left="720" w:hanging="360"/>
      </w:pPr>
      <w:rPr>
        <w:rFonts w:ascii="Wingdings" w:hAnsi="Wingdings" w:hint="default"/>
      </w:rPr>
    </w:lvl>
    <w:lvl w:ilvl="1" w:tplc="35A2194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7C67121"/>
    <w:multiLevelType w:val="hybridMultilevel"/>
    <w:tmpl w:val="AA40DB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FF70D4"/>
    <w:multiLevelType w:val="hybridMultilevel"/>
    <w:tmpl w:val="7F9E5B80"/>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087533A8"/>
    <w:multiLevelType w:val="hybridMultilevel"/>
    <w:tmpl w:val="D53AC924"/>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9" w15:restartNumberingAfterBreak="0">
    <w:nsid w:val="09233705"/>
    <w:multiLevelType w:val="hybridMultilevel"/>
    <w:tmpl w:val="B50889A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9315562"/>
    <w:multiLevelType w:val="hybridMultilevel"/>
    <w:tmpl w:val="02B07B6E"/>
    <w:lvl w:ilvl="0" w:tplc="04090005">
      <w:start w:val="1"/>
      <w:numFmt w:val="bullet"/>
      <w:lvlText w:val=""/>
      <w:lvlJc w:val="left"/>
      <w:pPr>
        <w:ind w:left="450" w:hanging="360"/>
      </w:pPr>
      <w:rPr>
        <w:rFonts w:ascii="Wingdings" w:hAnsi="Wingding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1" w15:restartNumberingAfterBreak="0">
    <w:nsid w:val="09AA00FD"/>
    <w:multiLevelType w:val="hybridMultilevel"/>
    <w:tmpl w:val="1554A702"/>
    <w:lvl w:ilvl="0" w:tplc="04090005">
      <w:start w:val="1"/>
      <w:numFmt w:val="bullet"/>
      <w:lvlText w:val=""/>
      <w:lvlJc w:val="left"/>
      <w:pPr>
        <w:ind w:left="360" w:hanging="360"/>
      </w:pPr>
      <w:rPr>
        <w:rFonts w:ascii="Wingdings" w:hAnsi="Wingdings" w:hint="default"/>
        <w:b w:val="0"/>
        <w:i w:val="0"/>
      </w:rPr>
    </w:lvl>
    <w:lvl w:ilvl="1" w:tplc="04180003">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22" w15:restartNumberingAfterBreak="0">
    <w:nsid w:val="0A077092"/>
    <w:multiLevelType w:val="hybridMultilevel"/>
    <w:tmpl w:val="E244EC38"/>
    <w:lvl w:ilvl="0" w:tplc="04090005">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0A7F601A"/>
    <w:multiLevelType w:val="hybridMultilevel"/>
    <w:tmpl w:val="488455B2"/>
    <w:lvl w:ilvl="0" w:tplc="0409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24" w15:restartNumberingAfterBreak="0">
    <w:nsid w:val="0AB169F2"/>
    <w:multiLevelType w:val="hybridMultilevel"/>
    <w:tmpl w:val="4D6A454A"/>
    <w:lvl w:ilvl="0" w:tplc="0DAE106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4A481B"/>
    <w:multiLevelType w:val="hybridMultilevel"/>
    <w:tmpl w:val="EA125744"/>
    <w:lvl w:ilvl="0" w:tplc="0C2E8110">
      <w:start w:val="1"/>
      <w:numFmt w:val="bullet"/>
      <w:lvlText w:val=""/>
      <w:lvlJc w:val="left"/>
      <w:pPr>
        <w:ind w:left="720" w:hanging="360"/>
      </w:pPr>
      <w:rPr>
        <w:rFonts w:ascii="Wingdings" w:hAnsi="Wingdings" w:hint="default"/>
        <w:b/>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DA77082"/>
    <w:multiLevelType w:val="hybridMultilevel"/>
    <w:tmpl w:val="E820D296"/>
    <w:lvl w:ilvl="0" w:tplc="04090005">
      <w:start w:val="1"/>
      <w:numFmt w:val="bullet"/>
      <w:lvlText w:val=""/>
      <w:lvlJc w:val="left"/>
      <w:pPr>
        <w:ind w:left="720" w:hanging="360"/>
      </w:pPr>
      <w:rPr>
        <w:rFonts w:ascii="Wingdings" w:hAnsi="Wingdings" w:hint="default"/>
        <w:color w:val="auto"/>
        <w:sz w:val="24"/>
        <w:szCs w:val="36"/>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0EBC6D0F"/>
    <w:multiLevelType w:val="hybridMultilevel"/>
    <w:tmpl w:val="3DF8DBE8"/>
    <w:lvl w:ilvl="0" w:tplc="0418000B">
      <w:start w:val="1"/>
      <w:numFmt w:val="bullet"/>
      <w:lvlText w:val=""/>
      <w:lvlJc w:val="left"/>
      <w:pPr>
        <w:ind w:left="1080" w:hanging="360"/>
      </w:pPr>
      <w:rPr>
        <w:rFonts w:ascii="Wingdings" w:hAnsi="Wingding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8" w15:restartNumberingAfterBreak="0">
    <w:nsid w:val="0FE90F31"/>
    <w:multiLevelType w:val="hybridMultilevel"/>
    <w:tmpl w:val="0706D64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118D1282"/>
    <w:multiLevelType w:val="hybridMultilevel"/>
    <w:tmpl w:val="95881614"/>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1BE552E"/>
    <w:multiLevelType w:val="hybridMultilevel"/>
    <w:tmpl w:val="F932B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DF0055"/>
    <w:multiLevelType w:val="hybridMultilevel"/>
    <w:tmpl w:val="C39E04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427411F"/>
    <w:multiLevelType w:val="hybridMultilevel"/>
    <w:tmpl w:val="27429CFC"/>
    <w:lvl w:ilvl="0" w:tplc="FFFFFFFF">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3" w15:restartNumberingAfterBreak="0">
    <w:nsid w:val="14996476"/>
    <w:multiLevelType w:val="hybridMultilevel"/>
    <w:tmpl w:val="A9189CDE"/>
    <w:lvl w:ilvl="0" w:tplc="0418000D">
      <w:start w:val="1"/>
      <w:numFmt w:val="bullet"/>
      <w:lvlText w:val=""/>
      <w:lvlJc w:val="left"/>
      <w:pPr>
        <w:ind w:left="1146" w:hanging="360"/>
      </w:pPr>
      <w:rPr>
        <w:rFonts w:ascii="Wingdings" w:hAnsi="Wingdings" w:hint="default"/>
      </w:rPr>
    </w:lvl>
    <w:lvl w:ilvl="1" w:tplc="04180003" w:tentative="1">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34" w15:restartNumberingAfterBreak="0">
    <w:nsid w:val="15B61F24"/>
    <w:multiLevelType w:val="hybridMultilevel"/>
    <w:tmpl w:val="E4EE140A"/>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6B12AEB"/>
    <w:multiLevelType w:val="hybridMultilevel"/>
    <w:tmpl w:val="B6A204F0"/>
    <w:lvl w:ilvl="0" w:tplc="04090005">
      <w:start w:val="1"/>
      <w:numFmt w:val="bullet"/>
      <w:lvlText w:val=""/>
      <w:lvlJc w:val="left"/>
      <w:pPr>
        <w:ind w:left="407" w:hanging="360"/>
      </w:pPr>
      <w:rPr>
        <w:rFonts w:ascii="Wingdings" w:hAnsi="Wingdings" w:hint="default"/>
      </w:rPr>
    </w:lvl>
    <w:lvl w:ilvl="1" w:tplc="04090003" w:tentative="1">
      <w:start w:val="1"/>
      <w:numFmt w:val="bullet"/>
      <w:lvlText w:val="o"/>
      <w:lvlJc w:val="left"/>
      <w:pPr>
        <w:ind w:left="1127" w:hanging="360"/>
      </w:pPr>
      <w:rPr>
        <w:rFonts w:ascii="Courier New" w:hAnsi="Courier New" w:cs="Courier New" w:hint="default"/>
      </w:rPr>
    </w:lvl>
    <w:lvl w:ilvl="2" w:tplc="04090005" w:tentative="1">
      <w:start w:val="1"/>
      <w:numFmt w:val="bullet"/>
      <w:lvlText w:val=""/>
      <w:lvlJc w:val="left"/>
      <w:pPr>
        <w:ind w:left="1847" w:hanging="360"/>
      </w:pPr>
      <w:rPr>
        <w:rFonts w:ascii="Wingdings" w:hAnsi="Wingdings" w:hint="default"/>
      </w:rPr>
    </w:lvl>
    <w:lvl w:ilvl="3" w:tplc="04090001" w:tentative="1">
      <w:start w:val="1"/>
      <w:numFmt w:val="bullet"/>
      <w:lvlText w:val=""/>
      <w:lvlJc w:val="left"/>
      <w:pPr>
        <w:ind w:left="2567" w:hanging="360"/>
      </w:pPr>
      <w:rPr>
        <w:rFonts w:ascii="Symbol" w:hAnsi="Symbol" w:hint="default"/>
      </w:rPr>
    </w:lvl>
    <w:lvl w:ilvl="4" w:tplc="04090003" w:tentative="1">
      <w:start w:val="1"/>
      <w:numFmt w:val="bullet"/>
      <w:lvlText w:val="o"/>
      <w:lvlJc w:val="left"/>
      <w:pPr>
        <w:ind w:left="3287" w:hanging="360"/>
      </w:pPr>
      <w:rPr>
        <w:rFonts w:ascii="Courier New" w:hAnsi="Courier New" w:cs="Courier New" w:hint="default"/>
      </w:rPr>
    </w:lvl>
    <w:lvl w:ilvl="5" w:tplc="04090005" w:tentative="1">
      <w:start w:val="1"/>
      <w:numFmt w:val="bullet"/>
      <w:lvlText w:val=""/>
      <w:lvlJc w:val="left"/>
      <w:pPr>
        <w:ind w:left="4007" w:hanging="360"/>
      </w:pPr>
      <w:rPr>
        <w:rFonts w:ascii="Wingdings" w:hAnsi="Wingdings" w:hint="default"/>
      </w:rPr>
    </w:lvl>
    <w:lvl w:ilvl="6" w:tplc="04090001" w:tentative="1">
      <w:start w:val="1"/>
      <w:numFmt w:val="bullet"/>
      <w:lvlText w:val=""/>
      <w:lvlJc w:val="left"/>
      <w:pPr>
        <w:ind w:left="4727" w:hanging="360"/>
      </w:pPr>
      <w:rPr>
        <w:rFonts w:ascii="Symbol" w:hAnsi="Symbol" w:hint="default"/>
      </w:rPr>
    </w:lvl>
    <w:lvl w:ilvl="7" w:tplc="04090003" w:tentative="1">
      <w:start w:val="1"/>
      <w:numFmt w:val="bullet"/>
      <w:lvlText w:val="o"/>
      <w:lvlJc w:val="left"/>
      <w:pPr>
        <w:ind w:left="5447" w:hanging="360"/>
      </w:pPr>
      <w:rPr>
        <w:rFonts w:ascii="Courier New" w:hAnsi="Courier New" w:cs="Courier New" w:hint="default"/>
      </w:rPr>
    </w:lvl>
    <w:lvl w:ilvl="8" w:tplc="04090005" w:tentative="1">
      <w:start w:val="1"/>
      <w:numFmt w:val="bullet"/>
      <w:lvlText w:val=""/>
      <w:lvlJc w:val="left"/>
      <w:pPr>
        <w:ind w:left="6167" w:hanging="360"/>
      </w:pPr>
      <w:rPr>
        <w:rFonts w:ascii="Wingdings" w:hAnsi="Wingdings" w:hint="default"/>
      </w:rPr>
    </w:lvl>
  </w:abstractNum>
  <w:abstractNum w:abstractNumId="36" w15:restartNumberingAfterBreak="0">
    <w:nsid w:val="16DF301A"/>
    <w:multiLevelType w:val="hybridMultilevel"/>
    <w:tmpl w:val="207C7998"/>
    <w:lvl w:ilvl="0" w:tplc="1F5C6098">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18202604"/>
    <w:multiLevelType w:val="hybridMultilevel"/>
    <w:tmpl w:val="34DAEE8C"/>
    <w:lvl w:ilvl="0" w:tplc="1F5C6098">
      <w:numFmt w:val="bullet"/>
      <w:lvlText w:val="-"/>
      <w:lvlJc w:val="left"/>
      <w:pPr>
        <w:ind w:left="360" w:hanging="360"/>
      </w:pPr>
      <w:rPr>
        <w:rFonts w:ascii="Calibri" w:eastAsia="Times New Roman" w:hAnsi="Calibri" w:cs="Calibri"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8" w15:restartNumberingAfterBreak="0">
    <w:nsid w:val="18232018"/>
    <w:multiLevelType w:val="hybridMultilevel"/>
    <w:tmpl w:val="E702B954"/>
    <w:lvl w:ilvl="0" w:tplc="0418000B">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18AE6FB0"/>
    <w:multiLevelType w:val="hybridMultilevel"/>
    <w:tmpl w:val="DAC8DF8C"/>
    <w:lvl w:ilvl="0" w:tplc="04090005">
      <w:start w:val="1"/>
      <w:numFmt w:val="bullet"/>
      <w:lvlText w:val=""/>
      <w:lvlJc w:val="left"/>
      <w:pPr>
        <w:tabs>
          <w:tab w:val="num" w:pos="396"/>
        </w:tabs>
        <w:ind w:left="396" w:hanging="360"/>
      </w:pPr>
      <w:rPr>
        <w:rFonts w:ascii="Wingdings" w:hAnsi="Wingdings" w:hint="default"/>
      </w:rPr>
    </w:lvl>
    <w:lvl w:ilvl="1" w:tplc="97DA342E">
      <w:numFmt w:val="bullet"/>
      <w:lvlText w:val="-"/>
      <w:lvlJc w:val="left"/>
      <w:pPr>
        <w:tabs>
          <w:tab w:val="num" w:pos="1116"/>
        </w:tabs>
        <w:ind w:left="1116" w:hanging="360"/>
      </w:pPr>
      <w:rPr>
        <w:rFonts w:ascii="Calibri" w:eastAsia="Times New Roman" w:hAnsi="Calibri" w:cs="Times New Roman"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40" w15:restartNumberingAfterBreak="0">
    <w:nsid w:val="19062AFB"/>
    <w:multiLevelType w:val="hybridMultilevel"/>
    <w:tmpl w:val="4EBCD2D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191B4886"/>
    <w:multiLevelType w:val="hybridMultilevel"/>
    <w:tmpl w:val="3FE6CF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A295F21"/>
    <w:multiLevelType w:val="hybridMultilevel"/>
    <w:tmpl w:val="810669FC"/>
    <w:lvl w:ilvl="0" w:tplc="6CAC6406">
      <w:numFmt w:val="bullet"/>
      <w:lvlText w:val=""/>
      <w:lvlJc w:val="left"/>
      <w:pPr>
        <w:ind w:left="1785" w:hanging="360"/>
      </w:pPr>
      <w:rPr>
        <w:rFonts w:ascii="Wingdings" w:eastAsia="Times New Roman" w:hAnsi="Wingdings" w:cs="Times New Roman" w:hint="default"/>
        <w:color w:val="auto"/>
        <w:sz w:val="24"/>
        <w:szCs w:val="24"/>
        <w:lang w:val="it-IT"/>
      </w:rPr>
    </w:lvl>
    <w:lvl w:ilvl="1" w:tplc="04180003" w:tentative="1">
      <w:start w:val="1"/>
      <w:numFmt w:val="bullet"/>
      <w:lvlText w:val="o"/>
      <w:lvlJc w:val="left"/>
      <w:pPr>
        <w:ind w:left="2505" w:hanging="360"/>
      </w:pPr>
      <w:rPr>
        <w:rFonts w:ascii="Courier New" w:hAnsi="Courier New" w:cs="Courier New" w:hint="default"/>
      </w:rPr>
    </w:lvl>
    <w:lvl w:ilvl="2" w:tplc="04180005" w:tentative="1">
      <w:start w:val="1"/>
      <w:numFmt w:val="bullet"/>
      <w:lvlText w:val=""/>
      <w:lvlJc w:val="left"/>
      <w:pPr>
        <w:ind w:left="3225" w:hanging="360"/>
      </w:pPr>
      <w:rPr>
        <w:rFonts w:ascii="Wingdings" w:hAnsi="Wingdings" w:hint="default"/>
      </w:rPr>
    </w:lvl>
    <w:lvl w:ilvl="3" w:tplc="04180001" w:tentative="1">
      <w:start w:val="1"/>
      <w:numFmt w:val="bullet"/>
      <w:lvlText w:val=""/>
      <w:lvlJc w:val="left"/>
      <w:pPr>
        <w:ind w:left="3945" w:hanging="360"/>
      </w:pPr>
      <w:rPr>
        <w:rFonts w:ascii="Symbol" w:hAnsi="Symbol" w:hint="default"/>
      </w:rPr>
    </w:lvl>
    <w:lvl w:ilvl="4" w:tplc="04180003" w:tentative="1">
      <w:start w:val="1"/>
      <w:numFmt w:val="bullet"/>
      <w:lvlText w:val="o"/>
      <w:lvlJc w:val="left"/>
      <w:pPr>
        <w:ind w:left="4665" w:hanging="360"/>
      </w:pPr>
      <w:rPr>
        <w:rFonts w:ascii="Courier New" w:hAnsi="Courier New" w:cs="Courier New" w:hint="default"/>
      </w:rPr>
    </w:lvl>
    <w:lvl w:ilvl="5" w:tplc="04180005" w:tentative="1">
      <w:start w:val="1"/>
      <w:numFmt w:val="bullet"/>
      <w:lvlText w:val=""/>
      <w:lvlJc w:val="left"/>
      <w:pPr>
        <w:ind w:left="5385" w:hanging="360"/>
      </w:pPr>
      <w:rPr>
        <w:rFonts w:ascii="Wingdings" w:hAnsi="Wingdings" w:hint="default"/>
      </w:rPr>
    </w:lvl>
    <w:lvl w:ilvl="6" w:tplc="04180001" w:tentative="1">
      <w:start w:val="1"/>
      <w:numFmt w:val="bullet"/>
      <w:lvlText w:val=""/>
      <w:lvlJc w:val="left"/>
      <w:pPr>
        <w:ind w:left="6105" w:hanging="360"/>
      </w:pPr>
      <w:rPr>
        <w:rFonts w:ascii="Symbol" w:hAnsi="Symbol" w:hint="default"/>
      </w:rPr>
    </w:lvl>
    <w:lvl w:ilvl="7" w:tplc="04180003" w:tentative="1">
      <w:start w:val="1"/>
      <w:numFmt w:val="bullet"/>
      <w:lvlText w:val="o"/>
      <w:lvlJc w:val="left"/>
      <w:pPr>
        <w:ind w:left="6825" w:hanging="360"/>
      </w:pPr>
      <w:rPr>
        <w:rFonts w:ascii="Courier New" w:hAnsi="Courier New" w:cs="Courier New" w:hint="default"/>
      </w:rPr>
    </w:lvl>
    <w:lvl w:ilvl="8" w:tplc="04180005" w:tentative="1">
      <w:start w:val="1"/>
      <w:numFmt w:val="bullet"/>
      <w:lvlText w:val=""/>
      <w:lvlJc w:val="left"/>
      <w:pPr>
        <w:ind w:left="7545" w:hanging="360"/>
      </w:pPr>
      <w:rPr>
        <w:rFonts w:ascii="Wingdings" w:hAnsi="Wingdings" w:hint="default"/>
      </w:rPr>
    </w:lvl>
  </w:abstractNum>
  <w:abstractNum w:abstractNumId="43" w15:restartNumberingAfterBreak="0">
    <w:nsid w:val="1A624831"/>
    <w:multiLevelType w:val="hybridMultilevel"/>
    <w:tmpl w:val="71E28476"/>
    <w:lvl w:ilvl="0" w:tplc="6CAC6406">
      <w:numFmt w:val="bullet"/>
      <w:lvlText w:val=""/>
      <w:lvlJc w:val="left"/>
      <w:pPr>
        <w:ind w:left="1724" w:hanging="360"/>
      </w:pPr>
      <w:rPr>
        <w:rFonts w:ascii="Wingdings" w:eastAsia="Times New Roman" w:hAnsi="Wingdings" w:cs="Times New Roman" w:hint="default"/>
        <w:color w:val="auto"/>
        <w:sz w:val="24"/>
        <w:szCs w:val="24"/>
        <w:lang w:val="it-IT"/>
      </w:rPr>
    </w:lvl>
    <w:lvl w:ilvl="1" w:tplc="04180003" w:tentative="1">
      <w:start w:val="1"/>
      <w:numFmt w:val="bullet"/>
      <w:lvlText w:val="o"/>
      <w:lvlJc w:val="left"/>
      <w:pPr>
        <w:ind w:left="2444" w:hanging="360"/>
      </w:pPr>
      <w:rPr>
        <w:rFonts w:ascii="Courier New" w:hAnsi="Courier New" w:cs="Courier New" w:hint="default"/>
      </w:rPr>
    </w:lvl>
    <w:lvl w:ilvl="2" w:tplc="04180005" w:tentative="1">
      <w:start w:val="1"/>
      <w:numFmt w:val="bullet"/>
      <w:lvlText w:val=""/>
      <w:lvlJc w:val="left"/>
      <w:pPr>
        <w:ind w:left="3164" w:hanging="360"/>
      </w:pPr>
      <w:rPr>
        <w:rFonts w:ascii="Wingdings" w:hAnsi="Wingdings" w:hint="default"/>
      </w:rPr>
    </w:lvl>
    <w:lvl w:ilvl="3" w:tplc="04180001" w:tentative="1">
      <w:start w:val="1"/>
      <w:numFmt w:val="bullet"/>
      <w:lvlText w:val=""/>
      <w:lvlJc w:val="left"/>
      <w:pPr>
        <w:ind w:left="3884" w:hanging="360"/>
      </w:pPr>
      <w:rPr>
        <w:rFonts w:ascii="Symbol" w:hAnsi="Symbol" w:hint="default"/>
      </w:rPr>
    </w:lvl>
    <w:lvl w:ilvl="4" w:tplc="04180003" w:tentative="1">
      <w:start w:val="1"/>
      <w:numFmt w:val="bullet"/>
      <w:lvlText w:val="o"/>
      <w:lvlJc w:val="left"/>
      <w:pPr>
        <w:ind w:left="4604" w:hanging="360"/>
      </w:pPr>
      <w:rPr>
        <w:rFonts w:ascii="Courier New" w:hAnsi="Courier New" w:cs="Courier New" w:hint="default"/>
      </w:rPr>
    </w:lvl>
    <w:lvl w:ilvl="5" w:tplc="04180005" w:tentative="1">
      <w:start w:val="1"/>
      <w:numFmt w:val="bullet"/>
      <w:lvlText w:val=""/>
      <w:lvlJc w:val="left"/>
      <w:pPr>
        <w:ind w:left="5324" w:hanging="360"/>
      </w:pPr>
      <w:rPr>
        <w:rFonts w:ascii="Wingdings" w:hAnsi="Wingdings" w:hint="default"/>
      </w:rPr>
    </w:lvl>
    <w:lvl w:ilvl="6" w:tplc="04180001" w:tentative="1">
      <w:start w:val="1"/>
      <w:numFmt w:val="bullet"/>
      <w:lvlText w:val=""/>
      <w:lvlJc w:val="left"/>
      <w:pPr>
        <w:ind w:left="6044" w:hanging="360"/>
      </w:pPr>
      <w:rPr>
        <w:rFonts w:ascii="Symbol" w:hAnsi="Symbol" w:hint="default"/>
      </w:rPr>
    </w:lvl>
    <w:lvl w:ilvl="7" w:tplc="04180003" w:tentative="1">
      <w:start w:val="1"/>
      <w:numFmt w:val="bullet"/>
      <w:lvlText w:val="o"/>
      <w:lvlJc w:val="left"/>
      <w:pPr>
        <w:ind w:left="6764" w:hanging="360"/>
      </w:pPr>
      <w:rPr>
        <w:rFonts w:ascii="Courier New" w:hAnsi="Courier New" w:cs="Courier New" w:hint="default"/>
      </w:rPr>
    </w:lvl>
    <w:lvl w:ilvl="8" w:tplc="04180005" w:tentative="1">
      <w:start w:val="1"/>
      <w:numFmt w:val="bullet"/>
      <w:lvlText w:val=""/>
      <w:lvlJc w:val="left"/>
      <w:pPr>
        <w:ind w:left="7484" w:hanging="360"/>
      </w:pPr>
      <w:rPr>
        <w:rFonts w:ascii="Wingdings" w:hAnsi="Wingdings" w:hint="default"/>
      </w:rPr>
    </w:lvl>
  </w:abstractNum>
  <w:abstractNum w:abstractNumId="44" w15:restartNumberingAfterBreak="0">
    <w:nsid w:val="1B7A4631"/>
    <w:multiLevelType w:val="hybridMultilevel"/>
    <w:tmpl w:val="23F6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126AB3"/>
    <w:multiLevelType w:val="hybridMultilevel"/>
    <w:tmpl w:val="3B4C6080"/>
    <w:lvl w:ilvl="0" w:tplc="04090005">
      <w:start w:val="1"/>
      <w:numFmt w:val="bullet"/>
      <w:lvlText w:val=""/>
      <w:lvlJc w:val="left"/>
      <w:pPr>
        <w:tabs>
          <w:tab w:val="num" w:pos="540"/>
        </w:tabs>
        <w:ind w:left="540" w:hanging="360"/>
      </w:pPr>
      <w:rPr>
        <w:rFonts w:ascii="Wingdings" w:hAnsi="Wingding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6" w15:restartNumberingAfterBreak="0">
    <w:nsid w:val="1E0020DF"/>
    <w:multiLevelType w:val="hybridMultilevel"/>
    <w:tmpl w:val="8D74FC3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1E0F6460"/>
    <w:multiLevelType w:val="hybridMultilevel"/>
    <w:tmpl w:val="253E4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EB0788F"/>
    <w:multiLevelType w:val="hybridMultilevel"/>
    <w:tmpl w:val="9334985A"/>
    <w:lvl w:ilvl="0" w:tplc="0418000D">
      <w:start w:val="1"/>
      <w:numFmt w:val="bullet"/>
      <w:lvlText w:val=""/>
      <w:lvlJc w:val="left"/>
      <w:pPr>
        <w:ind w:left="1004" w:hanging="360"/>
      </w:pPr>
      <w:rPr>
        <w:rFonts w:ascii="Wingdings" w:hAnsi="Wingdings"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49" w15:restartNumberingAfterBreak="0">
    <w:nsid w:val="1F234347"/>
    <w:multiLevelType w:val="hybridMultilevel"/>
    <w:tmpl w:val="21809C08"/>
    <w:lvl w:ilvl="0" w:tplc="0409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0" w15:restartNumberingAfterBreak="0">
    <w:nsid w:val="1F861393"/>
    <w:multiLevelType w:val="hybridMultilevel"/>
    <w:tmpl w:val="518840C2"/>
    <w:lvl w:ilvl="0" w:tplc="04180005">
      <w:start w:val="1"/>
      <w:numFmt w:val="bullet"/>
      <w:lvlText w:val=""/>
      <w:lvlJc w:val="left"/>
      <w:pPr>
        <w:ind w:left="786" w:hanging="360"/>
      </w:pPr>
      <w:rPr>
        <w:rFonts w:ascii="Wingdings" w:hAnsi="Wingding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0242F60"/>
    <w:multiLevelType w:val="hybridMultilevel"/>
    <w:tmpl w:val="6F22CCC4"/>
    <w:lvl w:ilvl="0" w:tplc="04180001">
      <w:start w:val="1"/>
      <w:numFmt w:val="bullet"/>
      <w:lvlText w:val=""/>
      <w:lvlJc w:val="left"/>
      <w:pPr>
        <w:tabs>
          <w:tab w:val="num" w:pos="360"/>
        </w:tabs>
        <w:ind w:left="360" w:hanging="360"/>
      </w:pPr>
      <w:rPr>
        <w:rFonts w:ascii="Symbol" w:hAnsi="Symbol" w:hint="default"/>
      </w:rPr>
    </w:lvl>
    <w:lvl w:ilvl="1" w:tplc="1C649218">
      <w:numFmt w:val="bullet"/>
      <w:lvlText w:val="-"/>
      <w:lvlJc w:val="left"/>
      <w:pPr>
        <w:tabs>
          <w:tab w:val="num" w:pos="1080"/>
        </w:tabs>
        <w:ind w:left="1080" w:hanging="360"/>
      </w:pPr>
      <w:rPr>
        <w:rFonts w:ascii="Times New Roman" w:eastAsia="Times New Roman" w:hAnsi="Times New Roman" w:cs="Times New Roman"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207F688C"/>
    <w:multiLevelType w:val="hybridMultilevel"/>
    <w:tmpl w:val="522A9706"/>
    <w:lvl w:ilvl="0" w:tplc="0418000D">
      <w:start w:val="1"/>
      <w:numFmt w:val="bullet"/>
      <w:lvlText w:val=""/>
      <w:lvlJc w:val="left"/>
      <w:pPr>
        <w:ind w:left="830" w:hanging="360"/>
      </w:pPr>
      <w:rPr>
        <w:rFonts w:ascii="Wingdings" w:hAnsi="Wingdings" w:hint="default"/>
      </w:rPr>
    </w:lvl>
    <w:lvl w:ilvl="1" w:tplc="04180003" w:tentative="1">
      <w:start w:val="1"/>
      <w:numFmt w:val="bullet"/>
      <w:lvlText w:val="o"/>
      <w:lvlJc w:val="left"/>
      <w:pPr>
        <w:ind w:left="1550" w:hanging="360"/>
      </w:pPr>
      <w:rPr>
        <w:rFonts w:ascii="Courier New" w:hAnsi="Courier New" w:cs="Courier New" w:hint="default"/>
      </w:rPr>
    </w:lvl>
    <w:lvl w:ilvl="2" w:tplc="04180005" w:tentative="1">
      <w:start w:val="1"/>
      <w:numFmt w:val="bullet"/>
      <w:lvlText w:val=""/>
      <w:lvlJc w:val="left"/>
      <w:pPr>
        <w:ind w:left="2270" w:hanging="360"/>
      </w:pPr>
      <w:rPr>
        <w:rFonts w:ascii="Wingdings" w:hAnsi="Wingdings" w:hint="default"/>
      </w:rPr>
    </w:lvl>
    <w:lvl w:ilvl="3" w:tplc="04180001" w:tentative="1">
      <w:start w:val="1"/>
      <w:numFmt w:val="bullet"/>
      <w:lvlText w:val=""/>
      <w:lvlJc w:val="left"/>
      <w:pPr>
        <w:ind w:left="2990" w:hanging="360"/>
      </w:pPr>
      <w:rPr>
        <w:rFonts w:ascii="Symbol" w:hAnsi="Symbol" w:hint="default"/>
      </w:rPr>
    </w:lvl>
    <w:lvl w:ilvl="4" w:tplc="04180003" w:tentative="1">
      <w:start w:val="1"/>
      <w:numFmt w:val="bullet"/>
      <w:lvlText w:val="o"/>
      <w:lvlJc w:val="left"/>
      <w:pPr>
        <w:ind w:left="3710" w:hanging="360"/>
      </w:pPr>
      <w:rPr>
        <w:rFonts w:ascii="Courier New" w:hAnsi="Courier New" w:cs="Courier New" w:hint="default"/>
      </w:rPr>
    </w:lvl>
    <w:lvl w:ilvl="5" w:tplc="04180005" w:tentative="1">
      <w:start w:val="1"/>
      <w:numFmt w:val="bullet"/>
      <w:lvlText w:val=""/>
      <w:lvlJc w:val="left"/>
      <w:pPr>
        <w:ind w:left="4430" w:hanging="360"/>
      </w:pPr>
      <w:rPr>
        <w:rFonts w:ascii="Wingdings" w:hAnsi="Wingdings" w:hint="default"/>
      </w:rPr>
    </w:lvl>
    <w:lvl w:ilvl="6" w:tplc="04180001" w:tentative="1">
      <w:start w:val="1"/>
      <w:numFmt w:val="bullet"/>
      <w:lvlText w:val=""/>
      <w:lvlJc w:val="left"/>
      <w:pPr>
        <w:ind w:left="5150" w:hanging="360"/>
      </w:pPr>
      <w:rPr>
        <w:rFonts w:ascii="Symbol" w:hAnsi="Symbol" w:hint="default"/>
      </w:rPr>
    </w:lvl>
    <w:lvl w:ilvl="7" w:tplc="04180003" w:tentative="1">
      <w:start w:val="1"/>
      <w:numFmt w:val="bullet"/>
      <w:lvlText w:val="o"/>
      <w:lvlJc w:val="left"/>
      <w:pPr>
        <w:ind w:left="5870" w:hanging="360"/>
      </w:pPr>
      <w:rPr>
        <w:rFonts w:ascii="Courier New" w:hAnsi="Courier New" w:cs="Courier New" w:hint="default"/>
      </w:rPr>
    </w:lvl>
    <w:lvl w:ilvl="8" w:tplc="04180005" w:tentative="1">
      <w:start w:val="1"/>
      <w:numFmt w:val="bullet"/>
      <w:lvlText w:val=""/>
      <w:lvlJc w:val="left"/>
      <w:pPr>
        <w:ind w:left="6590" w:hanging="360"/>
      </w:pPr>
      <w:rPr>
        <w:rFonts w:ascii="Wingdings" w:hAnsi="Wingdings" w:hint="default"/>
      </w:rPr>
    </w:lvl>
  </w:abstractNum>
  <w:abstractNum w:abstractNumId="53" w15:restartNumberingAfterBreak="0">
    <w:nsid w:val="21852804"/>
    <w:multiLevelType w:val="hybridMultilevel"/>
    <w:tmpl w:val="A858CA12"/>
    <w:lvl w:ilvl="0" w:tplc="04180005">
      <w:start w:val="1"/>
      <w:numFmt w:val="bullet"/>
      <w:lvlText w:val=""/>
      <w:lvlJc w:val="left"/>
      <w:pPr>
        <w:ind w:left="396" w:hanging="360"/>
      </w:pPr>
      <w:rPr>
        <w:rFonts w:ascii="Wingdings" w:hAnsi="Wingdings" w:hint="default"/>
      </w:rPr>
    </w:lvl>
    <w:lvl w:ilvl="1" w:tplc="04180003" w:tentative="1">
      <w:start w:val="1"/>
      <w:numFmt w:val="bullet"/>
      <w:lvlText w:val="o"/>
      <w:lvlJc w:val="left"/>
      <w:pPr>
        <w:ind w:left="1116" w:hanging="360"/>
      </w:pPr>
      <w:rPr>
        <w:rFonts w:ascii="Courier New" w:hAnsi="Courier New" w:cs="Courier New" w:hint="default"/>
      </w:rPr>
    </w:lvl>
    <w:lvl w:ilvl="2" w:tplc="04180005" w:tentative="1">
      <w:start w:val="1"/>
      <w:numFmt w:val="bullet"/>
      <w:lvlText w:val=""/>
      <w:lvlJc w:val="left"/>
      <w:pPr>
        <w:ind w:left="1836" w:hanging="360"/>
      </w:pPr>
      <w:rPr>
        <w:rFonts w:ascii="Wingdings" w:hAnsi="Wingdings" w:hint="default"/>
      </w:rPr>
    </w:lvl>
    <w:lvl w:ilvl="3" w:tplc="04180001" w:tentative="1">
      <w:start w:val="1"/>
      <w:numFmt w:val="bullet"/>
      <w:lvlText w:val=""/>
      <w:lvlJc w:val="left"/>
      <w:pPr>
        <w:ind w:left="2556" w:hanging="360"/>
      </w:pPr>
      <w:rPr>
        <w:rFonts w:ascii="Symbol" w:hAnsi="Symbol" w:hint="default"/>
      </w:rPr>
    </w:lvl>
    <w:lvl w:ilvl="4" w:tplc="04180003" w:tentative="1">
      <w:start w:val="1"/>
      <w:numFmt w:val="bullet"/>
      <w:lvlText w:val="o"/>
      <w:lvlJc w:val="left"/>
      <w:pPr>
        <w:ind w:left="3276" w:hanging="360"/>
      </w:pPr>
      <w:rPr>
        <w:rFonts w:ascii="Courier New" w:hAnsi="Courier New" w:cs="Courier New" w:hint="default"/>
      </w:rPr>
    </w:lvl>
    <w:lvl w:ilvl="5" w:tplc="04180005" w:tentative="1">
      <w:start w:val="1"/>
      <w:numFmt w:val="bullet"/>
      <w:lvlText w:val=""/>
      <w:lvlJc w:val="left"/>
      <w:pPr>
        <w:ind w:left="3996" w:hanging="360"/>
      </w:pPr>
      <w:rPr>
        <w:rFonts w:ascii="Wingdings" w:hAnsi="Wingdings" w:hint="default"/>
      </w:rPr>
    </w:lvl>
    <w:lvl w:ilvl="6" w:tplc="04180001" w:tentative="1">
      <w:start w:val="1"/>
      <w:numFmt w:val="bullet"/>
      <w:lvlText w:val=""/>
      <w:lvlJc w:val="left"/>
      <w:pPr>
        <w:ind w:left="4716" w:hanging="360"/>
      </w:pPr>
      <w:rPr>
        <w:rFonts w:ascii="Symbol" w:hAnsi="Symbol" w:hint="default"/>
      </w:rPr>
    </w:lvl>
    <w:lvl w:ilvl="7" w:tplc="04180003" w:tentative="1">
      <w:start w:val="1"/>
      <w:numFmt w:val="bullet"/>
      <w:lvlText w:val="o"/>
      <w:lvlJc w:val="left"/>
      <w:pPr>
        <w:ind w:left="5436" w:hanging="360"/>
      </w:pPr>
      <w:rPr>
        <w:rFonts w:ascii="Courier New" w:hAnsi="Courier New" w:cs="Courier New" w:hint="default"/>
      </w:rPr>
    </w:lvl>
    <w:lvl w:ilvl="8" w:tplc="04180005" w:tentative="1">
      <w:start w:val="1"/>
      <w:numFmt w:val="bullet"/>
      <w:lvlText w:val=""/>
      <w:lvlJc w:val="left"/>
      <w:pPr>
        <w:ind w:left="6156" w:hanging="360"/>
      </w:pPr>
      <w:rPr>
        <w:rFonts w:ascii="Wingdings" w:hAnsi="Wingdings" w:hint="default"/>
      </w:rPr>
    </w:lvl>
  </w:abstractNum>
  <w:abstractNum w:abstractNumId="54" w15:restartNumberingAfterBreak="0">
    <w:nsid w:val="22BB11AF"/>
    <w:multiLevelType w:val="hybridMultilevel"/>
    <w:tmpl w:val="39640EA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22EA285D"/>
    <w:multiLevelType w:val="hybridMultilevel"/>
    <w:tmpl w:val="4E243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3FF2280"/>
    <w:multiLevelType w:val="hybridMultilevel"/>
    <w:tmpl w:val="01CC2774"/>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7" w15:restartNumberingAfterBreak="0">
    <w:nsid w:val="249941C6"/>
    <w:multiLevelType w:val="hybridMultilevel"/>
    <w:tmpl w:val="3B1605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4B974E6"/>
    <w:multiLevelType w:val="hybridMultilevel"/>
    <w:tmpl w:val="49CC9E9C"/>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59" w15:restartNumberingAfterBreak="0">
    <w:nsid w:val="29084D5A"/>
    <w:multiLevelType w:val="hybridMultilevel"/>
    <w:tmpl w:val="3B28D8B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295963B3"/>
    <w:multiLevelType w:val="hybridMultilevel"/>
    <w:tmpl w:val="DC0EB7D0"/>
    <w:lvl w:ilvl="0" w:tplc="35008A54">
      <w:start w:val="1"/>
      <w:numFmt w:val="bullet"/>
      <w:lvlText w:val="-"/>
      <w:lvlJc w:val="left"/>
      <w:pPr>
        <w:ind w:left="987" w:hanging="360"/>
      </w:pPr>
      <w:rPr>
        <w:rFonts w:ascii="Sylfaen" w:hAnsi="Sylfaen" w:hint="default"/>
      </w:rPr>
    </w:lvl>
    <w:lvl w:ilvl="1" w:tplc="04090003" w:tentative="1">
      <w:start w:val="1"/>
      <w:numFmt w:val="bullet"/>
      <w:lvlText w:val="o"/>
      <w:lvlJc w:val="left"/>
      <w:pPr>
        <w:ind w:left="1707" w:hanging="360"/>
      </w:pPr>
      <w:rPr>
        <w:rFonts w:ascii="Courier New" w:hAnsi="Courier New" w:cs="Courier New" w:hint="default"/>
      </w:rPr>
    </w:lvl>
    <w:lvl w:ilvl="2" w:tplc="04090005" w:tentative="1">
      <w:start w:val="1"/>
      <w:numFmt w:val="bullet"/>
      <w:lvlText w:val=""/>
      <w:lvlJc w:val="left"/>
      <w:pPr>
        <w:ind w:left="2427" w:hanging="360"/>
      </w:pPr>
      <w:rPr>
        <w:rFonts w:ascii="Wingdings" w:hAnsi="Wingdings" w:hint="default"/>
      </w:rPr>
    </w:lvl>
    <w:lvl w:ilvl="3" w:tplc="04090001" w:tentative="1">
      <w:start w:val="1"/>
      <w:numFmt w:val="bullet"/>
      <w:lvlText w:val=""/>
      <w:lvlJc w:val="left"/>
      <w:pPr>
        <w:ind w:left="3147" w:hanging="360"/>
      </w:pPr>
      <w:rPr>
        <w:rFonts w:ascii="Symbol" w:hAnsi="Symbol" w:hint="default"/>
      </w:rPr>
    </w:lvl>
    <w:lvl w:ilvl="4" w:tplc="04090003" w:tentative="1">
      <w:start w:val="1"/>
      <w:numFmt w:val="bullet"/>
      <w:lvlText w:val="o"/>
      <w:lvlJc w:val="left"/>
      <w:pPr>
        <w:ind w:left="3867" w:hanging="360"/>
      </w:pPr>
      <w:rPr>
        <w:rFonts w:ascii="Courier New" w:hAnsi="Courier New" w:cs="Courier New" w:hint="default"/>
      </w:rPr>
    </w:lvl>
    <w:lvl w:ilvl="5" w:tplc="04090005" w:tentative="1">
      <w:start w:val="1"/>
      <w:numFmt w:val="bullet"/>
      <w:lvlText w:val=""/>
      <w:lvlJc w:val="left"/>
      <w:pPr>
        <w:ind w:left="4587" w:hanging="360"/>
      </w:pPr>
      <w:rPr>
        <w:rFonts w:ascii="Wingdings" w:hAnsi="Wingdings" w:hint="default"/>
      </w:rPr>
    </w:lvl>
    <w:lvl w:ilvl="6" w:tplc="04090001" w:tentative="1">
      <w:start w:val="1"/>
      <w:numFmt w:val="bullet"/>
      <w:lvlText w:val=""/>
      <w:lvlJc w:val="left"/>
      <w:pPr>
        <w:ind w:left="5307" w:hanging="360"/>
      </w:pPr>
      <w:rPr>
        <w:rFonts w:ascii="Symbol" w:hAnsi="Symbol" w:hint="default"/>
      </w:rPr>
    </w:lvl>
    <w:lvl w:ilvl="7" w:tplc="04090003" w:tentative="1">
      <w:start w:val="1"/>
      <w:numFmt w:val="bullet"/>
      <w:lvlText w:val="o"/>
      <w:lvlJc w:val="left"/>
      <w:pPr>
        <w:ind w:left="6027" w:hanging="360"/>
      </w:pPr>
      <w:rPr>
        <w:rFonts w:ascii="Courier New" w:hAnsi="Courier New" w:cs="Courier New" w:hint="default"/>
      </w:rPr>
    </w:lvl>
    <w:lvl w:ilvl="8" w:tplc="04090005" w:tentative="1">
      <w:start w:val="1"/>
      <w:numFmt w:val="bullet"/>
      <w:lvlText w:val=""/>
      <w:lvlJc w:val="left"/>
      <w:pPr>
        <w:ind w:left="6747" w:hanging="360"/>
      </w:pPr>
      <w:rPr>
        <w:rFonts w:ascii="Wingdings" w:hAnsi="Wingdings" w:hint="default"/>
      </w:rPr>
    </w:lvl>
  </w:abstractNum>
  <w:abstractNum w:abstractNumId="61" w15:restartNumberingAfterBreak="0">
    <w:nsid w:val="296423AE"/>
    <w:multiLevelType w:val="hybridMultilevel"/>
    <w:tmpl w:val="32D0C74E"/>
    <w:lvl w:ilvl="0" w:tplc="04090005">
      <w:start w:val="1"/>
      <w:numFmt w:val="bullet"/>
      <w:lvlText w:val=""/>
      <w:lvlJc w:val="left"/>
      <w:pPr>
        <w:ind w:left="540" w:hanging="360"/>
      </w:pPr>
      <w:rPr>
        <w:rFonts w:ascii="Wingdings" w:hAnsi="Wingdings" w:hint="default"/>
      </w:rPr>
    </w:lvl>
    <w:lvl w:ilvl="1" w:tplc="04090003">
      <w:start w:val="1"/>
      <w:numFmt w:val="bullet"/>
      <w:lvlText w:val="o"/>
      <w:lvlJc w:val="left"/>
      <w:pPr>
        <w:ind w:left="1260" w:hanging="360"/>
      </w:pPr>
      <w:rPr>
        <w:rFonts w:ascii="Courier New" w:hAnsi="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62" w15:restartNumberingAfterBreak="0">
    <w:nsid w:val="299F626E"/>
    <w:multiLevelType w:val="hybridMultilevel"/>
    <w:tmpl w:val="C84E15A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A10644C"/>
    <w:multiLevelType w:val="hybridMultilevel"/>
    <w:tmpl w:val="BC34BE6C"/>
    <w:lvl w:ilvl="0" w:tplc="CBA6260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A897B17"/>
    <w:multiLevelType w:val="hybridMultilevel"/>
    <w:tmpl w:val="F7AAC998"/>
    <w:lvl w:ilvl="0" w:tplc="65365CBE">
      <w:start w:val="4"/>
      <w:numFmt w:val="decimal"/>
      <w:lvlText w:val="%1."/>
      <w:lvlJc w:val="left"/>
      <w:pPr>
        <w:ind w:left="720" w:hanging="360"/>
      </w:pPr>
      <w:rPr>
        <w:rFonts w:hint="default"/>
        <w:b/>
        <w:bCs/>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6" w15:restartNumberingAfterBreak="0">
    <w:nsid w:val="2C393A28"/>
    <w:multiLevelType w:val="hybridMultilevel"/>
    <w:tmpl w:val="BD4A3902"/>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7" w15:restartNumberingAfterBreak="0">
    <w:nsid w:val="2C9F0472"/>
    <w:multiLevelType w:val="hybridMultilevel"/>
    <w:tmpl w:val="65D4F76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2D0A1140"/>
    <w:multiLevelType w:val="hybridMultilevel"/>
    <w:tmpl w:val="64162266"/>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69" w15:restartNumberingAfterBreak="0">
    <w:nsid w:val="2D7A617D"/>
    <w:multiLevelType w:val="hybridMultilevel"/>
    <w:tmpl w:val="41B2C2C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2DA54684"/>
    <w:multiLevelType w:val="hybridMultilevel"/>
    <w:tmpl w:val="16AE8F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E941633"/>
    <w:multiLevelType w:val="singleLevel"/>
    <w:tmpl w:val="1F5C6098"/>
    <w:lvl w:ilvl="0">
      <w:numFmt w:val="bullet"/>
      <w:lvlText w:val="-"/>
      <w:lvlJc w:val="left"/>
      <w:pPr>
        <w:ind w:left="360" w:hanging="360"/>
      </w:pPr>
      <w:rPr>
        <w:rFonts w:ascii="Calibri" w:eastAsia="Times New Roman" w:hAnsi="Calibri" w:cs="Calibri" w:hint="default"/>
      </w:rPr>
    </w:lvl>
  </w:abstractNum>
  <w:abstractNum w:abstractNumId="72" w15:restartNumberingAfterBreak="0">
    <w:nsid w:val="2EC85DAD"/>
    <w:multiLevelType w:val="hybridMultilevel"/>
    <w:tmpl w:val="F85A2AE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3" w15:restartNumberingAfterBreak="0">
    <w:nsid w:val="2F1F686C"/>
    <w:multiLevelType w:val="hybridMultilevel"/>
    <w:tmpl w:val="F2FE8506"/>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4" w15:restartNumberingAfterBreak="0">
    <w:nsid w:val="2F7A124F"/>
    <w:multiLevelType w:val="hybridMultilevel"/>
    <w:tmpl w:val="75E42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09D3A11"/>
    <w:multiLevelType w:val="hybridMultilevel"/>
    <w:tmpl w:val="23745B5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15:restartNumberingAfterBreak="0">
    <w:nsid w:val="30EA4EC1"/>
    <w:multiLevelType w:val="hybridMultilevel"/>
    <w:tmpl w:val="F63E3898"/>
    <w:lvl w:ilvl="0" w:tplc="6CAC6406">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78" w15:restartNumberingAfterBreak="0">
    <w:nsid w:val="32941926"/>
    <w:multiLevelType w:val="hybridMultilevel"/>
    <w:tmpl w:val="1D049040"/>
    <w:lvl w:ilvl="0" w:tplc="04090005">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9" w15:restartNumberingAfterBreak="0">
    <w:nsid w:val="33393FC6"/>
    <w:multiLevelType w:val="hybridMultilevel"/>
    <w:tmpl w:val="A68254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743248"/>
    <w:multiLevelType w:val="multilevel"/>
    <w:tmpl w:val="8064F6B4"/>
    <w:lvl w:ilvl="0">
      <w:start w:val="1"/>
      <w:numFmt w:val="decimal"/>
      <w:lvlText w:val="%1"/>
      <w:lvlJc w:val="left"/>
      <w:pPr>
        <w:tabs>
          <w:tab w:val="num" w:pos="360"/>
        </w:tabs>
        <w:ind w:left="360" w:hanging="360"/>
      </w:pPr>
      <w:rPr>
        <w:rFonts w:hint="default"/>
      </w:rPr>
    </w:lvl>
    <w:lvl w:ilvl="1">
      <w:start w:val="1"/>
      <w:numFmt w:val="bullet"/>
      <w:lvlText w:val=""/>
      <w:lvlJc w:val="left"/>
      <w:pPr>
        <w:tabs>
          <w:tab w:val="num" w:pos="360"/>
        </w:tabs>
        <w:ind w:left="360" w:hanging="360"/>
      </w:pPr>
      <w:rPr>
        <w:rFonts w:ascii="Wingdings" w:hAnsi="Wingdings" w:hint="default"/>
        <w:b/>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81" w15:restartNumberingAfterBreak="0">
    <w:nsid w:val="35292095"/>
    <w:multiLevelType w:val="hybridMultilevel"/>
    <w:tmpl w:val="78084194"/>
    <w:lvl w:ilvl="0" w:tplc="04090005">
      <w:start w:val="1"/>
      <w:numFmt w:val="bullet"/>
      <w:lvlText w:val=""/>
      <w:lvlJc w:val="left"/>
      <w:pPr>
        <w:ind w:left="630" w:hanging="360"/>
      </w:pPr>
      <w:rPr>
        <w:rFonts w:ascii="Wingdings" w:hAnsi="Wingdings" w:hint="default"/>
      </w:rPr>
    </w:lvl>
    <w:lvl w:ilvl="1" w:tplc="04180003" w:tentative="1">
      <w:start w:val="1"/>
      <w:numFmt w:val="bullet"/>
      <w:lvlText w:val="o"/>
      <w:lvlJc w:val="left"/>
      <w:pPr>
        <w:ind w:left="1350" w:hanging="360"/>
      </w:pPr>
      <w:rPr>
        <w:rFonts w:ascii="Courier New" w:hAnsi="Courier New" w:cs="Courier New" w:hint="default"/>
      </w:rPr>
    </w:lvl>
    <w:lvl w:ilvl="2" w:tplc="04180005" w:tentative="1">
      <w:start w:val="1"/>
      <w:numFmt w:val="bullet"/>
      <w:lvlText w:val=""/>
      <w:lvlJc w:val="left"/>
      <w:pPr>
        <w:ind w:left="2070" w:hanging="360"/>
      </w:pPr>
      <w:rPr>
        <w:rFonts w:ascii="Wingdings" w:hAnsi="Wingdings" w:hint="default"/>
      </w:rPr>
    </w:lvl>
    <w:lvl w:ilvl="3" w:tplc="04180001" w:tentative="1">
      <w:start w:val="1"/>
      <w:numFmt w:val="bullet"/>
      <w:lvlText w:val=""/>
      <w:lvlJc w:val="left"/>
      <w:pPr>
        <w:ind w:left="2790" w:hanging="360"/>
      </w:pPr>
      <w:rPr>
        <w:rFonts w:ascii="Symbol" w:hAnsi="Symbol" w:hint="default"/>
      </w:rPr>
    </w:lvl>
    <w:lvl w:ilvl="4" w:tplc="04180003" w:tentative="1">
      <w:start w:val="1"/>
      <w:numFmt w:val="bullet"/>
      <w:lvlText w:val="o"/>
      <w:lvlJc w:val="left"/>
      <w:pPr>
        <w:ind w:left="3510" w:hanging="360"/>
      </w:pPr>
      <w:rPr>
        <w:rFonts w:ascii="Courier New" w:hAnsi="Courier New" w:cs="Courier New" w:hint="default"/>
      </w:rPr>
    </w:lvl>
    <w:lvl w:ilvl="5" w:tplc="04180005" w:tentative="1">
      <w:start w:val="1"/>
      <w:numFmt w:val="bullet"/>
      <w:lvlText w:val=""/>
      <w:lvlJc w:val="left"/>
      <w:pPr>
        <w:ind w:left="4230" w:hanging="360"/>
      </w:pPr>
      <w:rPr>
        <w:rFonts w:ascii="Wingdings" w:hAnsi="Wingdings" w:hint="default"/>
      </w:rPr>
    </w:lvl>
    <w:lvl w:ilvl="6" w:tplc="04180001" w:tentative="1">
      <w:start w:val="1"/>
      <w:numFmt w:val="bullet"/>
      <w:lvlText w:val=""/>
      <w:lvlJc w:val="left"/>
      <w:pPr>
        <w:ind w:left="4950" w:hanging="360"/>
      </w:pPr>
      <w:rPr>
        <w:rFonts w:ascii="Symbol" w:hAnsi="Symbol" w:hint="default"/>
      </w:rPr>
    </w:lvl>
    <w:lvl w:ilvl="7" w:tplc="04180003" w:tentative="1">
      <w:start w:val="1"/>
      <w:numFmt w:val="bullet"/>
      <w:lvlText w:val="o"/>
      <w:lvlJc w:val="left"/>
      <w:pPr>
        <w:ind w:left="5670" w:hanging="360"/>
      </w:pPr>
      <w:rPr>
        <w:rFonts w:ascii="Courier New" w:hAnsi="Courier New" w:cs="Courier New" w:hint="default"/>
      </w:rPr>
    </w:lvl>
    <w:lvl w:ilvl="8" w:tplc="04180005" w:tentative="1">
      <w:start w:val="1"/>
      <w:numFmt w:val="bullet"/>
      <w:lvlText w:val=""/>
      <w:lvlJc w:val="left"/>
      <w:pPr>
        <w:ind w:left="6390" w:hanging="360"/>
      </w:pPr>
      <w:rPr>
        <w:rFonts w:ascii="Wingdings" w:hAnsi="Wingdings" w:hint="default"/>
      </w:rPr>
    </w:lvl>
  </w:abstractNum>
  <w:abstractNum w:abstractNumId="82" w15:restartNumberingAfterBreak="0">
    <w:nsid w:val="352933D4"/>
    <w:multiLevelType w:val="hybridMultilevel"/>
    <w:tmpl w:val="154EC67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15:restartNumberingAfterBreak="0">
    <w:nsid w:val="36226F75"/>
    <w:multiLevelType w:val="hybridMultilevel"/>
    <w:tmpl w:val="50867D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7770CF1"/>
    <w:multiLevelType w:val="hybridMultilevel"/>
    <w:tmpl w:val="64BAA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7880C76"/>
    <w:multiLevelType w:val="hybridMultilevel"/>
    <w:tmpl w:val="0BC03202"/>
    <w:lvl w:ilvl="0" w:tplc="0418000D">
      <w:start w:val="1"/>
      <w:numFmt w:val="bullet"/>
      <w:lvlText w:val=""/>
      <w:lvlJc w:val="left"/>
      <w:pPr>
        <w:ind w:left="1069" w:hanging="360"/>
      </w:pPr>
      <w:rPr>
        <w:rFonts w:ascii="Wingdings" w:hAnsi="Wingdings"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86" w15:restartNumberingAfterBreak="0">
    <w:nsid w:val="389731E3"/>
    <w:multiLevelType w:val="hybridMultilevel"/>
    <w:tmpl w:val="C1AC763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38F8367E"/>
    <w:multiLevelType w:val="hybridMultilevel"/>
    <w:tmpl w:val="878A51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91E73BE"/>
    <w:multiLevelType w:val="hybridMultilevel"/>
    <w:tmpl w:val="3B56B5BE"/>
    <w:lvl w:ilvl="0" w:tplc="6CAC6406">
      <w:numFmt w:val="bullet"/>
      <w:lvlText w:val=""/>
      <w:lvlJc w:val="left"/>
      <w:pPr>
        <w:ind w:left="1260" w:hanging="360"/>
      </w:pPr>
      <w:rPr>
        <w:rFonts w:ascii="Wingdings" w:eastAsia="Times New Roman" w:hAnsi="Wingdings" w:cs="Times New Roman" w:hint="default"/>
        <w:color w:val="auto"/>
        <w:sz w:val="24"/>
        <w:szCs w:val="24"/>
        <w:lang w:val="it-IT"/>
      </w:rPr>
    </w:lvl>
    <w:lvl w:ilvl="1" w:tplc="842038B8">
      <w:start w:val="1"/>
      <w:numFmt w:val="bullet"/>
      <w:lvlText w:val="-"/>
      <w:lvlJc w:val="left"/>
      <w:pPr>
        <w:ind w:left="1980" w:hanging="360"/>
      </w:pPr>
      <w:rPr>
        <w:rFonts w:ascii="Cambria" w:hAnsi="Cambria"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9" w15:restartNumberingAfterBreak="0">
    <w:nsid w:val="3AA22879"/>
    <w:multiLevelType w:val="hybridMultilevel"/>
    <w:tmpl w:val="C2165A30"/>
    <w:lvl w:ilvl="0" w:tplc="04090005">
      <w:start w:val="1"/>
      <w:numFmt w:val="bullet"/>
      <w:lvlText w:val=""/>
      <w:lvlJc w:val="left"/>
      <w:pPr>
        <w:tabs>
          <w:tab w:val="num" w:pos="450"/>
        </w:tabs>
        <w:ind w:left="450" w:hanging="360"/>
      </w:pPr>
      <w:rPr>
        <w:rFonts w:ascii="Wingdings" w:hAnsi="Wingdings" w:hint="default"/>
        <w:i w:val="0"/>
      </w:rPr>
    </w:lvl>
    <w:lvl w:ilvl="1" w:tplc="04180019">
      <w:start w:val="1"/>
      <w:numFmt w:val="lowerLetter"/>
      <w:lvlText w:val="%2."/>
      <w:lvlJc w:val="left"/>
      <w:pPr>
        <w:ind w:left="-2015" w:hanging="360"/>
      </w:pPr>
    </w:lvl>
    <w:lvl w:ilvl="2" w:tplc="0418001B" w:tentative="1">
      <w:start w:val="1"/>
      <w:numFmt w:val="lowerRoman"/>
      <w:lvlText w:val="%3."/>
      <w:lvlJc w:val="right"/>
      <w:pPr>
        <w:ind w:left="-1295" w:hanging="180"/>
      </w:pPr>
    </w:lvl>
    <w:lvl w:ilvl="3" w:tplc="0418000F" w:tentative="1">
      <w:start w:val="1"/>
      <w:numFmt w:val="decimal"/>
      <w:lvlText w:val="%4."/>
      <w:lvlJc w:val="left"/>
      <w:pPr>
        <w:ind w:left="-575" w:hanging="360"/>
      </w:pPr>
    </w:lvl>
    <w:lvl w:ilvl="4" w:tplc="04180019" w:tentative="1">
      <w:start w:val="1"/>
      <w:numFmt w:val="lowerLetter"/>
      <w:lvlText w:val="%5."/>
      <w:lvlJc w:val="left"/>
      <w:pPr>
        <w:ind w:left="145" w:hanging="360"/>
      </w:pPr>
    </w:lvl>
    <w:lvl w:ilvl="5" w:tplc="0418001B" w:tentative="1">
      <w:start w:val="1"/>
      <w:numFmt w:val="lowerRoman"/>
      <w:lvlText w:val="%6."/>
      <w:lvlJc w:val="right"/>
      <w:pPr>
        <w:ind w:left="865" w:hanging="180"/>
      </w:pPr>
    </w:lvl>
    <w:lvl w:ilvl="6" w:tplc="0418000F" w:tentative="1">
      <w:start w:val="1"/>
      <w:numFmt w:val="decimal"/>
      <w:lvlText w:val="%7."/>
      <w:lvlJc w:val="left"/>
      <w:pPr>
        <w:ind w:left="1585" w:hanging="360"/>
      </w:pPr>
    </w:lvl>
    <w:lvl w:ilvl="7" w:tplc="04180019" w:tentative="1">
      <w:start w:val="1"/>
      <w:numFmt w:val="lowerLetter"/>
      <w:lvlText w:val="%8."/>
      <w:lvlJc w:val="left"/>
      <w:pPr>
        <w:ind w:left="2305" w:hanging="360"/>
      </w:pPr>
    </w:lvl>
    <w:lvl w:ilvl="8" w:tplc="0418001B" w:tentative="1">
      <w:start w:val="1"/>
      <w:numFmt w:val="lowerRoman"/>
      <w:lvlText w:val="%9."/>
      <w:lvlJc w:val="right"/>
      <w:pPr>
        <w:ind w:left="3025" w:hanging="180"/>
      </w:pPr>
    </w:lvl>
  </w:abstractNum>
  <w:abstractNum w:abstractNumId="90" w15:restartNumberingAfterBreak="0">
    <w:nsid w:val="3B335F15"/>
    <w:multiLevelType w:val="hybridMultilevel"/>
    <w:tmpl w:val="5532B57A"/>
    <w:lvl w:ilvl="0" w:tplc="1C64921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3BBA0B14"/>
    <w:multiLevelType w:val="hybridMultilevel"/>
    <w:tmpl w:val="62AE0A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BED257C"/>
    <w:multiLevelType w:val="hybridMultilevel"/>
    <w:tmpl w:val="FE581A04"/>
    <w:lvl w:ilvl="0" w:tplc="ED8A48E6">
      <w:numFmt w:val="bullet"/>
      <w:lvlText w:val="-"/>
      <w:lvlJc w:val="left"/>
      <w:pPr>
        <w:tabs>
          <w:tab w:val="num" w:pos="450"/>
        </w:tabs>
        <w:ind w:left="450" w:hanging="360"/>
      </w:pPr>
      <w:rPr>
        <w:rFonts w:ascii="Calibri" w:eastAsia="Times New Roman" w:hAnsi="Calibri" w:cs="Times New Roman"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93" w15:restartNumberingAfterBreak="0">
    <w:nsid w:val="3C39232E"/>
    <w:multiLevelType w:val="hybridMultilevel"/>
    <w:tmpl w:val="B3F2F29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D053758"/>
    <w:multiLevelType w:val="hybridMultilevel"/>
    <w:tmpl w:val="DC36934E"/>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95" w15:restartNumberingAfterBreak="0">
    <w:nsid w:val="3D76273A"/>
    <w:multiLevelType w:val="hybridMultilevel"/>
    <w:tmpl w:val="2A06B1E0"/>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96" w15:restartNumberingAfterBreak="0">
    <w:nsid w:val="3DA775C6"/>
    <w:multiLevelType w:val="hybridMultilevel"/>
    <w:tmpl w:val="C1649B8E"/>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7" w15:restartNumberingAfterBreak="0">
    <w:nsid w:val="3E5B5F5D"/>
    <w:multiLevelType w:val="hybridMultilevel"/>
    <w:tmpl w:val="2D00DA94"/>
    <w:lvl w:ilvl="0" w:tplc="FFFFFFFF">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360"/>
        </w:tabs>
        <w:ind w:left="-360" w:hanging="360"/>
      </w:pPr>
      <w:rPr>
        <w:rFonts w:ascii="Wingdings" w:hAnsi="Wingdings" w:hint="default"/>
      </w:rPr>
    </w:lvl>
    <w:lvl w:ilvl="3" w:tplc="FFFFFFFF" w:tentative="1">
      <w:start w:val="1"/>
      <w:numFmt w:val="bullet"/>
      <w:lvlText w:val=""/>
      <w:lvlJc w:val="left"/>
      <w:pPr>
        <w:tabs>
          <w:tab w:val="num" w:pos="360"/>
        </w:tabs>
        <w:ind w:left="360" w:hanging="360"/>
      </w:pPr>
      <w:rPr>
        <w:rFonts w:ascii="Symbol" w:hAnsi="Symbol" w:hint="default"/>
      </w:rPr>
    </w:lvl>
    <w:lvl w:ilvl="4" w:tplc="FFFFFFFF" w:tentative="1">
      <w:start w:val="1"/>
      <w:numFmt w:val="bullet"/>
      <w:lvlText w:val="o"/>
      <w:lvlJc w:val="left"/>
      <w:pPr>
        <w:tabs>
          <w:tab w:val="num" w:pos="1080"/>
        </w:tabs>
        <w:ind w:left="1080" w:hanging="360"/>
      </w:pPr>
      <w:rPr>
        <w:rFonts w:ascii="Courier New" w:hAnsi="Courier New" w:hint="default"/>
      </w:rPr>
    </w:lvl>
    <w:lvl w:ilvl="5" w:tplc="FFFFFFFF" w:tentative="1">
      <w:start w:val="1"/>
      <w:numFmt w:val="bullet"/>
      <w:lvlText w:val=""/>
      <w:lvlJc w:val="left"/>
      <w:pPr>
        <w:tabs>
          <w:tab w:val="num" w:pos="1800"/>
        </w:tabs>
        <w:ind w:left="1800" w:hanging="360"/>
      </w:pPr>
      <w:rPr>
        <w:rFonts w:ascii="Wingdings" w:hAnsi="Wingdings" w:hint="default"/>
      </w:rPr>
    </w:lvl>
    <w:lvl w:ilvl="6" w:tplc="FFFFFFFF" w:tentative="1">
      <w:start w:val="1"/>
      <w:numFmt w:val="bullet"/>
      <w:lvlText w:val=""/>
      <w:lvlJc w:val="left"/>
      <w:pPr>
        <w:tabs>
          <w:tab w:val="num" w:pos="2520"/>
        </w:tabs>
        <w:ind w:left="2520" w:hanging="360"/>
      </w:pPr>
      <w:rPr>
        <w:rFonts w:ascii="Symbol" w:hAnsi="Symbol" w:hint="default"/>
      </w:rPr>
    </w:lvl>
    <w:lvl w:ilvl="7" w:tplc="FFFFFFFF" w:tentative="1">
      <w:start w:val="1"/>
      <w:numFmt w:val="bullet"/>
      <w:lvlText w:val="o"/>
      <w:lvlJc w:val="left"/>
      <w:pPr>
        <w:tabs>
          <w:tab w:val="num" w:pos="3240"/>
        </w:tabs>
        <w:ind w:left="3240" w:hanging="360"/>
      </w:pPr>
      <w:rPr>
        <w:rFonts w:ascii="Courier New" w:hAnsi="Courier New" w:hint="default"/>
      </w:rPr>
    </w:lvl>
    <w:lvl w:ilvl="8" w:tplc="FFFFFFFF" w:tentative="1">
      <w:start w:val="1"/>
      <w:numFmt w:val="bullet"/>
      <w:lvlText w:val=""/>
      <w:lvlJc w:val="left"/>
      <w:pPr>
        <w:tabs>
          <w:tab w:val="num" w:pos="3960"/>
        </w:tabs>
        <w:ind w:left="3960" w:hanging="360"/>
      </w:pPr>
      <w:rPr>
        <w:rFonts w:ascii="Wingdings" w:hAnsi="Wingdings" w:hint="default"/>
      </w:rPr>
    </w:lvl>
  </w:abstractNum>
  <w:abstractNum w:abstractNumId="98" w15:restartNumberingAfterBreak="0">
    <w:nsid w:val="3F457C77"/>
    <w:multiLevelType w:val="hybridMultilevel"/>
    <w:tmpl w:val="8758C38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15:restartNumberingAfterBreak="0">
    <w:nsid w:val="41FC2823"/>
    <w:multiLevelType w:val="hybridMultilevel"/>
    <w:tmpl w:val="0F20C092"/>
    <w:lvl w:ilvl="0" w:tplc="04090005">
      <w:start w:val="1"/>
      <w:numFmt w:val="bullet"/>
      <w:lvlText w:val=""/>
      <w:lvlJc w:val="left"/>
      <w:pPr>
        <w:tabs>
          <w:tab w:val="num" w:pos="396"/>
        </w:tabs>
        <w:ind w:left="396" w:hanging="360"/>
      </w:pPr>
      <w:rPr>
        <w:rFonts w:ascii="Wingdings" w:hAnsi="Wingdings" w:hint="default"/>
      </w:rPr>
    </w:lvl>
    <w:lvl w:ilvl="1" w:tplc="04090003" w:tentative="1">
      <w:start w:val="1"/>
      <w:numFmt w:val="bullet"/>
      <w:lvlText w:val="o"/>
      <w:lvlJc w:val="left"/>
      <w:pPr>
        <w:tabs>
          <w:tab w:val="num" w:pos="1116"/>
        </w:tabs>
        <w:ind w:left="1116" w:hanging="360"/>
      </w:pPr>
      <w:rPr>
        <w:rFonts w:ascii="Courier New" w:hAnsi="Courier New" w:cs="Courier New" w:hint="default"/>
      </w:rPr>
    </w:lvl>
    <w:lvl w:ilvl="2" w:tplc="04090005" w:tentative="1">
      <w:start w:val="1"/>
      <w:numFmt w:val="bullet"/>
      <w:lvlText w:val=""/>
      <w:lvlJc w:val="left"/>
      <w:pPr>
        <w:tabs>
          <w:tab w:val="num" w:pos="1836"/>
        </w:tabs>
        <w:ind w:left="1836" w:hanging="360"/>
      </w:pPr>
      <w:rPr>
        <w:rFonts w:ascii="Wingdings" w:hAnsi="Wingdings" w:hint="default"/>
      </w:rPr>
    </w:lvl>
    <w:lvl w:ilvl="3" w:tplc="04090001" w:tentative="1">
      <w:start w:val="1"/>
      <w:numFmt w:val="bullet"/>
      <w:lvlText w:val=""/>
      <w:lvlJc w:val="left"/>
      <w:pPr>
        <w:tabs>
          <w:tab w:val="num" w:pos="2556"/>
        </w:tabs>
        <w:ind w:left="2556" w:hanging="360"/>
      </w:pPr>
      <w:rPr>
        <w:rFonts w:ascii="Symbol" w:hAnsi="Symbol" w:hint="default"/>
      </w:rPr>
    </w:lvl>
    <w:lvl w:ilvl="4" w:tplc="04090003" w:tentative="1">
      <w:start w:val="1"/>
      <w:numFmt w:val="bullet"/>
      <w:lvlText w:val="o"/>
      <w:lvlJc w:val="left"/>
      <w:pPr>
        <w:tabs>
          <w:tab w:val="num" w:pos="3276"/>
        </w:tabs>
        <w:ind w:left="3276" w:hanging="360"/>
      </w:pPr>
      <w:rPr>
        <w:rFonts w:ascii="Courier New" w:hAnsi="Courier New" w:cs="Courier New" w:hint="default"/>
      </w:rPr>
    </w:lvl>
    <w:lvl w:ilvl="5" w:tplc="04090005" w:tentative="1">
      <w:start w:val="1"/>
      <w:numFmt w:val="bullet"/>
      <w:lvlText w:val=""/>
      <w:lvlJc w:val="left"/>
      <w:pPr>
        <w:tabs>
          <w:tab w:val="num" w:pos="3996"/>
        </w:tabs>
        <w:ind w:left="3996" w:hanging="360"/>
      </w:pPr>
      <w:rPr>
        <w:rFonts w:ascii="Wingdings" w:hAnsi="Wingdings" w:hint="default"/>
      </w:rPr>
    </w:lvl>
    <w:lvl w:ilvl="6" w:tplc="04090001" w:tentative="1">
      <w:start w:val="1"/>
      <w:numFmt w:val="bullet"/>
      <w:lvlText w:val=""/>
      <w:lvlJc w:val="left"/>
      <w:pPr>
        <w:tabs>
          <w:tab w:val="num" w:pos="4716"/>
        </w:tabs>
        <w:ind w:left="4716" w:hanging="360"/>
      </w:pPr>
      <w:rPr>
        <w:rFonts w:ascii="Symbol" w:hAnsi="Symbol" w:hint="default"/>
      </w:rPr>
    </w:lvl>
    <w:lvl w:ilvl="7" w:tplc="04090003" w:tentative="1">
      <w:start w:val="1"/>
      <w:numFmt w:val="bullet"/>
      <w:lvlText w:val="o"/>
      <w:lvlJc w:val="left"/>
      <w:pPr>
        <w:tabs>
          <w:tab w:val="num" w:pos="5436"/>
        </w:tabs>
        <w:ind w:left="5436" w:hanging="360"/>
      </w:pPr>
      <w:rPr>
        <w:rFonts w:ascii="Courier New" w:hAnsi="Courier New" w:cs="Courier New" w:hint="default"/>
      </w:rPr>
    </w:lvl>
    <w:lvl w:ilvl="8" w:tplc="04090005" w:tentative="1">
      <w:start w:val="1"/>
      <w:numFmt w:val="bullet"/>
      <w:lvlText w:val=""/>
      <w:lvlJc w:val="left"/>
      <w:pPr>
        <w:tabs>
          <w:tab w:val="num" w:pos="6156"/>
        </w:tabs>
        <w:ind w:left="6156" w:hanging="360"/>
      </w:pPr>
      <w:rPr>
        <w:rFonts w:ascii="Wingdings" w:hAnsi="Wingdings" w:hint="default"/>
      </w:rPr>
    </w:lvl>
  </w:abstractNum>
  <w:abstractNum w:abstractNumId="100" w15:restartNumberingAfterBreak="0">
    <w:nsid w:val="4400753F"/>
    <w:multiLevelType w:val="hybridMultilevel"/>
    <w:tmpl w:val="8BAA99F0"/>
    <w:lvl w:ilvl="0" w:tplc="04090005">
      <w:start w:val="1"/>
      <w:numFmt w:val="bullet"/>
      <w:lvlText w:val=""/>
      <w:lvlJc w:val="left"/>
      <w:pPr>
        <w:ind w:left="1287" w:hanging="360"/>
      </w:pPr>
      <w:rPr>
        <w:rFonts w:ascii="Wingdings" w:hAnsi="Wingdings" w:hint="default"/>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01" w15:restartNumberingAfterBreak="0">
    <w:nsid w:val="444A1E63"/>
    <w:multiLevelType w:val="hybridMultilevel"/>
    <w:tmpl w:val="E466C0E4"/>
    <w:lvl w:ilvl="0" w:tplc="0418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02" w15:restartNumberingAfterBreak="0">
    <w:nsid w:val="447C1620"/>
    <w:multiLevelType w:val="hybridMultilevel"/>
    <w:tmpl w:val="A356840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3" w15:restartNumberingAfterBreak="0">
    <w:nsid w:val="45B61DAC"/>
    <w:multiLevelType w:val="hybridMultilevel"/>
    <w:tmpl w:val="29563C4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4" w15:restartNumberingAfterBreak="0">
    <w:nsid w:val="46D34F33"/>
    <w:multiLevelType w:val="hybridMultilevel"/>
    <w:tmpl w:val="30D834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7A845AE"/>
    <w:multiLevelType w:val="hybridMultilevel"/>
    <w:tmpl w:val="6EA63A1E"/>
    <w:lvl w:ilvl="0" w:tplc="F2BCC5A2">
      <w:start w:val="1"/>
      <w:numFmt w:val="upperRoman"/>
      <w:lvlText w:val="%1."/>
      <w:lvlJc w:val="right"/>
      <w:pPr>
        <w:ind w:left="720" w:hanging="360"/>
      </w:pPr>
      <w:rPr>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6" w15:restartNumberingAfterBreak="0">
    <w:nsid w:val="47BC47E3"/>
    <w:multiLevelType w:val="hybridMultilevel"/>
    <w:tmpl w:val="A1A81162"/>
    <w:lvl w:ilvl="0" w:tplc="04090005">
      <w:start w:val="1"/>
      <w:numFmt w:val="bullet"/>
      <w:lvlText w:val=""/>
      <w:lvlJc w:val="left"/>
      <w:pPr>
        <w:ind w:left="643"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7" w15:restartNumberingAfterBreak="0">
    <w:nsid w:val="488E37C5"/>
    <w:multiLevelType w:val="hybridMultilevel"/>
    <w:tmpl w:val="7A0491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923074B"/>
    <w:multiLevelType w:val="hybridMultilevel"/>
    <w:tmpl w:val="A5C8864C"/>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15:restartNumberingAfterBreak="0">
    <w:nsid w:val="4AB96A0B"/>
    <w:multiLevelType w:val="hybridMultilevel"/>
    <w:tmpl w:val="D46A5C5C"/>
    <w:lvl w:ilvl="0" w:tplc="04090005">
      <w:start w:val="1"/>
      <w:numFmt w:val="bullet"/>
      <w:lvlText w:val=""/>
      <w:lvlJc w:val="left"/>
      <w:pPr>
        <w:tabs>
          <w:tab w:val="num" w:pos="644"/>
        </w:tabs>
        <w:ind w:left="644" w:hanging="360"/>
      </w:pPr>
      <w:rPr>
        <w:rFonts w:ascii="Wingdings" w:hAnsi="Wingding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10" w15:restartNumberingAfterBreak="0">
    <w:nsid w:val="4B2521F2"/>
    <w:multiLevelType w:val="hybridMultilevel"/>
    <w:tmpl w:val="CFC8E3FE"/>
    <w:lvl w:ilvl="0" w:tplc="04090005">
      <w:start w:val="1"/>
      <w:numFmt w:val="bullet"/>
      <w:lvlText w:val=""/>
      <w:lvlJc w:val="left"/>
      <w:pPr>
        <w:ind w:left="1170" w:hanging="360"/>
      </w:pPr>
      <w:rPr>
        <w:rFonts w:ascii="Wingdings" w:hAnsi="Wingdings" w:hint="default"/>
      </w:rPr>
    </w:lvl>
    <w:lvl w:ilvl="1" w:tplc="04180003">
      <w:start w:val="1"/>
      <w:numFmt w:val="bullet"/>
      <w:lvlText w:val="o"/>
      <w:lvlJc w:val="left"/>
      <w:pPr>
        <w:ind w:left="1890" w:hanging="360"/>
      </w:pPr>
      <w:rPr>
        <w:rFonts w:ascii="Courier New" w:hAnsi="Courier New" w:cs="Courier New" w:hint="default"/>
      </w:rPr>
    </w:lvl>
    <w:lvl w:ilvl="2" w:tplc="04180005" w:tentative="1">
      <w:start w:val="1"/>
      <w:numFmt w:val="bullet"/>
      <w:lvlText w:val=""/>
      <w:lvlJc w:val="left"/>
      <w:pPr>
        <w:ind w:left="2610" w:hanging="360"/>
      </w:pPr>
      <w:rPr>
        <w:rFonts w:ascii="Wingdings" w:hAnsi="Wingdings" w:hint="default"/>
      </w:rPr>
    </w:lvl>
    <w:lvl w:ilvl="3" w:tplc="04180001" w:tentative="1">
      <w:start w:val="1"/>
      <w:numFmt w:val="bullet"/>
      <w:lvlText w:val=""/>
      <w:lvlJc w:val="left"/>
      <w:pPr>
        <w:ind w:left="3330" w:hanging="360"/>
      </w:pPr>
      <w:rPr>
        <w:rFonts w:ascii="Symbol" w:hAnsi="Symbol" w:hint="default"/>
      </w:rPr>
    </w:lvl>
    <w:lvl w:ilvl="4" w:tplc="04180003" w:tentative="1">
      <w:start w:val="1"/>
      <w:numFmt w:val="bullet"/>
      <w:lvlText w:val="o"/>
      <w:lvlJc w:val="left"/>
      <w:pPr>
        <w:ind w:left="4050" w:hanging="360"/>
      </w:pPr>
      <w:rPr>
        <w:rFonts w:ascii="Courier New" w:hAnsi="Courier New" w:cs="Courier New" w:hint="default"/>
      </w:rPr>
    </w:lvl>
    <w:lvl w:ilvl="5" w:tplc="04180005" w:tentative="1">
      <w:start w:val="1"/>
      <w:numFmt w:val="bullet"/>
      <w:lvlText w:val=""/>
      <w:lvlJc w:val="left"/>
      <w:pPr>
        <w:ind w:left="4770" w:hanging="360"/>
      </w:pPr>
      <w:rPr>
        <w:rFonts w:ascii="Wingdings" w:hAnsi="Wingdings" w:hint="default"/>
      </w:rPr>
    </w:lvl>
    <w:lvl w:ilvl="6" w:tplc="04180001" w:tentative="1">
      <w:start w:val="1"/>
      <w:numFmt w:val="bullet"/>
      <w:lvlText w:val=""/>
      <w:lvlJc w:val="left"/>
      <w:pPr>
        <w:ind w:left="5490" w:hanging="360"/>
      </w:pPr>
      <w:rPr>
        <w:rFonts w:ascii="Symbol" w:hAnsi="Symbol" w:hint="default"/>
      </w:rPr>
    </w:lvl>
    <w:lvl w:ilvl="7" w:tplc="04180003" w:tentative="1">
      <w:start w:val="1"/>
      <w:numFmt w:val="bullet"/>
      <w:lvlText w:val="o"/>
      <w:lvlJc w:val="left"/>
      <w:pPr>
        <w:ind w:left="6210" w:hanging="360"/>
      </w:pPr>
      <w:rPr>
        <w:rFonts w:ascii="Courier New" w:hAnsi="Courier New" w:cs="Courier New" w:hint="default"/>
      </w:rPr>
    </w:lvl>
    <w:lvl w:ilvl="8" w:tplc="04180005" w:tentative="1">
      <w:start w:val="1"/>
      <w:numFmt w:val="bullet"/>
      <w:lvlText w:val=""/>
      <w:lvlJc w:val="left"/>
      <w:pPr>
        <w:ind w:left="6930" w:hanging="360"/>
      </w:pPr>
      <w:rPr>
        <w:rFonts w:ascii="Wingdings" w:hAnsi="Wingdings" w:hint="default"/>
      </w:rPr>
    </w:lvl>
  </w:abstractNum>
  <w:abstractNum w:abstractNumId="111" w15:restartNumberingAfterBreak="0">
    <w:nsid w:val="4B553BC6"/>
    <w:multiLevelType w:val="hybridMultilevel"/>
    <w:tmpl w:val="D6BCA680"/>
    <w:lvl w:ilvl="0" w:tplc="699E4CC6">
      <w:start w:val="5"/>
      <w:numFmt w:val="decimal"/>
      <w:lvlText w:val="%1."/>
      <w:lvlJc w:val="left"/>
      <w:pPr>
        <w:ind w:left="720" w:hanging="360"/>
      </w:pPr>
      <w:rPr>
        <w:rFonts w:hint="default"/>
        <w:b/>
        <w:bCs/>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2" w15:restartNumberingAfterBreak="0">
    <w:nsid w:val="4B9020DB"/>
    <w:multiLevelType w:val="hybridMultilevel"/>
    <w:tmpl w:val="3C5A9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CB178DA"/>
    <w:multiLevelType w:val="hybridMultilevel"/>
    <w:tmpl w:val="DCBE044E"/>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4" w15:restartNumberingAfterBreak="0">
    <w:nsid w:val="4CD12EB6"/>
    <w:multiLevelType w:val="hybridMultilevel"/>
    <w:tmpl w:val="5746A12A"/>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5" w15:restartNumberingAfterBreak="0">
    <w:nsid w:val="4D6E31A3"/>
    <w:multiLevelType w:val="hybridMultilevel"/>
    <w:tmpl w:val="6324CAA8"/>
    <w:lvl w:ilvl="0" w:tplc="D7D47A1C">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4E5A24DA"/>
    <w:multiLevelType w:val="hybridMultilevel"/>
    <w:tmpl w:val="D3F4F6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0D82676"/>
    <w:multiLevelType w:val="hybridMultilevel"/>
    <w:tmpl w:val="1CEE455A"/>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8" w15:restartNumberingAfterBreak="0">
    <w:nsid w:val="51212E59"/>
    <w:multiLevelType w:val="hybridMultilevel"/>
    <w:tmpl w:val="36642708"/>
    <w:lvl w:ilvl="0" w:tplc="684455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24319B8"/>
    <w:multiLevelType w:val="hybridMultilevel"/>
    <w:tmpl w:val="DC6C9E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35F1CAF"/>
    <w:multiLevelType w:val="hybridMultilevel"/>
    <w:tmpl w:val="45FE9DB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1" w15:restartNumberingAfterBreak="0">
    <w:nsid w:val="544C2D81"/>
    <w:multiLevelType w:val="hybridMultilevel"/>
    <w:tmpl w:val="CCA8E49C"/>
    <w:lvl w:ilvl="0" w:tplc="6CAC6406">
      <w:numFmt w:val="bullet"/>
      <w:lvlText w:val=""/>
      <w:lvlJc w:val="left"/>
      <w:pPr>
        <w:ind w:left="1785" w:hanging="360"/>
      </w:pPr>
      <w:rPr>
        <w:rFonts w:ascii="Wingdings" w:eastAsia="Times New Roman" w:hAnsi="Wingdings" w:cs="Times New Roman" w:hint="default"/>
        <w:color w:val="auto"/>
        <w:sz w:val="24"/>
        <w:szCs w:val="24"/>
        <w:lang w:val="it-IT"/>
      </w:rPr>
    </w:lvl>
    <w:lvl w:ilvl="1" w:tplc="04180003" w:tentative="1">
      <w:start w:val="1"/>
      <w:numFmt w:val="bullet"/>
      <w:lvlText w:val="o"/>
      <w:lvlJc w:val="left"/>
      <w:pPr>
        <w:ind w:left="2505" w:hanging="360"/>
      </w:pPr>
      <w:rPr>
        <w:rFonts w:ascii="Courier New" w:hAnsi="Courier New" w:cs="Courier New" w:hint="default"/>
      </w:rPr>
    </w:lvl>
    <w:lvl w:ilvl="2" w:tplc="04180005" w:tentative="1">
      <w:start w:val="1"/>
      <w:numFmt w:val="bullet"/>
      <w:lvlText w:val=""/>
      <w:lvlJc w:val="left"/>
      <w:pPr>
        <w:ind w:left="3225" w:hanging="360"/>
      </w:pPr>
      <w:rPr>
        <w:rFonts w:ascii="Wingdings" w:hAnsi="Wingdings" w:hint="default"/>
      </w:rPr>
    </w:lvl>
    <w:lvl w:ilvl="3" w:tplc="04180001" w:tentative="1">
      <w:start w:val="1"/>
      <w:numFmt w:val="bullet"/>
      <w:lvlText w:val=""/>
      <w:lvlJc w:val="left"/>
      <w:pPr>
        <w:ind w:left="3945" w:hanging="360"/>
      </w:pPr>
      <w:rPr>
        <w:rFonts w:ascii="Symbol" w:hAnsi="Symbol" w:hint="default"/>
      </w:rPr>
    </w:lvl>
    <w:lvl w:ilvl="4" w:tplc="04180003" w:tentative="1">
      <w:start w:val="1"/>
      <w:numFmt w:val="bullet"/>
      <w:lvlText w:val="o"/>
      <w:lvlJc w:val="left"/>
      <w:pPr>
        <w:ind w:left="4665" w:hanging="360"/>
      </w:pPr>
      <w:rPr>
        <w:rFonts w:ascii="Courier New" w:hAnsi="Courier New" w:cs="Courier New" w:hint="default"/>
      </w:rPr>
    </w:lvl>
    <w:lvl w:ilvl="5" w:tplc="04180005" w:tentative="1">
      <w:start w:val="1"/>
      <w:numFmt w:val="bullet"/>
      <w:lvlText w:val=""/>
      <w:lvlJc w:val="left"/>
      <w:pPr>
        <w:ind w:left="5385" w:hanging="360"/>
      </w:pPr>
      <w:rPr>
        <w:rFonts w:ascii="Wingdings" w:hAnsi="Wingdings" w:hint="default"/>
      </w:rPr>
    </w:lvl>
    <w:lvl w:ilvl="6" w:tplc="04180001" w:tentative="1">
      <w:start w:val="1"/>
      <w:numFmt w:val="bullet"/>
      <w:lvlText w:val=""/>
      <w:lvlJc w:val="left"/>
      <w:pPr>
        <w:ind w:left="6105" w:hanging="360"/>
      </w:pPr>
      <w:rPr>
        <w:rFonts w:ascii="Symbol" w:hAnsi="Symbol" w:hint="default"/>
      </w:rPr>
    </w:lvl>
    <w:lvl w:ilvl="7" w:tplc="04180003" w:tentative="1">
      <w:start w:val="1"/>
      <w:numFmt w:val="bullet"/>
      <w:lvlText w:val="o"/>
      <w:lvlJc w:val="left"/>
      <w:pPr>
        <w:ind w:left="6825" w:hanging="360"/>
      </w:pPr>
      <w:rPr>
        <w:rFonts w:ascii="Courier New" w:hAnsi="Courier New" w:cs="Courier New" w:hint="default"/>
      </w:rPr>
    </w:lvl>
    <w:lvl w:ilvl="8" w:tplc="04180005" w:tentative="1">
      <w:start w:val="1"/>
      <w:numFmt w:val="bullet"/>
      <w:lvlText w:val=""/>
      <w:lvlJc w:val="left"/>
      <w:pPr>
        <w:ind w:left="7545" w:hanging="360"/>
      </w:pPr>
      <w:rPr>
        <w:rFonts w:ascii="Wingdings" w:hAnsi="Wingdings" w:hint="default"/>
      </w:rPr>
    </w:lvl>
  </w:abstractNum>
  <w:abstractNum w:abstractNumId="122" w15:restartNumberingAfterBreak="0">
    <w:nsid w:val="544E0CCC"/>
    <w:multiLevelType w:val="hybridMultilevel"/>
    <w:tmpl w:val="4CE66A16"/>
    <w:lvl w:ilvl="0" w:tplc="0418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3" w15:restartNumberingAfterBreak="0">
    <w:nsid w:val="55027297"/>
    <w:multiLevelType w:val="hybridMultilevel"/>
    <w:tmpl w:val="93300480"/>
    <w:lvl w:ilvl="0" w:tplc="04090005">
      <w:start w:val="1"/>
      <w:numFmt w:val="bullet"/>
      <w:lvlText w:val=""/>
      <w:lvlJc w:val="left"/>
      <w:pPr>
        <w:tabs>
          <w:tab w:val="num" w:pos="720"/>
        </w:tabs>
        <w:ind w:left="720" w:hanging="360"/>
      </w:pPr>
      <w:rPr>
        <w:rFonts w:ascii="Wingdings" w:hAnsi="Wingdings" w:hint="default"/>
      </w:rPr>
    </w:lvl>
    <w:lvl w:ilvl="1" w:tplc="FB9C53DE" w:tentative="1">
      <w:start w:val="1"/>
      <w:numFmt w:val="bullet"/>
      <w:lvlText w:val="-"/>
      <w:lvlJc w:val="left"/>
      <w:pPr>
        <w:tabs>
          <w:tab w:val="num" w:pos="1440"/>
        </w:tabs>
        <w:ind w:left="1440" w:hanging="360"/>
      </w:pPr>
      <w:rPr>
        <w:rFonts w:ascii="Times New Roman" w:hAnsi="Times New Roman" w:hint="default"/>
      </w:rPr>
    </w:lvl>
    <w:lvl w:ilvl="2" w:tplc="E4A090B4" w:tentative="1">
      <w:start w:val="1"/>
      <w:numFmt w:val="bullet"/>
      <w:lvlText w:val="-"/>
      <w:lvlJc w:val="left"/>
      <w:pPr>
        <w:tabs>
          <w:tab w:val="num" w:pos="2160"/>
        </w:tabs>
        <w:ind w:left="2160" w:hanging="360"/>
      </w:pPr>
      <w:rPr>
        <w:rFonts w:ascii="Times New Roman" w:hAnsi="Times New Roman" w:hint="default"/>
      </w:rPr>
    </w:lvl>
    <w:lvl w:ilvl="3" w:tplc="C70CC110" w:tentative="1">
      <w:start w:val="1"/>
      <w:numFmt w:val="bullet"/>
      <w:lvlText w:val="-"/>
      <w:lvlJc w:val="left"/>
      <w:pPr>
        <w:tabs>
          <w:tab w:val="num" w:pos="2880"/>
        </w:tabs>
        <w:ind w:left="2880" w:hanging="360"/>
      </w:pPr>
      <w:rPr>
        <w:rFonts w:ascii="Times New Roman" w:hAnsi="Times New Roman" w:hint="default"/>
      </w:rPr>
    </w:lvl>
    <w:lvl w:ilvl="4" w:tplc="0EEE09C2" w:tentative="1">
      <w:start w:val="1"/>
      <w:numFmt w:val="bullet"/>
      <w:lvlText w:val="-"/>
      <w:lvlJc w:val="left"/>
      <w:pPr>
        <w:tabs>
          <w:tab w:val="num" w:pos="3600"/>
        </w:tabs>
        <w:ind w:left="3600" w:hanging="360"/>
      </w:pPr>
      <w:rPr>
        <w:rFonts w:ascii="Times New Roman" w:hAnsi="Times New Roman" w:hint="default"/>
      </w:rPr>
    </w:lvl>
    <w:lvl w:ilvl="5" w:tplc="9EA6E2B0" w:tentative="1">
      <w:start w:val="1"/>
      <w:numFmt w:val="bullet"/>
      <w:lvlText w:val="-"/>
      <w:lvlJc w:val="left"/>
      <w:pPr>
        <w:tabs>
          <w:tab w:val="num" w:pos="4320"/>
        </w:tabs>
        <w:ind w:left="4320" w:hanging="360"/>
      </w:pPr>
      <w:rPr>
        <w:rFonts w:ascii="Times New Roman" w:hAnsi="Times New Roman" w:hint="default"/>
      </w:rPr>
    </w:lvl>
    <w:lvl w:ilvl="6" w:tplc="FDAEB95E" w:tentative="1">
      <w:start w:val="1"/>
      <w:numFmt w:val="bullet"/>
      <w:lvlText w:val="-"/>
      <w:lvlJc w:val="left"/>
      <w:pPr>
        <w:tabs>
          <w:tab w:val="num" w:pos="5040"/>
        </w:tabs>
        <w:ind w:left="5040" w:hanging="360"/>
      </w:pPr>
      <w:rPr>
        <w:rFonts w:ascii="Times New Roman" w:hAnsi="Times New Roman" w:hint="default"/>
      </w:rPr>
    </w:lvl>
    <w:lvl w:ilvl="7" w:tplc="EB62A058" w:tentative="1">
      <w:start w:val="1"/>
      <w:numFmt w:val="bullet"/>
      <w:lvlText w:val="-"/>
      <w:lvlJc w:val="left"/>
      <w:pPr>
        <w:tabs>
          <w:tab w:val="num" w:pos="5760"/>
        </w:tabs>
        <w:ind w:left="5760" w:hanging="360"/>
      </w:pPr>
      <w:rPr>
        <w:rFonts w:ascii="Times New Roman" w:hAnsi="Times New Roman" w:hint="default"/>
      </w:rPr>
    </w:lvl>
    <w:lvl w:ilvl="8" w:tplc="B85052B4" w:tentative="1">
      <w:start w:val="1"/>
      <w:numFmt w:val="bullet"/>
      <w:lvlText w:val="-"/>
      <w:lvlJc w:val="left"/>
      <w:pPr>
        <w:tabs>
          <w:tab w:val="num" w:pos="6480"/>
        </w:tabs>
        <w:ind w:left="6480" w:hanging="360"/>
      </w:pPr>
      <w:rPr>
        <w:rFonts w:ascii="Times New Roman" w:hAnsi="Times New Roman" w:hint="default"/>
      </w:rPr>
    </w:lvl>
  </w:abstractNum>
  <w:abstractNum w:abstractNumId="124" w15:restartNumberingAfterBreak="0">
    <w:nsid w:val="56374391"/>
    <w:multiLevelType w:val="hybridMultilevel"/>
    <w:tmpl w:val="16B8087E"/>
    <w:lvl w:ilvl="0" w:tplc="0FB86E3E">
      <w:start w:val="1"/>
      <w:numFmt w:val="bullet"/>
      <w:lvlText w:val=""/>
      <w:lvlJc w:val="left"/>
      <w:pPr>
        <w:ind w:left="1080" w:hanging="72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728589C"/>
    <w:multiLevelType w:val="hybridMultilevel"/>
    <w:tmpl w:val="45BA77C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6" w15:restartNumberingAfterBreak="0">
    <w:nsid w:val="579D7043"/>
    <w:multiLevelType w:val="hybridMultilevel"/>
    <w:tmpl w:val="2FD8E9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81023A8"/>
    <w:multiLevelType w:val="hybridMultilevel"/>
    <w:tmpl w:val="33AEE9EC"/>
    <w:lvl w:ilvl="0" w:tplc="80F262DE">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8" w15:restartNumberingAfterBreak="0">
    <w:nsid w:val="5875375B"/>
    <w:multiLevelType w:val="hybridMultilevel"/>
    <w:tmpl w:val="57AE3BC0"/>
    <w:lvl w:ilvl="0" w:tplc="35008A54">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8A275BA"/>
    <w:multiLevelType w:val="hybridMultilevel"/>
    <w:tmpl w:val="6E02C110"/>
    <w:lvl w:ilvl="0" w:tplc="04090005">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0" w15:restartNumberingAfterBreak="0">
    <w:nsid w:val="597C3345"/>
    <w:multiLevelType w:val="hybridMultilevel"/>
    <w:tmpl w:val="DAFCADE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131" w15:restartNumberingAfterBreak="0">
    <w:nsid w:val="5B104AA4"/>
    <w:multiLevelType w:val="hybridMultilevel"/>
    <w:tmpl w:val="BD6C53B6"/>
    <w:lvl w:ilvl="0" w:tplc="C19CF444">
      <w:start w:val="1"/>
      <w:numFmt w:val="decimal"/>
      <w:lvlText w:val="%1."/>
      <w:lvlJc w:val="left"/>
      <w:pPr>
        <w:ind w:left="720" w:hanging="36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BB87676"/>
    <w:multiLevelType w:val="hybridMultilevel"/>
    <w:tmpl w:val="D14619FA"/>
    <w:lvl w:ilvl="0" w:tplc="04090001">
      <w:start w:val="1"/>
      <w:numFmt w:val="bullet"/>
      <w:lvlText w:val=""/>
      <w:lvlJc w:val="left"/>
      <w:pPr>
        <w:ind w:left="371" w:hanging="360"/>
      </w:pPr>
      <w:rPr>
        <w:rFonts w:ascii="Symbol" w:hAnsi="Symbol" w:hint="default"/>
      </w:rPr>
    </w:lvl>
    <w:lvl w:ilvl="1" w:tplc="04090003" w:tentative="1">
      <w:start w:val="1"/>
      <w:numFmt w:val="bullet"/>
      <w:lvlText w:val="o"/>
      <w:lvlJc w:val="left"/>
      <w:pPr>
        <w:ind w:left="1091" w:hanging="360"/>
      </w:pPr>
      <w:rPr>
        <w:rFonts w:ascii="Courier New" w:hAnsi="Courier New" w:cs="Courier New" w:hint="default"/>
      </w:rPr>
    </w:lvl>
    <w:lvl w:ilvl="2" w:tplc="04090005" w:tentative="1">
      <w:start w:val="1"/>
      <w:numFmt w:val="bullet"/>
      <w:lvlText w:val=""/>
      <w:lvlJc w:val="left"/>
      <w:pPr>
        <w:ind w:left="1811" w:hanging="360"/>
      </w:pPr>
      <w:rPr>
        <w:rFonts w:ascii="Wingdings" w:hAnsi="Wingdings" w:hint="default"/>
      </w:rPr>
    </w:lvl>
    <w:lvl w:ilvl="3" w:tplc="04090001" w:tentative="1">
      <w:start w:val="1"/>
      <w:numFmt w:val="bullet"/>
      <w:lvlText w:val=""/>
      <w:lvlJc w:val="left"/>
      <w:pPr>
        <w:ind w:left="2531" w:hanging="360"/>
      </w:pPr>
      <w:rPr>
        <w:rFonts w:ascii="Symbol" w:hAnsi="Symbol" w:hint="default"/>
      </w:rPr>
    </w:lvl>
    <w:lvl w:ilvl="4" w:tplc="04090003" w:tentative="1">
      <w:start w:val="1"/>
      <w:numFmt w:val="bullet"/>
      <w:lvlText w:val="o"/>
      <w:lvlJc w:val="left"/>
      <w:pPr>
        <w:ind w:left="3251" w:hanging="360"/>
      </w:pPr>
      <w:rPr>
        <w:rFonts w:ascii="Courier New" w:hAnsi="Courier New" w:cs="Courier New" w:hint="default"/>
      </w:rPr>
    </w:lvl>
    <w:lvl w:ilvl="5" w:tplc="04090005" w:tentative="1">
      <w:start w:val="1"/>
      <w:numFmt w:val="bullet"/>
      <w:lvlText w:val=""/>
      <w:lvlJc w:val="left"/>
      <w:pPr>
        <w:ind w:left="3971" w:hanging="360"/>
      </w:pPr>
      <w:rPr>
        <w:rFonts w:ascii="Wingdings" w:hAnsi="Wingdings" w:hint="default"/>
      </w:rPr>
    </w:lvl>
    <w:lvl w:ilvl="6" w:tplc="04090001" w:tentative="1">
      <w:start w:val="1"/>
      <w:numFmt w:val="bullet"/>
      <w:lvlText w:val=""/>
      <w:lvlJc w:val="left"/>
      <w:pPr>
        <w:ind w:left="4691" w:hanging="360"/>
      </w:pPr>
      <w:rPr>
        <w:rFonts w:ascii="Symbol" w:hAnsi="Symbol" w:hint="default"/>
      </w:rPr>
    </w:lvl>
    <w:lvl w:ilvl="7" w:tplc="04090003" w:tentative="1">
      <w:start w:val="1"/>
      <w:numFmt w:val="bullet"/>
      <w:lvlText w:val="o"/>
      <w:lvlJc w:val="left"/>
      <w:pPr>
        <w:ind w:left="5411" w:hanging="360"/>
      </w:pPr>
      <w:rPr>
        <w:rFonts w:ascii="Courier New" w:hAnsi="Courier New" w:cs="Courier New" w:hint="default"/>
      </w:rPr>
    </w:lvl>
    <w:lvl w:ilvl="8" w:tplc="04090005" w:tentative="1">
      <w:start w:val="1"/>
      <w:numFmt w:val="bullet"/>
      <w:lvlText w:val=""/>
      <w:lvlJc w:val="left"/>
      <w:pPr>
        <w:ind w:left="6131" w:hanging="360"/>
      </w:pPr>
      <w:rPr>
        <w:rFonts w:ascii="Wingdings" w:hAnsi="Wingdings" w:hint="default"/>
      </w:rPr>
    </w:lvl>
  </w:abstractNum>
  <w:abstractNum w:abstractNumId="133" w15:restartNumberingAfterBreak="0">
    <w:nsid w:val="5D4D2737"/>
    <w:multiLevelType w:val="hybridMultilevel"/>
    <w:tmpl w:val="35209368"/>
    <w:lvl w:ilvl="0" w:tplc="04090005">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4" w15:restartNumberingAfterBreak="0">
    <w:nsid w:val="5DAB386D"/>
    <w:multiLevelType w:val="hybridMultilevel"/>
    <w:tmpl w:val="043A6CE0"/>
    <w:lvl w:ilvl="0" w:tplc="FE1E781A">
      <w:numFmt w:val="bullet"/>
      <w:lvlText w:val="-"/>
      <w:lvlJc w:val="left"/>
      <w:pPr>
        <w:ind w:left="1170" w:hanging="360"/>
      </w:pPr>
      <w:rPr>
        <w:rFonts w:ascii="Times New Roman" w:eastAsia="Times New Roman"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5" w15:restartNumberingAfterBreak="0">
    <w:nsid w:val="5E720EFF"/>
    <w:multiLevelType w:val="hybridMultilevel"/>
    <w:tmpl w:val="F2FC45B8"/>
    <w:lvl w:ilvl="0" w:tplc="8FA8ACFC">
      <w:start w:val="1"/>
      <w:numFmt w:val="bullet"/>
      <w:lvlText w:val="-"/>
      <w:lvlJc w:val="left"/>
      <w:pPr>
        <w:tabs>
          <w:tab w:val="num" w:pos="720"/>
        </w:tabs>
        <w:ind w:left="720" w:hanging="360"/>
      </w:pPr>
      <w:rPr>
        <w:rFonts w:ascii="Calibri" w:eastAsia="Times New Roman" w:hAnsi="Calibri"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ED562E0"/>
    <w:multiLevelType w:val="hybridMultilevel"/>
    <w:tmpl w:val="CB806916"/>
    <w:lvl w:ilvl="0" w:tplc="35008A54">
      <w:start w:val="1"/>
      <w:numFmt w:val="bullet"/>
      <w:lvlText w:val="-"/>
      <w:lvlJc w:val="left"/>
      <w:pPr>
        <w:ind w:left="450" w:hanging="360"/>
      </w:pPr>
      <w:rPr>
        <w:rFonts w:ascii="Sylfaen" w:hAnsi="Sylfae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7" w15:restartNumberingAfterBreak="0">
    <w:nsid w:val="5F614B5A"/>
    <w:multiLevelType w:val="hybridMultilevel"/>
    <w:tmpl w:val="F11A34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03D43EB"/>
    <w:multiLevelType w:val="hybridMultilevel"/>
    <w:tmpl w:val="C15A1898"/>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1BA6F85"/>
    <w:multiLevelType w:val="hybridMultilevel"/>
    <w:tmpl w:val="02887914"/>
    <w:lvl w:ilvl="0" w:tplc="04090005">
      <w:start w:val="1"/>
      <w:numFmt w:val="bullet"/>
      <w:lvlText w:val=""/>
      <w:lvlJc w:val="left"/>
      <w:pPr>
        <w:ind w:left="540" w:hanging="360"/>
      </w:pPr>
      <w:rPr>
        <w:rFonts w:ascii="Wingdings" w:hAnsi="Wingdings" w:hint="default"/>
        <w:color w:val="auto"/>
        <w:sz w:val="24"/>
        <w:szCs w:val="24"/>
        <w:lang w:val="it-I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0" w15:restartNumberingAfterBreak="0">
    <w:nsid w:val="63004FF0"/>
    <w:multiLevelType w:val="hybridMultilevel"/>
    <w:tmpl w:val="9E48CF7C"/>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1" w15:restartNumberingAfterBreak="0">
    <w:nsid w:val="638D5E90"/>
    <w:multiLevelType w:val="hybridMultilevel"/>
    <w:tmpl w:val="09F43AF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63B317C3"/>
    <w:multiLevelType w:val="hybridMultilevel"/>
    <w:tmpl w:val="BB6CBFB4"/>
    <w:lvl w:ilvl="0" w:tplc="04090001">
      <w:start w:val="1"/>
      <w:numFmt w:val="bullet"/>
      <w:lvlText w:val=""/>
      <w:lvlJc w:val="left"/>
      <w:pPr>
        <w:ind w:left="1086" w:hanging="360"/>
      </w:pPr>
      <w:rPr>
        <w:rFonts w:ascii="Symbol" w:hAnsi="Symbol" w:hint="default"/>
        <w:color w:val="auto"/>
      </w:rPr>
    </w:lvl>
    <w:lvl w:ilvl="1" w:tplc="04180003" w:tentative="1">
      <w:start w:val="1"/>
      <w:numFmt w:val="bullet"/>
      <w:lvlText w:val="o"/>
      <w:lvlJc w:val="left"/>
      <w:pPr>
        <w:ind w:left="1806" w:hanging="360"/>
      </w:pPr>
      <w:rPr>
        <w:rFonts w:ascii="Courier New" w:hAnsi="Courier New" w:cs="Courier New" w:hint="default"/>
      </w:rPr>
    </w:lvl>
    <w:lvl w:ilvl="2" w:tplc="04180005" w:tentative="1">
      <w:start w:val="1"/>
      <w:numFmt w:val="bullet"/>
      <w:lvlText w:val=""/>
      <w:lvlJc w:val="left"/>
      <w:pPr>
        <w:ind w:left="2526" w:hanging="360"/>
      </w:pPr>
      <w:rPr>
        <w:rFonts w:ascii="Wingdings" w:hAnsi="Wingdings" w:hint="default"/>
      </w:rPr>
    </w:lvl>
    <w:lvl w:ilvl="3" w:tplc="04180001" w:tentative="1">
      <w:start w:val="1"/>
      <w:numFmt w:val="bullet"/>
      <w:lvlText w:val=""/>
      <w:lvlJc w:val="left"/>
      <w:pPr>
        <w:ind w:left="3246" w:hanging="360"/>
      </w:pPr>
      <w:rPr>
        <w:rFonts w:ascii="Symbol" w:hAnsi="Symbol" w:hint="default"/>
      </w:rPr>
    </w:lvl>
    <w:lvl w:ilvl="4" w:tplc="04180003" w:tentative="1">
      <w:start w:val="1"/>
      <w:numFmt w:val="bullet"/>
      <w:lvlText w:val="o"/>
      <w:lvlJc w:val="left"/>
      <w:pPr>
        <w:ind w:left="3966" w:hanging="360"/>
      </w:pPr>
      <w:rPr>
        <w:rFonts w:ascii="Courier New" w:hAnsi="Courier New" w:cs="Courier New" w:hint="default"/>
      </w:rPr>
    </w:lvl>
    <w:lvl w:ilvl="5" w:tplc="04180005" w:tentative="1">
      <w:start w:val="1"/>
      <w:numFmt w:val="bullet"/>
      <w:lvlText w:val=""/>
      <w:lvlJc w:val="left"/>
      <w:pPr>
        <w:ind w:left="4686" w:hanging="360"/>
      </w:pPr>
      <w:rPr>
        <w:rFonts w:ascii="Wingdings" w:hAnsi="Wingdings" w:hint="default"/>
      </w:rPr>
    </w:lvl>
    <w:lvl w:ilvl="6" w:tplc="04180001" w:tentative="1">
      <w:start w:val="1"/>
      <w:numFmt w:val="bullet"/>
      <w:lvlText w:val=""/>
      <w:lvlJc w:val="left"/>
      <w:pPr>
        <w:ind w:left="5406" w:hanging="360"/>
      </w:pPr>
      <w:rPr>
        <w:rFonts w:ascii="Symbol" w:hAnsi="Symbol" w:hint="default"/>
      </w:rPr>
    </w:lvl>
    <w:lvl w:ilvl="7" w:tplc="04180003" w:tentative="1">
      <w:start w:val="1"/>
      <w:numFmt w:val="bullet"/>
      <w:lvlText w:val="o"/>
      <w:lvlJc w:val="left"/>
      <w:pPr>
        <w:ind w:left="6126" w:hanging="360"/>
      </w:pPr>
      <w:rPr>
        <w:rFonts w:ascii="Courier New" w:hAnsi="Courier New" w:cs="Courier New" w:hint="default"/>
      </w:rPr>
    </w:lvl>
    <w:lvl w:ilvl="8" w:tplc="04180005" w:tentative="1">
      <w:start w:val="1"/>
      <w:numFmt w:val="bullet"/>
      <w:lvlText w:val=""/>
      <w:lvlJc w:val="left"/>
      <w:pPr>
        <w:ind w:left="6846" w:hanging="360"/>
      </w:pPr>
      <w:rPr>
        <w:rFonts w:ascii="Wingdings" w:hAnsi="Wingdings" w:hint="default"/>
      </w:rPr>
    </w:lvl>
  </w:abstractNum>
  <w:abstractNum w:abstractNumId="143" w15:restartNumberingAfterBreak="0">
    <w:nsid w:val="64501B81"/>
    <w:multiLevelType w:val="hybridMultilevel"/>
    <w:tmpl w:val="9C586A62"/>
    <w:lvl w:ilvl="0" w:tplc="04180001">
      <w:start w:val="1"/>
      <w:numFmt w:val="bullet"/>
      <w:lvlText w:val=""/>
      <w:lvlJc w:val="left"/>
      <w:pPr>
        <w:ind w:left="780" w:hanging="360"/>
      </w:pPr>
      <w:rPr>
        <w:rFonts w:ascii="Symbol" w:hAnsi="Symbol" w:hint="default"/>
      </w:rPr>
    </w:lvl>
    <w:lvl w:ilvl="1" w:tplc="04180003" w:tentative="1">
      <w:start w:val="1"/>
      <w:numFmt w:val="bullet"/>
      <w:lvlText w:val="o"/>
      <w:lvlJc w:val="left"/>
      <w:pPr>
        <w:ind w:left="1500" w:hanging="360"/>
      </w:pPr>
      <w:rPr>
        <w:rFonts w:ascii="Courier New" w:hAnsi="Courier New" w:cs="Courier New" w:hint="default"/>
      </w:rPr>
    </w:lvl>
    <w:lvl w:ilvl="2" w:tplc="04180005" w:tentative="1">
      <w:start w:val="1"/>
      <w:numFmt w:val="bullet"/>
      <w:lvlText w:val=""/>
      <w:lvlJc w:val="left"/>
      <w:pPr>
        <w:ind w:left="2220" w:hanging="360"/>
      </w:pPr>
      <w:rPr>
        <w:rFonts w:ascii="Wingdings" w:hAnsi="Wingdings" w:hint="default"/>
      </w:rPr>
    </w:lvl>
    <w:lvl w:ilvl="3" w:tplc="04180001" w:tentative="1">
      <w:start w:val="1"/>
      <w:numFmt w:val="bullet"/>
      <w:lvlText w:val=""/>
      <w:lvlJc w:val="left"/>
      <w:pPr>
        <w:ind w:left="2940" w:hanging="360"/>
      </w:pPr>
      <w:rPr>
        <w:rFonts w:ascii="Symbol" w:hAnsi="Symbol" w:hint="default"/>
      </w:rPr>
    </w:lvl>
    <w:lvl w:ilvl="4" w:tplc="04180003" w:tentative="1">
      <w:start w:val="1"/>
      <w:numFmt w:val="bullet"/>
      <w:lvlText w:val="o"/>
      <w:lvlJc w:val="left"/>
      <w:pPr>
        <w:ind w:left="3660" w:hanging="360"/>
      </w:pPr>
      <w:rPr>
        <w:rFonts w:ascii="Courier New" w:hAnsi="Courier New" w:cs="Courier New" w:hint="default"/>
      </w:rPr>
    </w:lvl>
    <w:lvl w:ilvl="5" w:tplc="04180005" w:tentative="1">
      <w:start w:val="1"/>
      <w:numFmt w:val="bullet"/>
      <w:lvlText w:val=""/>
      <w:lvlJc w:val="left"/>
      <w:pPr>
        <w:ind w:left="4380" w:hanging="360"/>
      </w:pPr>
      <w:rPr>
        <w:rFonts w:ascii="Wingdings" w:hAnsi="Wingdings" w:hint="default"/>
      </w:rPr>
    </w:lvl>
    <w:lvl w:ilvl="6" w:tplc="04180001" w:tentative="1">
      <w:start w:val="1"/>
      <w:numFmt w:val="bullet"/>
      <w:lvlText w:val=""/>
      <w:lvlJc w:val="left"/>
      <w:pPr>
        <w:ind w:left="5100" w:hanging="360"/>
      </w:pPr>
      <w:rPr>
        <w:rFonts w:ascii="Symbol" w:hAnsi="Symbol" w:hint="default"/>
      </w:rPr>
    </w:lvl>
    <w:lvl w:ilvl="7" w:tplc="04180003" w:tentative="1">
      <w:start w:val="1"/>
      <w:numFmt w:val="bullet"/>
      <w:lvlText w:val="o"/>
      <w:lvlJc w:val="left"/>
      <w:pPr>
        <w:ind w:left="5820" w:hanging="360"/>
      </w:pPr>
      <w:rPr>
        <w:rFonts w:ascii="Courier New" w:hAnsi="Courier New" w:cs="Courier New" w:hint="default"/>
      </w:rPr>
    </w:lvl>
    <w:lvl w:ilvl="8" w:tplc="04180005" w:tentative="1">
      <w:start w:val="1"/>
      <w:numFmt w:val="bullet"/>
      <w:lvlText w:val=""/>
      <w:lvlJc w:val="left"/>
      <w:pPr>
        <w:ind w:left="6540" w:hanging="360"/>
      </w:pPr>
      <w:rPr>
        <w:rFonts w:ascii="Wingdings" w:hAnsi="Wingdings" w:hint="default"/>
      </w:rPr>
    </w:lvl>
  </w:abstractNum>
  <w:abstractNum w:abstractNumId="144" w15:restartNumberingAfterBreak="0">
    <w:nsid w:val="64FA1274"/>
    <w:multiLevelType w:val="hybridMultilevel"/>
    <w:tmpl w:val="2DCA2A8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5" w15:restartNumberingAfterBreak="0">
    <w:nsid w:val="65663F4A"/>
    <w:multiLevelType w:val="hybridMultilevel"/>
    <w:tmpl w:val="8438B92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885EE9"/>
    <w:multiLevelType w:val="hybridMultilevel"/>
    <w:tmpl w:val="B7F4955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8166DAE"/>
    <w:multiLevelType w:val="hybridMultilevel"/>
    <w:tmpl w:val="88324D68"/>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8" w15:restartNumberingAfterBreak="0">
    <w:nsid w:val="682113EF"/>
    <w:multiLevelType w:val="hybridMultilevel"/>
    <w:tmpl w:val="B5F85A88"/>
    <w:lvl w:ilvl="0" w:tplc="04090003">
      <w:start w:val="1"/>
      <w:numFmt w:val="bullet"/>
      <w:lvlText w:val="o"/>
      <w:lvlJc w:val="left"/>
      <w:pPr>
        <w:ind w:left="1170" w:hanging="360"/>
      </w:pPr>
      <w:rPr>
        <w:rFonts w:ascii="Courier New" w:hAnsi="Courier New" w:cs="Courier New"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49" w15:restartNumberingAfterBreak="0">
    <w:nsid w:val="682C2A78"/>
    <w:multiLevelType w:val="hybridMultilevel"/>
    <w:tmpl w:val="ECC855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8821788"/>
    <w:multiLevelType w:val="hybridMultilevel"/>
    <w:tmpl w:val="C8BE939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6A632CFB"/>
    <w:multiLevelType w:val="hybridMultilevel"/>
    <w:tmpl w:val="C266794A"/>
    <w:lvl w:ilvl="0" w:tplc="04090017">
      <w:start w:val="1"/>
      <w:numFmt w:val="lowerLetter"/>
      <w:lvlText w:val="%1)"/>
      <w:lvlJc w:val="left"/>
      <w:pPr>
        <w:ind w:left="1429" w:hanging="360"/>
      </w:pPr>
    </w:lvl>
    <w:lvl w:ilvl="1" w:tplc="04090017">
      <w:start w:val="1"/>
      <w:numFmt w:val="lowerLetter"/>
      <w:lvlText w:val="%2)"/>
      <w:lvlJc w:val="left"/>
      <w:pPr>
        <w:ind w:left="2149" w:hanging="360"/>
      </w:pPr>
    </w:lvl>
    <w:lvl w:ilvl="2" w:tplc="0418001B" w:tentative="1">
      <w:start w:val="1"/>
      <w:numFmt w:val="lowerRoman"/>
      <w:lvlText w:val="%3."/>
      <w:lvlJc w:val="right"/>
      <w:pPr>
        <w:ind w:left="2869" w:hanging="180"/>
      </w:pPr>
    </w:lvl>
    <w:lvl w:ilvl="3" w:tplc="0418000F" w:tentative="1">
      <w:start w:val="1"/>
      <w:numFmt w:val="decimal"/>
      <w:lvlText w:val="%4."/>
      <w:lvlJc w:val="left"/>
      <w:pPr>
        <w:ind w:left="3589" w:hanging="360"/>
      </w:pPr>
    </w:lvl>
    <w:lvl w:ilvl="4" w:tplc="04180019" w:tentative="1">
      <w:start w:val="1"/>
      <w:numFmt w:val="lowerLetter"/>
      <w:lvlText w:val="%5."/>
      <w:lvlJc w:val="left"/>
      <w:pPr>
        <w:ind w:left="4309" w:hanging="360"/>
      </w:pPr>
    </w:lvl>
    <w:lvl w:ilvl="5" w:tplc="0418001B" w:tentative="1">
      <w:start w:val="1"/>
      <w:numFmt w:val="lowerRoman"/>
      <w:lvlText w:val="%6."/>
      <w:lvlJc w:val="right"/>
      <w:pPr>
        <w:ind w:left="5029" w:hanging="180"/>
      </w:pPr>
    </w:lvl>
    <w:lvl w:ilvl="6" w:tplc="0418000F" w:tentative="1">
      <w:start w:val="1"/>
      <w:numFmt w:val="decimal"/>
      <w:lvlText w:val="%7."/>
      <w:lvlJc w:val="left"/>
      <w:pPr>
        <w:ind w:left="5749" w:hanging="360"/>
      </w:pPr>
    </w:lvl>
    <w:lvl w:ilvl="7" w:tplc="04180019" w:tentative="1">
      <w:start w:val="1"/>
      <w:numFmt w:val="lowerLetter"/>
      <w:lvlText w:val="%8."/>
      <w:lvlJc w:val="left"/>
      <w:pPr>
        <w:ind w:left="6469" w:hanging="360"/>
      </w:pPr>
    </w:lvl>
    <w:lvl w:ilvl="8" w:tplc="0418001B" w:tentative="1">
      <w:start w:val="1"/>
      <w:numFmt w:val="lowerRoman"/>
      <w:lvlText w:val="%9."/>
      <w:lvlJc w:val="right"/>
      <w:pPr>
        <w:ind w:left="7189" w:hanging="180"/>
      </w:pPr>
    </w:lvl>
  </w:abstractNum>
  <w:abstractNum w:abstractNumId="152" w15:restartNumberingAfterBreak="0">
    <w:nsid w:val="6B6011AB"/>
    <w:multiLevelType w:val="hybridMultilevel"/>
    <w:tmpl w:val="DDA6A65E"/>
    <w:lvl w:ilvl="0" w:tplc="04090005">
      <w:start w:val="1"/>
      <w:numFmt w:val="bullet"/>
      <w:lvlText w:val=""/>
      <w:lvlJc w:val="left"/>
      <w:pPr>
        <w:ind w:left="817" w:hanging="360"/>
      </w:pPr>
      <w:rPr>
        <w:rFonts w:ascii="Wingdings" w:hAnsi="Wingdings" w:hint="default"/>
      </w:rPr>
    </w:lvl>
    <w:lvl w:ilvl="1" w:tplc="04180003" w:tentative="1">
      <w:start w:val="1"/>
      <w:numFmt w:val="bullet"/>
      <w:lvlText w:val="o"/>
      <w:lvlJc w:val="left"/>
      <w:pPr>
        <w:ind w:left="1537" w:hanging="360"/>
      </w:pPr>
      <w:rPr>
        <w:rFonts w:ascii="Courier New" w:hAnsi="Courier New" w:cs="Courier New" w:hint="default"/>
      </w:rPr>
    </w:lvl>
    <w:lvl w:ilvl="2" w:tplc="04180005" w:tentative="1">
      <w:start w:val="1"/>
      <w:numFmt w:val="bullet"/>
      <w:lvlText w:val=""/>
      <w:lvlJc w:val="left"/>
      <w:pPr>
        <w:ind w:left="2257" w:hanging="360"/>
      </w:pPr>
      <w:rPr>
        <w:rFonts w:ascii="Wingdings" w:hAnsi="Wingdings" w:hint="default"/>
      </w:rPr>
    </w:lvl>
    <w:lvl w:ilvl="3" w:tplc="04180001" w:tentative="1">
      <w:start w:val="1"/>
      <w:numFmt w:val="bullet"/>
      <w:lvlText w:val=""/>
      <w:lvlJc w:val="left"/>
      <w:pPr>
        <w:ind w:left="2977" w:hanging="360"/>
      </w:pPr>
      <w:rPr>
        <w:rFonts w:ascii="Symbol" w:hAnsi="Symbol" w:hint="default"/>
      </w:rPr>
    </w:lvl>
    <w:lvl w:ilvl="4" w:tplc="04180003" w:tentative="1">
      <w:start w:val="1"/>
      <w:numFmt w:val="bullet"/>
      <w:lvlText w:val="o"/>
      <w:lvlJc w:val="left"/>
      <w:pPr>
        <w:ind w:left="3697" w:hanging="360"/>
      </w:pPr>
      <w:rPr>
        <w:rFonts w:ascii="Courier New" w:hAnsi="Courier New" w:cs="Courier New" w:hint="default"/>
      </w:rPr>
    </w:lvl>
    <w:lvl w:ilvl="5" w:tplc="04180005" w:tentative="1">
      <w:start w:val="1"/>
      <w:numFmt w:val="bullet"/>
      <w:lvlText w:val=""/>
      <w:lvlJc w:val="left"/>
      <w:pPr>
        <w:ind w:left="4417" w:hanging="360"/>
      </w:pPr>
      <w:rPr>
        <w:rFonts w:ascii="Wingdings" w:hAnsi="Wingdings" w:hint="default"/>
      </w:rPr>
    </w:lvl>
    <w:lvl w:ilvl="6" w:tplc="04180001" w:tentative="1">
      <w:start w:val="1"/>
      <w:numFmt w:val="bullet"/>
      <w:lvlText w:val=""/>
      <w:lvlJc w:val="left"/>
      <w:pPr>
        <w:ind w:left="5137" w:hanging="360"/>
      </w:pPr>
      <w:rPr>
        <w:rFonts w:ascii="Symbol" w:hAnsi="Symbol" w:hint="default"/>
      </w:rPr>
    </w:lvl>
    <w:lvl w:ilvl="7" w:tplc="04180003" w:tentative="1">
      <w:start w:val="1"/>
      <w:numFmt w:val="bullet"/>
      <w:lvlText w:val="o"/>
      <w:lvlJc w:val="left"/>
      <w:pPr>
        <w:ind w:left="5857" w:hanging="360"/>
      </w:pPr>
      <w:rPr>
        <w:rFonts w:ascii="Courier New" w:hAnsi="Courier New" w:cs="Courier New" w:hint="default"/>
      </w:rPr>
    </w:lvl>
    <w:lvl w:ilvl="8" w:tplc="04180005" w:tentative="1">
      <w:start w:val="1"/>
      <w:numFmt w:val="bullet"/>
      <w:lvlText w:val=""/>
      <w:lvlJc w:val="left"/>
      <w:pPr>
        <w:ind w:left="6577" w:hanging="360"/>
      </w:pPr>
      <w:rPr>
        <w:rFonts w:ascii="Wingdings" w:hAnsi="Wingdings" w:hint="default"/>
      </w:rPr>
    </w:lvl>
  </w:abstractNum>
  <w:abstractNum w:abstractNumId="153" w15:restartNumberingAfterBreak="0">
    <w:nsid w:val="6BCE05BC"/>
    <w:multiLevelType w:val="hybridMultilevel"/>
    <w:tmpl w:val="6A4A3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C6E067F"/>
    <w:multiLevelType w:val="hybridMultilevel"/>
    <w:tmpl w:val="C27C806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5" w15:restartNumberingAfterBreak="0">
    <w:nsid w:val="6D8442F0"/>
    <w:multiLevelType w:val="hybridMultilevel"/>
    <w:tmpl w:val="C7EC4A5E"/>
    <w:lvl w:ilvl="0" w:tplc="81F8B0A6">
      <w:start w:val="1"/>
      <w:numFmt w:val="decimal"/>
      <w:lvlText w:val="%1."/>
      <w:lvlJc w:val="left"/>
      <w:pPr>
        <w:ind w:left="360" w:hanging="360"/>
      </w:pPr>
      <w:rPr>
        <w:rFonts w:ascii="Cambria" w:eastAsia="Calibri" w:hAnsi="Cambria" w:cs="Times New Roman"/>
        <w:b w:val="0"/>
        <w:i w:val="0"/>
      </w:rPr>
    </w:lvl>
    <w:lvl w:ilvl="1" w:tplc="04180003">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156" w15:restartNumberingAfterBreak="0">
    <w:nsid w:val="6DE82DCF"/>
    <w:multiLevelType w:val="hybridMultilevel"/>
    <w:tmpl w:val="4E34B114"/>
    <w:lvl w:ilvl="0" w:tplc="04090005">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7" w15:restartNumberingAfterBreak="0">
    <w:nsid w:val="6E0C0EFC"/>
    <w:multiLevelType w:val="hybridMultilevel"/>
    <w:tmpl w:val="1B3886B0"/>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58" w15:restartNumberingAfterBreak="0">
    <w:nsid w:val="6E4E7C81"/>
    <w:multiLevelType w:val="hybridMultilevel"/>
    <w:tmpl w:val="684A3AF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6F3F0289"/>
    <w:multiLevelType w:val="hybridMultilevel"/>
    <w:tmpl w:val="EA9AB6C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6F71073E"/>
    <w:multiLevelType w:val="hybridMultilevel"/>
    <w:tmpl w:val="516299EA"/>
    <w:lvl w:ilvl="0" w:tplc="688678C8">
      <w:start w:val="1"/>
      <w:numFmt w:val="bullet"/>
      <w:lvlText w:val=""/>
      <w:lvlJc w:val="left"/>
      <w:pPr>
        <w:ind w:left="1428" w:hanging="360"/>
      </w:pPr>
      <w:rPr>
        <w:rFonts w:ascii="Symbol" w:hAnsi="Symbol" w:hint="default"/>
      </w:rPr>
    </w:lvl>
    <w:lvl w:ilvl="1" w:tplc="2C88ABB6">
      <w:start w:val="1"/>
      <w:numFmt w:val="bullet"/>
      <w:lvlText w:val=""/>
      <w:lvlJc w:val="left"/>
      <w:pPr>
        <w:ind w:left="450" w:hanging="360"/>
      </w:pPr>
      <w:rPr>
        <w:rFonts w:ascii="Wingdings" w:hAnsi="Wingdings" w:hint="default"/>
        <w:sz w:val="24"/>
        <w:szCs w:val="24"/>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61" w15:restartNumberingAfterBreak="0">
    <w:nsid w:val="6FA27AF2"/>
    <w:multiLevelType w:val="hybridMultilevel"/>
    <w:tmpl w:val="F6C228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FBF3476"/>
    <w:multiLevelType w:val="hybridMultilevel"/>
    <w:tmpl w:val="8D38FE52"/>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02515DC"/>
    <w:multiLevelType w:val="hybridMultilevel"/>
    <w:tmpl w:val="124084DA"/>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4" w15:restartNumberingAfterBreak="0">
    <w:nsid w:val="727D7B7E"/>
    <w:multiLevelType w:val="hybridMultilevel"/>
    <w:tmpl w:val="A4C25A2E"/>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5" w15:restartNumberingAfterBreak="0">
    <w:nsid w:val="72FB5729"/>
    <w:multiLevelType w:val="hybridMultilevel"/>
    <w:tmpl w:val="26E2F078"/>
    <w:lvl w:ilvl="0" w:tplc="6CAC6406">
      <w:numFmt w:val="bullet"/>
      <w:lvlText w:val=""/>
      <w:lvlJc w:val="left"/>
      <w:pPr>
        <w:ind w:left="1785" w:hanging="360"/>
      </w:pPr>
      <w:rPr>
        <w:rFonts w:ascii="Wingdings" w:eastAsia="Times New Roman" w:hAnsi="Wingdings" w:cs="Times New Roman" w:hint="default"/>
        <w:color w:val="auto"/>
        <w:sz w:val="24"/>
        <w:szCs w:val="24"/>
        <w:lang w:val="it-IT"/>
      </w:rPr>
    </w:lvl>
    <w:lvl w:ilvl="1" w:tplc="04180003" w:tentative="1">
      <w:start w:val="1"/>
      <w:numFmt w:val="bullet"/>
      <w:lvlText w:val="o"/>
      <w:lvlJc w:val="left"/>
      <w:pPr>
        <w:ind w:left="2505" w:hanging="360"/>
      </w:pPr>
      <w:rPr>
        <w:rFonts w:ascii="Courier New" w:hAnsi="Courier New" w:cs="Courier New" w:hint="default"/>
      </w:rPr>
    </w:lvl>
    <w:lvl w:ilvl="2" w:tplc="04180005" w:tentative="1">
      <w:start w:val="1"/>
      <w:numFmt w:val="bullet"/>
      <w:lvlText w:val=""/>
      <w:lvlJc w:val="left"/>
      <w:pPr>
        <w:ind w:left="3225" w:hanging="360"/>
      </w:pPr>
      <w:rPr>
        <w:rFonts w:ascii="Wingdings" w:hAnsi="Wingdings" w:hint="default"/>
      </w:rPr>
    </w:lvl>
    <w:lvl w:ilvl="3" w:tplc="04180001" w:tentative="1">
      <w:start w:val="1"/>
      <w:numFmt w:val="bullet"/>
      <w:lvlText w:val=""/>
      <w:lvlJc w:val="left"/>
      <w:pPr>
        <w:ind w:left="3945" w:hanging="360"/>
      </w:pPr>
      <w:rPr>
        <w:rFonts w:ascii="Symbol" w:hAnsi="Symbol" w:hint="default"/>
      </w:rPr>
    </w:lvl>
    <w:lvl w:ilvl="4" w:tplc="04180003" w:tentative="1">
      <w:start w:val="1"/>
      <w:numFmt w:val="bullet"/>
      <w:lvlText w:val="o"/>
      <w:lvlJc w:val="left"/>
      <w:pPr>
        <w:ind w:left="4665" w:hanging="360"/>
      </w:pPr>
      <w:rPr>
        <w:rFonts w:ascii="Courier New" w:hAnsi="Courier New" w:cs="Courier New" w:hint="default"/>
      </w:rPr>
    </w:lvl>
    <w:lvl w:ilvl="5" w:tplc="04180005" w:tentative="1">
      <w:start w:val="1"/>
      <w:numFmt w:val="bullet"/>
      <w:lvlText w:val=""/>
      <w:lvlJc w:val="left"/>
      <w:pPr>
        <w:ind w:left="5385" w:hanging="360"/>
      </w:pPr>
      <w:rPr>
        <w:rFonts w:ascii="Wingdings" w:hAnsi="Wingdings" w:hint="default"/>
      </w:rPr>
    </w:lvl>
    <w:lvl w:ilvl="6" w:tplc="04180001" w:tentative="1">
      <w:start w:val="1"/>
      <w:numFmt w:val="bullet"/>
      <w:lvlText w:val=""/>
      <w:lvlJc w:val="left"/>
      <w:pPr>
        <w:ind w:left="6105" w:hanging="360"/>
      </w:pPr>
      <w:rPr>
        <w:rFonts w:ascii="Symbol" w:hAnsi="Symbol" w:hint="default"/>
      </w:rPr>
    </w:lvl>
    <w:lvl w:ilvl="7" w:tplc="04180003" w:tentative="1">
      <w:start w:val="1"/>
      <w:numFmt w:val="bullet"/>
      <w:lvlText w:val="o"/>
      <w:lvlJc w:val="left"/>
      <w:pPr>
        <w:ind w:left="6825" w:hanging="360"/>
      </w:pPr>
      <w:rPr>
        <w:rFonts w:ascii="Courier New" w:hAnsi="Courier New" w:cs="Courier New" w:hint="default"/>
      </w:rPr>
    </w:lvl>
    <w:lvl w:ilvl="8" w:tplc="04180005" w:tentative="1">
      <w:start w:val="1"/>
      <w:numFmt w:val="bullet"/>
      <w:lvlText w:val=""/>
      <w:lvlJc w:val="left"/>
      <w:pPr>
        <w:ind w:left="7545" w:hanging="360"/>
      </w:pPr>
      <w:rPr>
        <w:rFonts w:ascii="Wingdings" w:hAnsi="Wingdings" w:hint="default"/>
      </w:rPr>
    </w:lvl>
  </w:abstractNum>
  <w:abstractNum w:abstractNumId="166" w15:restartNumberingAfterBreak="0">
    <w:nsid w:val="738F72B6"/>
    <w:multiLevelType w:val="hybridMultilevel"/>
    <w:tmpl w:val="E66E9F5C"/>
    <w:lvl w:ilvl="0" w:tplc="0B5292DE">
      <w:start w:val="3"/>
      <w:numFmt w:val="decimal"/>
      <w:lvlText w:val="%1."/>
      <w:lvlJc w:val="left"/>
      <w:pPr>
        <w:ind w:left="720" w:hanging="360"/>
      </w:pPr>
      <w:rPr>
        <w:rFonts w:hint="default"/>
        <w:b/>
        <w:bCs/>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7" w15:restartNumberingAfterBreak="0">
    <w:nsid w:val="73A84186"/>
    <w:multiLevelType w:val="hybridMultilevel"/>
    <w:tmpl w:val="90967332"/>
    <w:lvl w:ilvl="0" w:tplc="91726D88">
      <w:start w:val="1"/>
      <w:numFmt w:val="decimal"/>
      <w:lvlText w:val="%1."/>
      <w:lvlJc w:val="right"/>
      <w:pPr>
        <w:ind w:left="720" w:hanging="360"/>
      </w:pPr>
      <w:rPr>
        <w:rFonts w:hint="default"/>
        <w:b w:val="0"/>
        <w:i w:val="0"/>
      </w:rPr>
    </w:lvl>
    <w:lvl w:ilvl="1" w:tplc="6CAC6406">
      <w:numFmt w:val="bullet"/>
      <w:lvlText w:val=""/>
      <w:lvlJc w:val="left"/>
      <w:pPr>
        <w:ind w:left="720" w:hanging="360"/>
      </w:pPr>
      <w:rPr>
        <w:rFonts w:ascii="Wingdings" w:eastAsia="Times New Roman" w:hAnsi="Wingdings" w:cs="Times New Roman" w:hint="default"/>
        <w:color w:val="auto"/>
        <w:sz w:val="24"/>
        <w:szCs w:val="24"/>
        <w:lang w:val="it-IT"/>
      </w:rPr>
    </w:lvl>
    <w:lvl w:ilvl="2" w:tplc="0418001B">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8" w15:restartNumberingAfterBreak="0">
    <w:nsid w:val="76A14B62"/>
    <w:multiLevelType w:val="hybridMultilevel"/>
    <w:tmpl w:val="FA0EB310"/>
    <w:lvl w:ilvl="0" w:tplc="0418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77095BEC"/>
    <w:multiLevelType w:val="hybridMultilevel"/>
    <w:tmpl w:val="52923C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A666EE0"/>
    <w:multiLevelType w:val="hybridMultilevel"/>
    <w:tmpl w:val="8DBCEE86"/>
    <w:lvl w:ilvl="0" w:tplc="0418000F">
      <w:start w:val="1"/>
      <w:numFmt w:val="decimal"/>
      <w:lvlText w:val="%1."/>
      <w:lvlJc w:val="left"/>
      <w:pPr>
        <w:ind w:left="36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1" w15:restartNumberingAfterBreak="0">
    <w:nsid w:val="7AC07303"/>
    <w:multiLevelType w:val="hybridMultilevel"/>
    <w:tmpl w:val="37A053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B141203"/>
    <w:multiLevelType w:val="hybridMultilevel"/>
    <w:tmpl w:val="9C6AF3A8"/>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3" w15:restartNumberingAfterBreak="0">
    <w:nsid w:val="7D016943"/>
    <w:multiLevelType w:val="hybridMultilevel"/>
    <w:tmpl w:val="1772E0D8"/>
    <w:lvl w:ilvl="0" w:tplc="6CAC6406">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E0B353B"/>
    <w:multiLevelType w:val="hybridMultilevel"/>
    <w:tmpl w:val="96A23C06"/>
    <w:lvl w:ilvl="0" w:tplc="04090005">
      <w:start w:val="1"/>
      <w:numFmt w:val="bullet"/>
      <w:lvlText w:val=""/>
      <w:lvlJc w:val="left"/>
      <w:pPr>
        <w:ind w:left="720" w:hanging="360"/>
      </w:pPr>
      <w:rPr>
        <w:rFonts w:ascii="Wingdings" w:hAnsi="Wingdings" w:hint="default"/>
        <w:color w:val="auto"/>
        <w:sz w:val="24"/>
        <w:szCs w:val="24"/>
        <w:lang w:val="it-I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5" w15:restartNumberingAfterBreak="0">
    <w:nsid w:val="7EB119BB"/>
    <w:multiLevelType w:val="hybridMultilevel"/>
    <w:tmpl w:val="7BAE4C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FE00995"/>
    <w:multiLevelType w:val="hybridMultilevel"/>
    <w:tmpl w:val="690EC95E"/>
    <w:lvl w:ilvl="0" w:tplc="2D8832BA">
      <w:start w:val="1"/>
      <w:numFmt w:val="upperLetter"/>
      <w:lvlText w:val="%1."/>
      <w:lvlJc w:val="left"/>
      <w:pPr>
        <w:ind w:left="720" w:hanging="360"/>
      </w:pPr>
      <w:rPr>
        <w:rFonts w:cs="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7"/>
  </w:num>
  <w:num w:numId="2">
    <w:abstractNumId w:val="45"/>
  </w:num>
  <w:num w:numId="3">
    <w:abstractNumId w:val="92"/>
  </w:num>
  <w:num w:numId="4">
    <w:abstractNumId w:val="139"/>
  </w:num>
  <w:num w:numId="5">
    <w:abstractNumId w:val="136"/>
  </w:num>
  <w:num w:numId="6">
    <w:abstractNumId w:val="97"/>
  </w:num>
  <w:num w:numId="7">
    <w:abstractNumId w:val="96"/>
  </w:num>
  <w:num w:numId="8">
    <w:abstractNumId w:val="7"/>
  </w:num>
  <w:num w:numId="9">
    <w:abstractNumId w:val="5"/>
  </w:num>
  <w:num w:numId="10">
    <w:abstractNumId w:val="150"/>
  </w:num>
  <w:num w:numId="11">
    <w:abstractNumId w:val="134"/>
  </w:num>
  <w:num w:numId="12">
    <w:abstractNumId w:val="90"/>
  </w:num>
  <w:num w:numId="13">
    <w:abstractNumId w:val="71"/>
  </w:num>
  <w:num w:numId="14">
    <w:abstractNumId w:val="89"/>
  </w:num>
  <w:num w:numId="15">
    <w:abstractNumId w:val="81"/>
  </w:num>
  <w:num w:numId="16">
    <w:abstractNumId w:val="106"/>
  </w:num>
  <w:num w:numId="17">
    <w:abstractNumId w:val="23"/>
  </w:num>
  <w:num w:numId="18">
    <w:abstractNumId w:val="61"/>
  </w:num>
  <w:num w:numId="19">
    <w:abstractNumId w:val="172"/>
  </w:num>
  <w:num w:numId="20">
    <w:abstractNumId w:val="74"/>
  </w:num>
  <w:num w:numId="21">
    <w:abstractNumId w:val="167"/>
  </w:num>
  <w:num w:numId="22">
    <w:abstractNumId w:val="113"/>
  </w:num>
  <w:num w:numId="23">
    <w:abstractNumId w:val="155"/>
  </w:num>
  <w:num w:numId="24">
    <w:abstractNumId w:val="36"/>
  </w:num>
  <w:num w:numId="25">
    <w:abstractNumId w:val="126"/>
  </w:num>
  <w:num w:numId="26">
    <w:abstractNumId w:val="176"/>
  </w:num>
  <w:num w:numId="27">
    <w:abstractNumId w:val="20"/>
  </w:num>
  <w:num w:numId="28">
    <w:abstractNumId w:val="87"/>
  </w:num>
  <w:num w:numId="29">
    <w:abstractNumId w:val="6"/>
  </w:num>
  <w:num w:numId="30">
    <w:abstractNumId w:val="117"/>
  </w:num>
  <w:num w:numId="31">
    <w:abstractNumId w:val="66"/>
  </w:num>
  <w:num w:numId="32">
    <w:abstractNumId w:val="93"/>
  </w:num>
  <w:num w:numId="33">
    <w:abstractNumId w:val="28"/>
  </w:num>
  <w:num w:numId="34">
    <w:abstractNumId w:val="44"/>
  </w:num>
  <w:num w:numId="35">
    <w:abstractNumId w:val="88"/>
  </w:num>
  <w:num w:numId="36">
    <w:abstractNumId w:val="70"/>
  </w:num>
  <w:num w:numId="37">
    <w:abstractNumId w:val="153"/>
  </w:num>
  <w:num w:numId="38">
    <w:abstractNumId w:val="142"/>
  </w:num>
  <w:num w:numId="39">
    <w:abstractNumId w:val="51"/>
  </w:num>
  <w:num w:numId="40">
    <w:abstractNumId w:val="60"/>
  </w:num>
  <w:num w:numId="41">
    <w:abstractNumId w:val="173"/>
  </w:num>
  <w:num w:numId="42">
    <w:abstractNumId w:val="76"/>
  </w:num>
  <w:num w:numId="43">
    <w:abstractNumId w:val="31"/>
  </w:num>
  <w:num w:numId="44">
    <w:abstractNumId w:val="107"/>
  </w:num>
  <w:num w:numId="45">
    <w:abstractNumId w:val="169"/>
  </w:num>
  <w:num w:numId="46">
    <w:abstractNumId w:val="175"/>
  </w:num>
  <w:num w:numId="47">
    <w:abstractNumId w:val="116"/>
  </w:num>
  <w:num w:numId="48">
    <w:abstractNumId w:val="104"/>
  </w:num>
  <w:num w:numId="49">
    <w:abstractNumId w:val="114"/>
  </w:num>
  <w:num w:numId="50">
    <w:abstractNumId w:val="132"/>
  </w:num>
  <w:num w:numId="51">
    <w:abstractNumId w:val="16"/>
  </w:num>
  <w:num w:numId="52">
    <w:abstractNumId w:val="84"/>
  </w:num>
  <w:num w:numId="53">
    <w:abstractNumId w:val="137"/>
  </w:num>
  <w:num w:numId="54">
    <w:abstractNumId w:val="171"/>
  </w:num>
  <w:num w:numId="55">
    <w:abstractNumId w:val="47"/>
  </w:num>
  <w:num w:numId="56">
    <w:abstractNumId w:val="145"/>
  </w:num>
  <w:num w:numId="57">
    <w:abstractNumId w:val="19"/>
  </w:num>
  <w:num w:numId="58">
    <w:abstractNumId w:val="37"/>
  </w:num>
  <w:num w:numId="59">
    <w:abstractNumId w:val="58"/>
  </w:num>
  <w:num w:numId="60">
    <w:abstractNumId w:val="108"/>
  </w:num>
  <w:num w:numId="61">
    <w:abstractNumId w:val="147"/>
  </w:num>
  <w:num w:numId="62">
    <w:abstractNumId w:val="56"/>
  </w:num>
  <w:num w:numId="63">
    <w:abstractNumId w:val="75"/>
  </w:num>
  <w:num w:numId="64">
    <w:abstractNumId w:val="157"/>
  </w:num>
  <w:num w:numId="65">
    <w:abstractNumId w:val="140"/>
  </w:num>
  <w:num w:numId="66">
    <w:abstractNumId w:val="112"/>
  </w:num>
  <w:num w:numId="67">
    <w:abstractNumId w:val="144"/>
  </w:num>
  <w:num w:numId="68">
    <w:abstractNumId w:val="163"/>
  </w:num>
  <w:num w:numId="69">
    <w:abstractNumId w:val="149"/>
  </w:num>
  <w:num w:numId="70">
    <w:abstractNumId w:val="8"/>
  </w:num>
  <w:num w:numId="71">
    <w:abstractNumId w:val="91"/>
  </w:num>
  <w:num w:numId="72">
    <w:abstractNumId w:val="24"/>
  </w:num>
  <w:num w:numId="73">
    <w:abstractNumId w:val="118"/>
  </w:num>
  <w:num w:numId="74">
    <w:abstractNumId w:val="57"/>
  </w:num>
  <w:num w:numId="75">
    <w:abstractNumId w:val="115"/>
  </w:num>
  <w:num w:numId="76">
    <w:abstractNumId w:val="135"/>
  </w:num>
  <w:num w:numId="77">
    <w:abstractNumId w:val="99"/>
  </w:num>
  <w:num w:numId="78">
    <w:abstractNumId w:val="39"/>
  </w:num>
  <w:num w:numId="79">
    <w:abstractNumId w:val="14"/>
  </w:num>
  <w:num w:numId="80">
    <w:abstractNumId w:val="53"/>
  </w:num>
  <w:num w:numId="81">
    <w:abstractNumId w:val="12"/>
  </w:num>
  <w:num w:numId="82">
    <w:abstractNumId w:val="122"/>
  </w:num>
  <w:num w:numId="83">
    <w:abstractNumId w:val="95"/>
  </w:num>
  <w:num w:numId="84">
    <w:abstractNumId w:val="35"/>
  </w:num>
  <w:num w:numId="85">
    <w:abstractNumId w:val="159"/>
  </w:num>
  <w:num w:numId="86">
    <w:abstractNumId w:val="13"/>
  </w:num>
  <w:num w:numId="87">
    <w:abstractNumId w:val="109"/>
  </w:num>
  <w:num w:numId="88">
    <w:abstractNumId w:val="127"/>
  </w:num>
  <w:num w:numId="89">
    <w:abstractNumId w:val="158"/>
  </w:num>
  <w:num w:numId="90">
    <w:abstractNumId w:val="40"/>
  </w:num>
  <w:num w:numId="91">
    <w:abstractNumId w:val="55"/>
  </w:num>
  <w:num w:numId="92">
    <w:abstractNumId w:val="161"/>
  </w:num>
  <w:num w:numId="93">
    <w:abstractNumId w:val="79"/>
  </w:num>
  <w:num w:numId="94">
    <w:abstractNumId w:val="46"/>
  </w:num>
  <w:num w:numId="95">
    <w:abstractNumId w:val="156"/>
  </w:num>
  <w:num w:numId="96">
    <w:abstractNumId w:val="164"/>
  </w:num>
  <w:num w:numId="97">
    <w:abstractNumId w:val="128"/>
  </w:num>
  <w:num w:numId="98">
    <w:abstractNumId w:val="30"/>
  </w:num>
  <w:num w:numId="99">
    <w:abstractNumId w:val="9"/>
  </w:num>
  <w:num w:numId="100">
    <w:abstractNumId w:val="133"/>
  </w:num>
  <w:num w:numId="101">
    <w:abstractNumId w:val="22"/>
  </w:num>
  <w:num w:numId="102">
    <w:abstractNumId w:val="38"/>
  </w:num>
  <w:num w:numId="103">
    <w:abstractNumId w:val="174"/>
  </w:num>
  <w:num w:numId="104">
    <w:abstractNumId w:val="129"/>
  </w:num>
  <w:num w:numId="105">
    <w:abstractNumId w:val="2"/>
  </w:num>
  <w:num w:numId="106">
    <w:abstractNumId w:val="64"/>
  </w:num>
  <w:num w:numId="107">
    <w:abstractNumId w:val="1"/>
  </w:num>
  <w:num w:numId="108">
    <w:abstractNumId w:val="62"/>
  </w:num>
  <w:num w:numId="109">
    <w:abstractNumId w:val="69"/>
  </w:num>
  <w:num w:numId="110">
    <w:abstractNumId w:val="18"/>
  </w:num>
  <w:num w:numId="111">
    <w:abstractNumId w:val="151"/>
  </w:num>
  <w:num w:numId="112">
    <w:abstractNumId w:val="49"/>
  </w:num>
  <w:num w:numId="113">
    <w:abstractNumId w:val="94"/>
  </w:num>
  <w:num w:numId="114">
    <w:abstractNumId w:val="41"/>
  </w:num>
  <w:num w:numId="115">
    <w:abstractNumId w:val="168"/>
  </w:num>
  <w:num w:numId="116">
    <w:abstractNumId w:val="54"/>
  </w:num>
  <w:num w:numId="117">
    <w:abstractNumId w:val="52"/>
  </w:num>
  <w:num w:numId="118">
    <w:abstractNumId w:val="68"/>
  </w:num>
  <w:num w:numId="119">
    <w:abstractNumId w:val="48"/>
  </w:num>
  <w:num w:numId="120">
    <w:abstractNumId w:val="43"/>
  </w:num>
  <w:num w:numId="121">
    <w:abstractNumId w:val="42"/>
  </w:num>
  <w:num w:numId="122">
    <w:abstractNumId w:val="121"/>
  </w:num>
  <w:num w:numId="123">
    <w:abstractNumId w:val="165"/>
  </w:num>
  <w:num w:numId="124">
    <w:abstractNumId w:val="138"/>
  </w:num>
  <w:num w:numId="125">
    <w:abstractNumId w:val="102"/>
  </w:num>
  <w:num w:numId="126">
    <w:abstractNumId w:val="15"/>
  </w:num>
  <w:num w:numId="127">
    <w:abstractNumId w:val="34"/>
  </w:num>
  <w:num w:numId="128">
    <w:abstractNumId w:val="59"/>
  </w:num>
  <w:num w:numId="129">
    <w:abstractNumId w:val="85"/>
  </w:num>
  <w:num w:numId="130">
    <w:abstractNumId w:val="33"/>
  </w:num>
  <w:num w:numId="131">
    <w:abstractNumId w:val="141"/>
  </w:num>
  <w:num w:numId="132">
    <w:abstractNumId w:val="10"/>
  </w:num>
  <w:num w:numId="133">
    <w:abstractNumId w:val="101"/>
  </w:num>
  <w:num w:numId="134">
    <w:abstractNumId w:val="67"/>
  </w:num>
  <w:num w:numId="135">
    <w:abstractNumId w:val="152"/>
  </w:num>
  <w:num w:numId="136">
    <w:abstractNumId w:val="4"/>
  </w:num>
  <w:num w:numId="137">
    <w:abstractNumId w:val="123"/>
  </w:num>
  <w:num w:numId="138">
    <w:abstractNumId w:val="25"/>
  </w:num>
  <w:num w:numId="139">
    <w:abstractNumId w:val="21"/>
  </w:num>
  <w:num w:numId="140">
    <w:abstractNumId w:val="131"/>
  </w:num>
  <w:num w:numId="141">
    <w:abstractNumId w:val="100"/>
  </w:num>
  <w:num w:numId="142">
    <w:abstractNumId w:val="110"/>
  </w:num>
  <w:num w:numId="143">
    <w:abstractNumId w:val="29"/>
  </w:num>
  <w:num w:numId="144">
    <w:abstractNumId w:val="146"/>
  </w:num>
  <w:num w:numId="145">
    <w:abstractNumId w:val="130"/>
  </w:num>
  <w:num w:numId="146">
    <w:abstractNumId w:val="160"/>
  </w:num>
  <w:num w:numId="147">
    <w:abstractNumId w:val="166"/>
  </w:num>
  <w:num w:numId="148">
    <w:abstractNumId w:val="78"/>
  </w:num>
  <w:num w:numId="149">
    <w:abstractNumId w:val="119"/>
  </w:num>
  <w:num w:numId="150">
    <w:abstractNumId w:val="65"/>
  </w:num>
  <w:num w:numId="151">
    <w:abstractNumId w:val="63"/>
  </w:num>
  <w:num w:numId="152">
    <w:abstractNumId w:val="73"/>
  </w:num>
  <w:num w:numId="153">
    <w:abstractNumId w:val="111"/>
  </w:num>
  <w:num w:numId="154">
    <w:abstractNumId w:val="120"/>
  </w:num>
  <w:num w:numId="155">
    <w:abstractNumId w:val="103"/>
  </w:num>
  <w:num w:numId="156">
    <w:abstractNumId w:val="3"/>
  </w:num>
  <w:num w:numId="157">
    <w:abstractNumId w:val="83"/>
  </w:num>
  <w:num w:numId="158">
    <w:abstractNumId w:val="72"/>
  </w:num>
  <w:num w:numId="159">
    <w:abstractNumId w:val="170"/>
  </w:num>
  <w:num w:numId="160">
    <w:abstractNumId w:val="162"/>
  </w:num>
  <w:num w:numId="161">
    <w:abstractNumId w:val="17"/>
  </w:num>
  <w:num w:numId="162">
    <w:abstractNumId w:val="11"/>
  </w:num>
  <w:num w:numId="163">
    <w:abstractNumId w:val="82"/>
  </w:num>
  <w:num w:numId="164">
    <w:abstractNumId w:val="27"/>
  </w:num>
  <w:num w:numId="165">
    <w:abstractNumId w:val="125"/>
  </w:num>
  <w:num w:numId="166">
    <w:abstractNumId w:val="80"/>
  </w:num>
  <w:num w:numId="167">
    <w:abstractNumId w:val="50"/>
  </w:num>
  <w:num w:numId="168">
    <w:abstractNumId w:val="98"/>
  </w:num>
  <w:num w:numId="169">
    <w:abstractNumId w:val="124"/>
  </w:num>
  <w:num w:numId="170">
    <w:abstractNumId w:val="105"/>
  </w:num>
  <w:num w:numId="171">
    <w:abstractNumId w:val="154"/>
  </w:num>
  <w:num w:numId="172">
    <w:abstractNumId w:val="0"/>
  </w:num>
  <w:num w:numId="173">
    <w:abstractNumId w:val="86"/>
  </w:num>
  <w:num w:numId="174">
    <w:abstractNumId w:val="143"/>
  </w:num>
  <w:num w:numId="175">
    <w:abstractNumId w:val="32"/>
  </w:num>
  <w:num w:numId="176">
    <w:abstractNumId w:val="148"/>
  </w:num>
  <w:num w:numId="177">
    <w:abstractNumId w:val="26"/>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5BB1"/>
    <w:rsid w:val="00000DB6"/>
    <w:rsid w:val="00001F50"/>
    <w:rsid w:val="000020C6"/>
    <w:rsid w:val="0000236F"/>
    <w:rsid w:val="00002A67"/>
    <w:rsid w:val="0000341F"/>
    <w:rsid w:val="00003476"/>
    <w:rsid w:val="00003A6C"/>
    <w:rsid w:val="00004028"/>
    <w:rsid w:val="000041CA"/>
    <w:rsid w:val="000041CC"/>
    <w:rsid w:val="0000536C"/>
    <w:rsid w:val="000054C5"/>
    <w:rsid w:val="000068B2"/>
    <w:rsid w:val="00010DBA"/>
    <w:rsid w:val="00010EF0"/>
    <w:rsid w:val="0001267C"/>
    <w:rsid w:val="0001297D"/>
    <w:rsid w:val="0001439F"/>
    <w:rsid w:val="00014757"/>
    <w:rsid w:val="00014E9E"/>
    <w:rsid w:val="000168EB"/>
    <w:rsid w:val="00017533"/>
    <w:rsid w:val="000177C7"/>
    <w:rsid w:val="00020353"/>
    <w:rsid w:val="00020DD7"/>
    <w:rsid w:val="00020E15"/>
    <w:rsid w:val="000228FC"/>
    <w:rsid w:val="00022E7A"/>
    <w:rsid w:val="00022F08"/>
    <w:rsid w:val="00023199"/>
    <w:rsid w:val="00024056"/>
    <w:rsid w:val="00024662"/>
    <w:rsid w:val="000255D0"/>
    <w:rsid w:val="00025F6D"/>
    <w:rsid w:val="00026217"/>
    <w:rsid w:val="0002766A"/>
    <w:rsid w:val="00031F96"/>
    <w:rsid w:val="00032028"/>
    <w:rsid w:val="000327B0"/>
    <w:rsid w:val="00033177"/>
    <w:rsid w:val="00033C74"/>
    <w:rsid w:val="00034923"/>
    <w:rsid w:val="00035427"/>
    <w:rsid w:val="0003620A"/>
    <w:rsid w:val="000371B6"/>
    <w:rsid w:val="00037AE2"/>
    <w:rsid w:val="00037B72"/>
    <w:rsid w:val="0004035E"/>
    <w:rsid w:val="000413DB"/>
    <w:rsid w:val="00041F92"/>
    <w:rsid w:val="00042094"/>
    <w:rsid w:val="0004268A"/>
    <w:rsid w:val="00042BE7"/>
    <w:rsid w:val="00042C79"/>
    <w:rsid w:val="00043332"/>
    <w:rsid w:val="0004357C"/>
    <w:rsid w:val="00043DA8"/>
    <w:rsid w:val="00044961"/>
    <w:rsid w:val="00045AEF"/>
    <w:rsid w:val="000465E1"/>
    <w:rsid w:val="000472DA"/>
    <w:rsid w:val="00047B5D"/>
    <w:rsid w:val="00050795"/>
    <w:rsid w:val="000511FA"/>
    <w:rsid w:val="000512C3"/>
    <w:rsid w:val="00051C4B"/>
    <w:rsid w:val="00053425"/>
    <w:rsid w:val="0005474D"/>
    <w:rsid w:val="00055568"/>
    <w:rsid w:val="0005576A"/>
    <w:rsid w:val="00055C13"/>
    <w:rsid w:val="000569C9"/>
    <w:rsid w:val="00056BBE"/>
    <w:rsid w:val="00056F55"/>
    <w:rsid w:val="00062FC7"/>
    <w:rsid w:val="0006329E"/>
    <w:rsid w:val="000637DF"/>
    <w:rsid w:val="000648A3"/>
    <w:rsid w:val="00065022"/>
    <w:rsid w:val="00065471"/>
    <w:rsid w:val="00066221"/>
    <w:rsid w:val="000665AD"/>
    <w:rsid w:val="00067375"/>
    <w:rsid w:val="000674A2"/>
    <w:rsid w:val="000674AF"/>
    <w:rsid w:val="0006752F"/>
    <w:rsid w:val="00067C5D"/>
    <w:rsid w:val="00071160"/>
    <w:rsid w:val="00071238"/>
    <w:rsid w:val="000718FB"/>
    <w:rsid w:val="00072C49"/>
    <w:rsid w:val="0007306D"/>
    <w:rsid w:val="000730BA"/>
    <w:rsid w:val="00073252"/>
    <w:rsid w:val="00073328"/>
    <w:rsid w:val="00074217"/>
    <w:rsid w:val="000754E9"/>
    <w:rsid w:val="00075C33"/>
    <w:rsid w:val="00077197"/>
    <w:rsid w:val="00077D91"/>
    <w:rsid w:val="00080673"/>
    <w:rsid w:val="00080B6A"/>
    <w:rsid w:val="00080C88"/>
    <w:rsid w:val="00080DBE"/>
    <w:rsid w:val="00081346"/>
    <w:rsid w:val="00084622"/>
    <w:rsid w:val="00084796"/>
    <w:rsid w:val="00084B9E"/>
    <w:rsid w:val="00084C88"/>
    <w:rsid w:val="00084D35"/>
    <w:rsid w:val="000863AB"/>
    <w:rsid w:val="00087A36"/>
    <w:rsid w:val="00087A57"/>
    <w:rsid w:val="000900F7"/>
    <w:rsid w:val="000902C1"/>
    <w:rsid w:val="000910AC"/>
    <w:rsid w:val="00091600"/>
    <w:rsid w:val="00092848"/>
    <w:rsid w:val="000934B5"/>
    <w:rsid w:val="0009351F"/>
    <w:rsid w:val="00094A1F"/>
    <w:rsid w:val="00094B41"/>
    <w:rsid w:val="00094B91"/>
    <w:rsid w:val="00096148"/>
    <w:rsid w:val="000963A6"/>
    <w:rsid w:val="000963BB"/>
    <w:rsid w:val="000964F4"/>
    <w:rsid w:val="00096607"/>
    <w:rsid w:val="0009667C"/>
    <w:rsid w:val="000966C4"/>
    <w:rsid w:val="00096BAE"/>
    <w:rsid w:val="000975A1"/>
    <w:rsid w:val="000976FD"/>
    <w:rsid w:val="00097CF2"/>
    <w:rsid w:val="000A14EC"/>
    <w:rsid w:val="000A1572"/>
    <w:rsid w:val="000A1D55"/>
    <w:rsid w:val="000A1DCC"/>
    <w:rsid w:val="000A21B0"/>
    <w:rsid w:val="000A31E5"/>
    <w:rsid w:val="000A35EB"/>
    <w:rsid w:val="000A38CE"/>
    <w:rsid w:val="000A402B"/>
    <w:rsid w:val="000A49AB"/>
    <w:rsid w:val="000A5ECE"/>
    <w:rsid w:val="000A676E"/>
    <w:rsid w:val="000A7642"/>
    <w:rsid w:val="000A7D94"/>
    <w:rsid w:val="000B1275"/>
    <w:rsid w:val="000B17F8"/>
    <w:rsid w:val="000B2D0B"/>
    <w:rsid w:val="000B3795"/>
    <w:rsid w:val="000B380B"/>
    <w:rsid w:val="000B3999"/>
    <w:rsid w:val="000B62C0"/>
    <w:rsid w:val="000B646F"/>
    <w:rsid w:val="000B6CAF"/>
    <w:rsid w:val="000B7368"/>
    <w:rsid w:val="000B7675"/>
    <w:rsid w:val="000C04A8"/>
    <w:rsid w:val="000C06D8"/>
    <w:rsid w:val="000C2D5C"/>
    <w:rsid w:val="000C3591"/>
    <w:rsid w:val="000C3B93"/>
    <w:rsid w:val="000C40C8"/>
    <w:rsid w:val="000C41A5"/>
    <w:rsid w:val="000C56FF"/>
    <w:rsid w:val="000C6189"/>
    <w:rsid w:val="000C6AEA"/>
    <w:rsid w:val="000C6FA7"/>
    <w:rsid w:val="000D067E"/>
    <w:rsid w:val="000D0E02"/>
    <w:rsid w:val="000D11CA"/>
    <w:rsid w:val="000D3A71"/>
    <w:rsid w:val="000D3B05"/>
    <w:rsid w:val="000D3F75"/>
    <w:rsid w:val="000D490B"/>
    <w:rsid w:val="000D4B97"/>
    <w:rsid w:val="000D51CB"/>
    <w:rsid w:val="000D5202"/>
    <w:rsid w:val="000D63B1"/>
    <w:rsid w:val="000D6421"/>
    <w:rsid w:val="000D6B7F"/>
    <w:rsid w:val="000D72D0"/>
    <w:rsid w:val="000E031A"/>
    <w:rsid w:val="000E0EBE"/>
    <w:rsid w:val="000E1EA2"/>
    <w:rsid w:val="000E4B0E"/>
    <w:rsid w:val="000E4F19"/>
    <w:rsid w:val="000E5E54"/>
    <w:rsid w:val="000E614C"/>
    <w:rsid w:val="000E69F9"/>
    <w:rsid w:val="000E6D66"/>
    <w:rsid w:val="000E6FA3"/>
    <w:rsid w:val="000E75F5"/>
    <w:rsid w:val="000E7B59"/>
    <w:rsid w:val="000F1A03"/>
    <w:rsid w:val="000F22DB"/>
    <w:rsid w:val="000F2399"/>
    <w:rsid w:val="000F23E7"/>
    <w:rsid w:val="000F24CD"/>
    <w:rsid w:val="000F28F4"/>
    <w:rsid w:val="000F2AAB"/>
    <w:rsid w:val="000F30B0"/>
    <w:rsid w:val="000F33B8"/>
    <w:rsid w:val="000F345E"/>
    <w:rsid w:val="000F3695"/>
    <w:rsid w:val="000F3E37"/>
    <w:rsid w:val="000F4295"/>
    <w:rsid w:val="000F62C0"/>
    <w:rsid w:val="000F6538"/>
    <w:rsid w:val="000F671A"/>
    <w:rsid w:val="000F6781"/>
    <w:rsid w:val="000F7272"/>
    <w:rsid w:val="000F7EC9"/>
    <w:rsid w:val="00100C36"/>
    <w:rsid w:val="00101013"/>
    <w:rsid w:val="001023A5"/>
    <w:rsid w:val="001023E0"/>
    <w:rsid w:val="00103AEF"/>
    <w:rsid w:val="00103D8D"/>
    <w:rsid w:val="0010501D"/>
    <w:rsid w:val="00105376"/>
    <w:rsid w:val="00105E9E"/>
    <w:rsid w:val="001067B4"/>
    <w:rsid w:val="0010725B"/>
    <w:rsid w:val="00107DF1"/>
    <w:rsid w:val="00110044"/>
    <w:rsid w:val="0011010A"/>
    <w:rsid w:val="00110D91"/>
    <w:rsid w:val="00113034"/>
    <w:rsid w:val="0011414B"/>
    <w:rsid w:val="001149C8"/>
    <w:rsid w:val="00114C4F"/>
    <w:rsid w:val="00115827"/>
    <w:rsid w:val="00115FA7"/>
    <w:rsid w:val="001167BC"/>
    <w:rsid w:val="00117928"/>
    <w:rsid w:val="00117EBA"/>
    <w:rsid w:val="00117F74"/>
    <w:rsid w:val="00120CF9"/>
    <w:rsid w:val="00121284"/>
    <w:rsid w:val="00123DCC"/>
    <w:rsid w:val="001242D0"/>
    <w:rsid w:val="00124488"/>
    <w:rsid w:val="00125472"/>
    <w:rsid w:val="00125A6A"/>
    <w:rsid w:val="00125E60"/>
    <w:rsid w:val="00126D1A"/>
    <w:rsid w:val="0012706C"/>
    <w:rsid w:val="00127BA3"/>
    <w:rsid w:val="00130B81"/>
    <w:rsid w:val="00130EC8"/>
    <w:rsid w:val="001321CC"/>
    <w:rsid w:val="00132887"/>
    <w:rsid w:val="00132A6C"/>
    <w:rsid w:val="001333C2"/>
    <w:rsid w:val="00134C32"/>
    <w:rsid w:val="00135F71"/>
    <w:rsid w:val="001366B3"/>
    <w:rsid w:val="001404BB"/>
    <w:rsid w:val="001404CA"/>
    <w:rsid w:val="00140FF3"/>
    <w:rsid w:val="00141377"/>
    <w:rsid w:val="00141EDE"/>
    <w:rsid w:val="0014271A"/>
    <w:rsid w:val="00143C79"/>
    <w:rsid w:val="00143D39"/>
    <w:rsid w:val="0014403B"/>
    <w:rsid w:val="001446E3"/>
    <w:rsid w:val="00144823"/>
    <w:rsid w:val="00145B0A"/>
    <w:rsid w:val="001464EB"/>
    <w:rsid w:val="00150553"/>
    <w:rsid w:val="00150C05"/>
    <w:rsid w:val="001528F7"/>
    <w:rsid w:val="001543A2"/>
    <w:rsid w:val="00155DF5"/>
    <w:rsid w:val="001578A4"/>
    <w:rsid w:val="00160CCE"/>
    <w:rsid w:val="001623B8"/>
    <w:rsid w:val="00162635"/>
    <w:rsid w:val="0016420E"/>
    <w:rsid w:val="00164782"/>
    <w:rsid w:val="00165D02"/>
    <w:rsid w:val="00166A73"/>
    <w:rsid w:val="00166DAD"/>
    <w:rsid w:val="00170EBB"/>
    <w:rsid w:val="0017127F"/>
    <w:rsid w:val="00171D16"/>
    <w:rsid w:val="001724B6"/>
    <w:rsid w:val="00173038"/>
    <w:rsid w:val="00173525"/>
    <w:rsid w:val="0017451D"/>
    <w:rsid w:val="00174F57"/>
    <w:rsid w:val="00175AF1"/>
    <w:rsid w:val="00176373"/>
    <w:rsid w:val="001767FC"/>
    <w:rsid w:val="00177028"/>
    <w:rsid w:val="001773DD"/>
    <w:rsid w:val="0018038A"/>
    <w:rsid w:val="001813FA"/>
    <w:rsid w:val="001818A1"/>
    <w:rsid w:val="00181B05"/>
    <w:rsid w:val="0018314E"/>
    <w:rsid w:val="0018336E"/>
    <w:rsid w:val="001837DC"/>
    <w:rsid w:val="001838CF"/>
    <w:rsid w:val="00184299"/>
    <w:rsid w:val="00184501"/>
    <w:rsid w:val="001852E0"/>
    <w:rsid w:val="00185B54"/>
    <w:rsid w:val="0018630A"/>
    <w:rsid w:val="001878CD"/>
    <w:rsid w:val="00187DCA"/>
    <w:rsid w:val="00190D6C"/>
    <w:rsid w:val="001918A7"/>
    <w:rsid w:val="00192986"/>
    <w:rsid w:val="001939D1"/>
    <w:rsid w:val="00193A21"/>
    <w:rsid w:val="00193C64"/>
    <w:rsid w:val="00193DA8"/>
    <w:rsid w:val="00194747"/>
    <w:rsid w:val="0019488F"/>
    <w:rsid w:val="001951EF"/>
    <w:rsid w:val="00195222"/>
    <w:rsid w:val="001A0392"/>
    <w:rsid w:val="001A0659"/>
    <w:rsid w:val="001A0CEE"/>
    <w:rsid w:val="001A10FF"/>
    <w:rsid w:val="001A15A1"/>
    <w:rsid w:val="001A2331"/>
    <w:rsid w:val="001A2927"/>
    <w:rsid w:val="001A2AC4"/>
    <w:rsid w:val="001A396B"/>
    <w:rsid w:val="001A3CAC"/>
    <w:rsid w:val="001A435D"/>
    <w:rsid w:val="001A4579"/>
    <w:rsid w:val="001A4B62"/>
    <w:rsid w:val="001A5B73"/>
    <w:rsid w:val="001A7887"/>
    <w:rsid w:val="001B0CCF"/>
    <w:rsid w:val="001B28CE"/>
    <w:rsid w:val="001B2BD0"/>
    <w:rsid w:val="001B3040"/>
    <w:rsid w:val="001B3C18"/>
    <w:rsid w:val="001B3D27"/>
    <w:rsid w:val="001B3F88"/>
    <w:rsid w:val="001B43D1"/>
    <w:rsid w:val="001B62C0"/>
    <w:rsid w:val="001B705D"/>
    <w:rsid w:val="001B708C"/>
    <w:rsid w:val="001B77F4"/>
    <w:rsid w:val="001B78F2"/>
    <w:rsid w:val="001B7E60"/>
    <w:rsid w:val="001C09DA"/>
    <w:rsid w:val="001C15B8"/>
    <w:rsid w:val="001C15F3"/>
    <w:rsid w:val="001C22A0"/>
    <w:rsid w:val="001C2464"/>
    <w:rsid w:val="001C2E35"/>
    <w:rsid w:val="001C368D"/>
    <w:rsid w:val="001C3C7F"/>
    <w:rsid w:val="001C414A"/>
    <w:rsid w:val="001C45E1"/>
    <w:rsid w:val="001C47E6"/>
    <w:rsid w:val="001C4C87"/>
    <w:rsid w:val="001C56C5"/>
    <w:rsid w:val="001C588E"/>
    <w:rsid w:val="001C7773"/>
    <w:rsid w:val="001C7F6A"/>
    <w:rsid w:val="001D14F9"/>
    <w:rsid w:val="001D344C"/>
    <w:rsid w:val="001D364F"/>
    <w:rsid w:val="001D3693"/>
    <w:rsid w:val="001D496B"/>
    <w:rsid w:val="001D505D"/>
    <w:rsid w:val="001D5942"/>
    <w:rsid w:val="001D6B2B"/>
    <w:rsid w:val="001D6EB4"/>
    <w:rsid w:val="001D7FCF"/>
    <w:rsid w:val="001E09B6"/>
    <w:rsid w:val="001E101C"/>
    <w:rsid w:val="001E2060"/>
    <w:rsid w:val="001E2EFF"/>
    <w:rsid w:val="001E2FE4"/>
    <w:rsid w:val="001E33F2"/>
    <w:rsid w:val="001E351B"/>
    <w:rsid w:val="001E380D"/>
    <w:rsid w:val="001E3A13"/>
    <w:rsid w:val="001E3A40"/>
    <w:rsid w:val="001E3DC9"/>
    <w:rsid w:val="001E3DE5"/>
    <w:rsid w:val="001E409C"/>
    <w:rsid w:val="001E45CC"/>
    <w:rsid w:val="001E4DEE"/>
    <w:rsid w:val="001E5321"/>
    <w:rsid w:val="001E551C"/>
    <w:rsid w:val="001E600D"/>
    <w:rsid w:val="001E623F"/>
    <w:rsid w:val="001F00CA"/>
    <w:rsid w:val="001F00CB"/>
    <w:rsid w:val="001F051F"/>
    <w:rsid w:val="001F083D"/>
    <w:rsid w:val="001F0DD1"/>
    <w:rsid w:val="001F1757"/>
    <w:rsid w:val="001F1992"/>
    <w:rsid w:val="001F1D76"/>
    <w:rsid w:val="001F2390"/>
    <w:rsid w:val="001F2518"/>
    <w:rsid w:val="001F254B"/>
    <w:rsid w:val="001F255B"/>
    <w:rsid w:val="001F2F28"/>
    <w:rsid w:val="001F3105"/>
    <w:rsid w:val="001F3603"/>
    <w:rsid w:val="001F4FF9"/>
    <w:rsid w:val="001F50A8"/>
    <w:rsid w:val="001F648C"/>
    <w:rsid w:val="001F69BC"/>
    <w:rsid w:val="00201B62"/>
    <w:rsid w:val="0020275F"/>
    <w:rsid w:val="00202807"/>
    <w:rsid w:val="00202DFE"/>
    <w:rsid w:val="00203106"/>
    <w:rsid w:val="00203E26"/>
    <w:rsid w:val="0020462E"/>
    <w:rsid w:val="00204819"/>
    <w:rsid w:val="00204941"/>
    <w:rsid w:val="00205380"/>
    <w:rsid w:val="0020573F"/>
    <w:rsid w:val="002059DF"/>
    <w:rsid w:val="002059E9"/>
    <w:rsid w:val="00205F41"/>
    <w:rsid w:val="00206760"/>
    <w:rsid w:val="00206AEB"/>
    <w:rsid w:val="00210495"/>
    <w:rsid w:val="002106EF"/>
    <w:rsid w:val="0021134F"/>
    <w:rsid w:val="00211A26"/>
    <w:rsid w:val="00212AA9"/>
    <w:rsid w:val="002137C3"/>
    <w:rsid w:val="0021408A"/>
    <w:rsid w:val="002145DB"/>
    <w:rsid w:val="00214F4F"/>
    <w:rsid w:val="0021669C"/>
    <w:rsid w:val="002168F1"/>
    <w:rsid w:val="0021758D"/>
    <w:rsid w:val="002177C7"/>
    <w:rsid w:val="002206A4"/>
    <w:rsid w:val="002209A7"/>
    <w:rsid w:val="00220EB3"/>
    <w:rsid w:val="00222329"/>
    <w:rsid w:val="002229B3"/>
    <w:rsid w:val="002229E0"/>
    <w:rsid w:val="00222C40"/>
    <w:rsid w:val="0022399C"/>
    <w:rsid w:val="00224303"/>
    <w:rsid w:val="00224AC5"/>
    <w:rsid w:val="00226DED"/>
    <w:rsid w:val="002273C3"/>
    <w:rsid w:val="002276DC"/>
    <w:rsid w:val="00230AEE"/>
    <w:rsid w:val="002311F3"/>
    <w:rsid w:val="002312C0"/>
    <w:rsid w:val="0023224D"/>
    <w:rsid w:val="002327AC"/>
    <w:rsid w:val="00232DF2"/>
    <w:rsid w:val="002332FA"/>
    <w:rsid w:val="002340EA"/>
    <w:rsid w:val="00236241"/>
    <w:rsid w:val="00236568"/>
    <w:rsid w:val="00237A06"/>
    <w:rsid w:val="00237A29"/>
    <w:rsid w:val="00237EC7"/>
    <w:rsid w:val="00240046"/>
    <w:rsid w:val="00240CFC"/>
    <w:rsid w:val="00241330"/>
    <w:rsid w:val="002420B3"/>
    <w:rsid w:val="00242FF6"/>
    <w:rsid w:val="002436E9"/>
    <w:rsid w:val="0024403C"/>
    <w:rsid w:val="00244A84"/>
    <w:rsid w:val="00244B15"/>
    <w:rsid w:val="00246171"/>
    <w:rsid w:val="00246349"/>
    <w:rsid w:val="0024642F"/>
    <w:rsid w:val="0024661D"/>
    <w:rsid w:val="002468DA"/>
    <w:rsid w:val="00247AE5"/>
    <w:rsid w:val="0025066C"/>
    <w:rsid w:val="002513E8"/>
    <w:rsid w:val="0025209C"/>
    <w:rsid w:val="0025217F"/>
    <w:rsid w:val="00252AF2"/>
    <w:rsid w:val="00253440"/>
    <w:rsid w:val="00253B04"/>
    <w:rsid w:val="0025430B"/>
    <w:rsid w:val="002555F5"/>
    <w:rsid w:val="002568AB"/>
    <w:rsid w:val="00257775"/>
    <w:rsid w:val="0025794C"/>
    <w:rsid w:val="00257B4C"/>
    <w:rsid w:val="00260862"/>
    <w:rsid w:val="0026165B"/>
    <w:rsid w:val="00261B7A"/>
    <w:rsid w:val="00261F78"/>
    <w:rsid w:val="0026318D"/>
    <w:rsid w:val="00263A84"/>
    <w:rsid w:val="002650B4"/>
    <w:rsid w:val="0026521A"/>
    <w:rsid w:val="0026533A"/>
    <w:rsid w:val="00265F1B"/>
    <w:rsid w:val="002662F4"/>
    <w:rsid w:val="0026723D"/>
    <w:rsid w:val="00267491"/>
    <w:rsid w:val="00267D75"/>
    <w:rsid w:val="0027079F"/>
    <w:rsid w:val="002717D9"/>
    <w:rsid w:val="00271994"/>
    <w:rsid w:val="002719D7"/>
    <w:rsid w:val="00271BBD"/>
    <w:rsid w:val="00272B4C"/>
    <w:rsid w:val="002732CE"/>
    <w:rsid w:val="00273333"/>
    <w:rsid w:val="0027358B"/>
    <w:rsid w:val="0027360D"/>
    <w:rsid w:val="0027397A"/>
    <w:rsid w:val="0027412A"/>
    <w:rsid w:val="00274375"/>
    <w:rsid w:val="002756CE"/>
    <w:rsid w:val="0027580B"/>
    <w:rsid w:val="00275DE2"/>
    <w:rsid w:val="00276073"/>
    <w:rsid w:val="00276088"/>
    <w:rsid w:val="0027699F"/>
    <w:rsid w:val="00276BE3"/>
    <w:rsid w:val="00276F72"/>
    <w:rsid w:val="00277A72"/>
    <w:rsid w:val="00280036"/>
    <w:rsid w:val="00280400"/>
    <w:rsid w:val="0028047F"/>
    <w:rsid w:val="00280EA3"/>
    <w:rsid w:val="0028121F"/>
    <w:rsid w:val="00281BEA"/>
    <w:rsid w:val="00281F0D"/>
    <w:rsid w:val="002823B8"/>
    <w:rsid w:val="00282BC0"/>
    <w:rsid w:val="00282F67"/>
    <w:rsid w:val="00282FED"/>
    <w:rsid w:val="00283224"/>
    <w:rsid w:val="0028351F"/>
    <w:rsid w:val="00284941"/>
    <w:rsid w:val="00284DD1"/>
    <w:rsid w:val="00284FAD"/>
    <w:rsid w:val="00284FDD"/>
    <w:rsid w:val="00286284"/>
    <w:rsid w:val="00286325"/>
    <w:rsid w:val="00286426"/>
    <w:rsid w:val="0028715A"/>
    <w:rsid w:val="0028731E"/>
    <w:rsid w:val="002875EF"/>
    <w:rsid w:val="00287A6E"/>
    <w:rsid w:val="0029040A"/>
    <w:rsid w:val="00290B8B"/>
    <w:rsid w:val="00291342"/>
    <w:rsid w:val="00291596"/>
    <w:rsid w:val="00292303"/>
    <w:rsid w:val="002927B8"/>
    <w:rsid w:val="00292EA8"/>
    <w:rsid w:val="00293F08"/>
    <w:rsid w:val="002954D6"/>
    <w:rsid w:val="00295890"/>
    <w:rsid w:val="00296E12"/>
    <w:rsid w:val="00296E98"/>
    <w:rsid w:val="0029786D"/>
    <w:rsid w:val="00297AF3"/>
    <w:rsid w:val="00297B2F"/>
    <w:rsid w:val="00297B82"/>
    <w:rsid w:val="00297D94"/>
    <w:rsid w:val="002A0FF1"/>
    <w:rsid w:val="002A2F66"/>
    <w:rsid w:val="002A4391"/>
    <w:rsid w:val="002A461C"/>
    <w:rsid w:val="002A537A"/>
    <w:rsid w:val="002A53A2"/>
    <w:rsid w:val="002A6C02"/>
    <w:rsid w:val="002A6E21"/>
    <w:rsid w:val="002A7355"/>
    <w:rsid w:val="002A780E"/>
    <w:rsid w:val="002B027C"/>
    <w:rsid w:val="002B07AB"/>
    <w:rsid w:val="002B0A84"/>
    <w:rsid w:val="002B2875"/>
    <w:rsid w:val="002B2901"/>
    <w:rsid w:val="002B2BB5"/>
    <w:rsid w:val="002B2F46"/>
    <w:rsid w:val="002B3F55"/>
    <w:rsid w:val="002B407D"/>
    <w:rsid w:val="002B4681"/>
    <w:rsid w:val="002B4D67"/>
    <w:rsid w:val="002B4EF6"/>
    <w:rsid w:val="002B500B"/>
    <w:rsid w:val="002B5A46"/>
    <w:rsid w:val="002B67BF"/>
    <w:rsid w:val="002B6E2A"/>
    <w:rsid w:val="002B7713"/>
    <w:rsid w:val="002C0BCE"/>
    <w:rsid w:val="002C13B7"/>
    <w:rsid w:val="002C144B"/>
    <w:rsid w:val="002C2135"/>
    <w:rsid w:val="002C21A1"/>
    <w:rsid w:val="002C25D7"/>
    <w:rsid w:val="002C3536"/>
    <w:rsid w:val="002C37AD"/>
    <w:rsid w:val="002C3AB4"/>
    <w:rsid w:val="002C481C"/>
    <w:rsid w:val="002C4973"/>
    <w:rsid w:val="002C4F9A"/>
    <w:rsid w:val="002C5866"/>
    <w:rsid w:val="002C59E6"/>
    <w:rsid w:val="002C5A03"/>
    <w:rsid w:val="002C5AF4"/>
    <w:rsid w:val="002C5BD7"/>
    <w:rsid w:val="002C7E33"/>
    <w:rsid w:val="002D0525"/>
    <w:rsid w:val="002D14C3"/>
    <w:rsid w:val="002D284C"/>
    <w:rsid w:val="002D2C9B"/>
    <w:rsid w:val="002D329B"/>
    <w:rsid w:val="002D3ADB"/>
    <w:rsid w:val="002D3B01"/>
    <w:rsid w:val="002D3F9E"/>
    <w:rsid w:val="002D48EC"/>
    <w:rsid w:val="002D5A61"/>
    <w:rsid w:val="002D737A"/>
    <w:rsid w:val="002D7D0B"/>
    <w:rsid w:val="002E0DC1"/>
    <w:rsid w:val="002E1884"/>
    <w:rsid w:val="002E1E06"/>
    <w:rsid w:val="002E225B"/>
    <w:rsid w:val="002E3990"/>
    <w:rsid w:val="002E4A06"/>
    <w:rsid w:val="002E4DF3"/>
    <w:rsid w:val="002E5197"/>
    <w:rsid w:val="002E62EC"/>
    <w:rsid w:val="002E6531"/>
    <w:rsid w:val="002E689A"/>
    <w:rsid w:val="002E6AC9"/>
    <w:rsid w:val="002E6B62"/>
    <w:rsid w:val="002E70A3"/>
    <w:rsid w:val="002E72B7"/>
    <w:rsid w:val="002E7371"/>
    <w:rsid w:val="002E7474"/>
    <w:rsid w:val="002E7F18"/>
    <w:rsid w:val="002F08AF"/>
    <w:rsid w:val="002F0D36"/>
    <w:rsid w:val="002F10F2"/>
    <w:rsid w:val="002F1156"/>
    <w:rsid w:val="002F11AD"/>
    <w:rsid w:val="002F2340"/>
    <w:rsid w:val="002F420C"/>
    <w:rsid w:val="002F4E29"/>
    <w:rsid w:val="002F5B42"/>
    <w:rsid w:val="002F5F7C"/>
    <w:rsid w:val="002F6354"/>
    <w:rsid w:val="002F7588"/>
    <w:rsid w:val="00300C19"/>
    <w:rsid w:val="00300D3E"/>
    <w:rsid w:val="003013EE"/>
    <w:rsid w:val="0030201E"/>
    <w:rsid w:val="00302D37"/>
    <w:rsid w:val="00302EBD"/>
    <w:rsid w:val="00302EE7"/>
    <w:rsid w:val="003038A5"/>
    <w:rsid w:val="00304B5C"/>
    <w:rsid w:val="00304D59"/>
    <w:rsid w:val="00306809"/>
    <w:rsid w:val="00307171"/>
    <w:rsid w:val="00307CBF"/>
    <w:rsid w:val="00310010"/>
    <w:rsid w:val="00310799"/>
    <w:rsid w:val="0031271D"/>
    <w:rsid w:val="00312F3F"/>
    <w:rsid w:val="00313271"/>
    <w:rsid w:val="00313CDC"/>
    <w:rsid w:val="00314521"/>
    <w:rsid w:val="003152B0"/>
    <w:rsid w:val="003160D2"/>
    <w:rsid w:val="0031614A"/>
    <w:rsid w:val="00316BEE"/>
    <w:rsid w:val="00320534"/>
    <w:rsid w:val="00322687"/>
    <w:rsid w:val="00322BD0"/>
    <w:rsid w:val="00322EB0"/>
    <w:rsid w:val="00323CF0"/>
    <w:rsid w:val="00323FDD"/>
    <w:rsid w:val="003241F2"/>
    <w:rsid w:val="00324722"/>
    <w:rsid w:val="0032637A"/>
    <w:rsid w:val="00327C0B"/>
    <w:rsid w:val="00327ED5"/>
    <w:rsid w:val="003309E3"/>
    <w:rsid w:val="00331401"/>
    <w:rsid w:val="00331E33"/>
    <w:rsid w:val="0033294C"/>
    <w:rsid w:val="00332A06"/>
    <w:rsid w:val="00332BA4"/>
    <w:rsid w:val="00332D0B"/>
    <w:rsid w:val="00332E5E"/>
    <w:rsid w:val="00333315"/>
    <w:rsid w:val="00333333"/>
    <w:rsid w:val="00333C40"/>
    <w:rsid w:val="00333E3B"/>
    <w:rsid w:val="0033477A"/>
    <w:rsid w:val="00335A9D"/>
    <w:rsid w:val="00335C37"/>
    <w:rsid w:val="00337807"/>
    <w:rsid w:val="003401C5"/>
    <w:rsid w:val="00340500"/>
    <w:rsid w:val="003414E8"/>
    <w:rsid w:val="00341C1D"/>
    <w:rsid w:val="00343BB4"/>
    <w:rsid w:val="003443FC"/>
    <w:rsid w:val="00344C2A"/>
    <w:rsid w:val="00345628"/>
    <w:rsid w:val="003458A0"/>
    <w:rsid w:val="00345DB7"/>
    <w:rsid w:val="00346247"/>
    <w:rsid w:val="003471AF"/>
    <w:rsid w:val="00347DD0"/>
    <w:rsid w:val="0035004B"/>
    <w:rsid w:val="00350084"/>
    <w:rsid w:val="0035123D"/>
    <w:rsid w:val="00351465"/>
    <w:rsid w:val="00351653"/>
    <w:rsid w:val="0035189E"/>
    <w:rsid w:val="003518CA"/>
    <w:rsid w:val="00351E2C"/>
    <w:rsid w:val="00353BB6"/>
    <w:rsid w:val="00353F32"/>
    <w:rsid w:val="00354AD3"/>
    <w:rsid w:val="00356193"/>
    <w:rsid w:val="00356764"/>
    <w:rsid w:val="00357186"/>
    <w:rsid w:val="003605C2"/>
    <w:rsid w:val="003659C8"/>
    <w:rsid w:val="00365D7E"/>
    <w:rsid w:val="00365DCB"/>
    <w:rsid w:val="003663B6"/>
    <w:rsid w:val="003664E6"/>
    <w:rsid w:val="003673DE"/>
    <w:rsid w:val="003708F8"/>
    <w:rsid w:val="00370995"/>
    <w:rsid w:val="00370A19"/>
    <w:rsid w:val="00370F99"/>
    <w:rsid w:val="00372B17"/>
    <w:rsid w:val="0037339B"/>
    <w:rsid w:val="003733EF"/>
    <w:rsid w:val="00373827"/>
    <w:rsid w:val="003742E6"/>
    <w:rsid w:val="003748CB"/>
    <w:rsid w:val="0037503E"/>
    <w:rsid w:val="00375447"/>
    <w:rsid w:val="00375DBF"/>
    <w:rsid w:val="00375E66"/>
    <w:rsid w:val="0037604E"/>
    <w:rsid w:val="00377479"/>
    <w:rsid w:val="003778A1"/>
    <w:rsid w:val="00377D07"/>
    <w:rsid w:val="003807D0"/>
    <w:rsid w:val="003822A5"/>
    <w:rsid w:val="00382338"/>
    <w:rsid w:val="00383249"/>
    <w:rsid w:val="00383831"/>
    <w:rsid w:val="00383AD4"/>
    <w:rsid w:val="00383B85"/>
    <w:rsid w:val="003844C5"/>
    <w:rsid w:val="00384501"/>
    <w:rsid w:val="00384527"/>
    <w:rsid w:val="003850A4"/>
    <w:rsid w:val="00385341"/>
    <w:rsid w:val="0038547A"/>
    <w:rsid w:val="00385D57"/>
    <w:rsid w:val="003862C7"/>
    <w:rsid w:val="003866AE"/>
    <w:rsid w:val="003868A6"/>
    <w:rsid w:val="00387E9D"/>
    <w:rsid w:val="003915C1"/>
    <w:rsid w:val="0039293A"/>
    <w:rsid w:val="00394789"/>
    <w:rsid w:val="00394B64"/>
    <w:rsid w:val="0039533D"/>
    <w:rsid w:val="003955A2"/>
    <w:rsid w:val="003959FE"/>
    <w:rsid w:val="0039601E"/>
    <w:rsid w:val="00396367"/>
    <w:rsid w:val="00397394"/>
    <w:rsid w:val="0039743F"/>
    <w:rsid w:val="003976C1"/>
    <w:rsid w:val="00397C75"/>
    <w:rsid w:val="003A0141"/>
    <w:rsid w:val="003A0292"/>
    <w:rsid w:val="003A0BC6"/>
    <w:rsid w:val="003A20E9"/>
    <w:rsid w:val="003A3334"/>
    <w:rsid w:val="003A474B"/>
    <w:rsid w:val="003A4884"/>
    <w:rsid w:val="003A4B25"/>
    <w:rsid w:val="003A4F6B"/>
    <w:rsid w:val="003A517E"/>
    <w:rsid w:val="003A6CEF"/>
    <w:rsid w:val="003A6ECB"/>
    <w:rsid w:val="003A7AB8"/>
    <w:rsid w:val="003A7F30"/>
    <w:rsid w:val="003B0887"/>
    <w:rsid w:val="003B0EB8"/>
    <w:rsid w:val="003B1C3F"/>
    <w:rsid w:val="003B2DC3"/>
    <w:rsid w:val="003B3401"/>
    <w:rsid w:val="003B3963"/>
    <w:rsid w:val="003B4478"/>
    <w:rsid w:val="003B4E21"/>
    <w:rsid w:val="003B4EA1"/>
    <w:rsid w:val="003B5A1A"/>
    <w:rsid w:val="003B5FE0"/>
    <w:rsid w:val="003B60EE"/>
    <w:rsid w:val="003B6601"/>
    <w:rsid w:val="003B6C07"/>
    <w:rsid w:val="003C0079"/>
    <w:rsid w:val="003C00FA"/>
    <w:rsid w:val="003C0388"/>
    <w:rsid w:val="003C0976"/>
    <w:rsid w:val="003C166E"/>
    <w:rsid w:val="003C1759"/>
    <w:rsid w:val="003C224C"/>
    <w:rsid w:val="003C22F0"/>
    <w:rsid w:val="003C26AC"/>
    <w:rsid w:val="003C2C46"/>
    <w:rsid w:val="003C32F2"/>
    <w:rsid w:val="003C3438"/>
    <w:rsid w:val="003C34EB"/>
    <w:rsid w:val="003C3DAA"/>
    <w:rsid w:val="003C4B07"/>
    <w:rsid w:val="003C5024"/>
    <w:rsid w:val="003C54A6"/>
    <w:rsid w:val="003C5B0A"/>
    <w:rsid w:val="003C5E4C"/>
    <w:rsid w:val="003C60DC"/>
    <w:rsid w:val="003C6347"/>
    <w:rsid w:val="003C6365"/>
    <w:rsid w:val="003C69DA"/>
    <w:rsid w:val="003C70E2"/>
    <w:rsid w:val="003C7459"/>
    <w:rsid w:val="003C7770"/>
    <w:rsid w:val="003C793F"/>
    <w:rsid w:val="003C7AAF"/>
    <w:rsid w:val="003D1682"/>
    <w:rsid w:val="003D17BC"/>
    <w:rsid w:val="003D1AAB"/>
    <w:rsid w:val="003D1D94"/>
    <w:rsid w:val="003D36B1"/>
    <w:rsid w:val="003D3DED"/>
    <w:rsid w:val="003D40D9"/>
    <w:rsid w:val="003D5029"/>
    <w:rsid w:val="003D76A4"/>
    <w:rsid w:val="003D79E7"/>
    <w:rsid w:val="003E137E"/>
    <w:rsid w:val="003E3330"/>
    <w:rsid w:val="003E4894"/>
    <w:rsid w:val="003E48AA"/>
    <w:rsid w:val="003E4F73"/>
    <w:rsid w:val="003E56E5"/>
    <w:rsid w:val="003E58C2"/>
    <w:rsid w:val="003E5DF3"/>
    <w:rsid w:val="003E7707"/>
    <w:rsid w:val="003E7CAF"/>
    <w:rsid w:val="003E7E2E"/>
    <w:rsid w:val="003F0847"/>
    <w:rsid w:val="003F11B9"/>
    <w:rsid w:val="003F2480"/>
    <w:rsid w:val="003F325C"/>
    <w:rsid w:val="003F3CA0"/>
    <w:rsid w:val="003F3F52"/>
    <w:rsid w:val="003F4146"/>
    <w:rsid w:val="003F532F"/>
    <w:rsid w:val="003F6B5A"/>
    <w:rsid w:val="003F7792"/>
    <w:rsid w:val="003F792C"/>
    <w:rsid w:val="003F7D4B"/>
    <w:rsid w:val="0040060F"/>
    <w:rsid w:val="00400E95"/>
    <w:rsid w:val="00401654"/>
    <w:rsid w:val="0040227C"/>
    <w:rsid w:val="0040230E"/>
    <w:rsid w:val="00403EBF"/>
    <w:rsid w:val="0040433C"/>
    <w:rsid w:val="00404649"/>
    <w:rsid w:val="004052F4"/>
    <w:rsid w:val="0040532D"/>
    <w:rsid w:val="00406492"/>
    <w:rsid w:val="004066B4"/>
    <w:rsid w:val="00407F57"/>
    <w:rsid w:val="0041001B"/>
    <w:rsid w:val="00410CE0"/>
    <w:rsid w:val="0041166A"/>
    <w:rsid w:val="004116D1"/>
    <w:rsid w:val="00412020"/>
    <w:rsid w:val="00412382"/>
    <w:rsid w:val="00412F08"/>
    <w:rsid w:val="00413321"/>
    <w:rsid w:val="00414D1A"/>
    <w:rsid w:val="00415590"/>
    <w:rsid w:val="0041615B"/>
    <w:rsid w:val="0041751E"/>
    <w:rsid w:val="004179B5"/>
    <w:rsid w:val="004201DE"/>
    <w:rsid w:val="00420412"/>
    <w:rsid w:val="004216C1"/>
    <w:rsid w:val="0042193C"/>
    <w:rsid w:val="00421B6B"/>
    <w:rsid w:val="00421B6E"/>
    <w:rsid w:val="00422D63"/>
    <w:rsid w:val="004231DD"/>
    <w:rsid w:val="00423B9D"/>
    <w:rsid w:val="00424CC8"/>
    <w:rsid w:val="00424E99"/>
    <w:rsid w:val="00424EEE"/>
    <w:rsid w:val="00425223"/>
    <w:rsid w:val="004253BD"/>
    <w:rsid w:val="004253FC"/>
    <w:rsid w:val="00425A2B"/>
    <w:rsid w:val="0042645B"/>
    <w:rsid w:val="00427004"/>
    <w:rsid w:val="00427C6C"/>
    <w:rsid w:val="004309CB"/>
    <w:rsid w:val="00430FD3"/>
    <w:rsid w:val="00430FFC"/>
    <w:rsid w:val="00432EA4"/>
    <w:rsid w:val="00433090"/>
    <w:rsid w:val="0043339D"/>
    <w:rsid w:val="0043351D"/>
    <w:rsid w:val="00433576"/>
    <w:rsid w:val="004337AA"/>
    <w:rsid w:val="00433D16"/>
    <w:rsid w:val="00434624"/>
    <w:rsid w:val="004346BA"/>
    <w:rsid w:val="00434C64"/>
    <w:rsid w:val="00435209"/>
    <w:rsid w:val="00436113"/>
    <w:rsid w:val="004362DD"/>
    <w:rsid w:val="0043637B"/>
    <w:rsid w:val="00436A82"/>
    <w:rsid w:val="00437E42"/>
    <w:rsid w:val="0044064A"/>
    <w:rsid w:val="00440A7E"/>
    <w:rsid w:val="00442092"/>
    <w:rsid w:val="00442B6D"/>
    <w:rsid w:val="00443B8B"/>
    <w:rsid w:val="00444972"/>
    <w:rsid w:val="00444B80"/>
    <w:rsid w:val="00444FD6"/>
    <w:rsid w:val="00445B88"/>
    <w:rsid w:val="00445BD3"/>
    <w:rsid w:val="00445FE1"/>
    <w:rsid w:val="004512DE"/>
    <w:rsid w:val="00452A41"/>
    <w:rsid w:val="004530E7"/>
    <w:rsid w:val="00453544"/>
    <w:rsid w:val="00453575"/>
    <w:rsid w:val="00453B6B"/>
    <w:rsid w:val="004553F4"/>
    <w:rsid w:val="00455AA4"/>
    <w:rsid w:val="00455D11"/>
    <w:rsid w:val="0045657C"/>
    <w:rsid w:val="0045676C"/>
    <w:rsid w:val="00456F13"/>
    <w:rsid w:val="00457888"/>
    <w:rsid w:val="00457D05"/>
    <w:rsid w:val="00461A8D"/>
    <w:rsid w:val="00461E56"/>
    <w:rsid w:val="00462399"/>
    <w:rsid w:val="00462665"/>
    <w:rsid w:val="004626AB"/>
    <w:rsid w:val="00463133"/>
    <w:rsid w:val="00463149"/>
    <w:rsid w:val="00463A61"/>
    <w:rsid w:val="00463BCB"/>
    <w:rsid w:val="00464353"/>
    <w:rsid w:val="00464362"/>
    <w:rsid w:val="004647C4"/>
    <w:rsid w:val="00464CB5"/>
    <w:rsid w:val="00464DC8"/>
    <w:rsid w:val="00465321"/>
    <w:rsid w:val="00465591"/>
    <w:rsid w:val="004659B3"/>
    <w:rsid w:val="004665AF"/>
    <w:rsid w:val="00466A84"/>
    <w:rsid w:val="00471B75"/>
    <w:rsid w:val="00471E71"/>
    <w:rsid w:val="004727D1"/>
    <w:rsid w:val="00472AE2"/>
    <w:rsid w:val="00473468"/>
    <w:rsid w:val="0047391E"/>
    <w:rsid w:val="00474525"/>
    <w:rsid w:val="00474CBC"/>
    <w:rsid w:val="00474F1B"/>
    <w:rsid w:val="00475515"/>
    <w:rsid w:val="00475B9D"/>
    <w:rsid w:val="004763D1"/>
    <w:rsid w:val="00476FBE"/>
    <w:rsid w:val="00480ADC"/>
    <w:rsid w:val="00480BD2"/>
    <w:rsid w:val="00480C96"/>
    <w:rsid w:val="004816F8"/>
    <w:rsid w:val="004817CD"/>
    <w:rsid w:val="004817F3"/>
    <w:rsid w:val="004824F6"/>
    <w:rsid w:val="00482890"/>
    <w:rsid w:val="0048397B"/>
    <w:rsid w:val="00483E56"/>
    <w:rsid w:val="00484142"/>
    <w:rsid w:val="00484EFF"/>
    <w:rsid w:val="004850C1"/>
    <w:rsid w:val="00486094"/>
    <w:rsid w:val="0048610A"/>
    <w:rsid w:val="00486267"/>
    <w:rsid w:val="004875D1"/>
    <w:rsid w:val="00490406"/>
    <w:rsid w:val="0049048B"/>
    <w:rsid w:val="004909E3"/>
    <w:rsid w:val="00490F64"/>
    <w:rsid w:val="00491DBC"/>
    <w:rsid w:val="00493073"/>
    <w:rsid w:val="00493095"/>
    <w:rsid w:val="004935BF"/>
    <w:rsid w:val="0049384B"/>
    <w:rsid w:val="00493E8B"/>
    <w:rsid w:val="004947D3"/>
    <w:rsid w:val="00494F4B"/>
    <w:rsid w:val="0049570F"/>
    <w:rsid w:val="00495AA3"/>
    <w:rsid w:val="004963F6"/>
    <w:rsid w:val="0049658F"/>
    <w:rsid w:val="0049707A"/>
    <w:rsid w:val="0049730E"/>
    <w:rsid w:val="00497E4E"/>
    <w:rsid w:val="004A0302"/>
    <w:rsid w:val="004A0408"/>
    <w:rsid w:val="004A0714"/>
    <w:rsid w:val="004A1123"/>
    <w:rsid w:val="004A1DD7"/>
    <w:rsid w:val="004A2069"/>
    <w:rsid w:val="004A2356"/>
    <w:rsid w:val="004A2E72"/>
    <w:rsid w:val="004A3238"/>
    <w:rsid w:val="004A4211"/>
    <w:rsid w:val="004A4F1B"/>
    <w:rsid w:val="004A5D7C"/>
    <w:rsid w:val="004A63DC"/>
    <w:rsid w:val="004A7C48"/>
    <w:rsid w:val="004A7E92"/>
    <w:rsid w:val="004B019B"/>
    <w:rsid w:val="004B0573"/>
    <w:rsid w:val="004B081E"/>
    <w:rsid w:val="004B09B9"/>
    <w:rsid w:val="004B0C06"/>
    <w:rsid w:val="004B0EDB"/>
    <w:rsid w:val="004B1484"/>
    <w:rsid w:val="004B26B7"/>
    <w:rsid w:val="004B2B78"/>
    <w:rsid w:val="004B3997"/>
    <w:rsid w:val="004B3EE1"/>
    <w:rsid w:val="004B3F6F"/>
    <w:rsid w:val="004B4CA9"/>
    <w:rsid w:val="004B5819"/>
    <w:rsid w:val="004B5D25"/>
    <w:rsid w:val="004B724B"/>
    <w:rsid w:val="004C0A43"/>
    <w:rsid w:val="004C0C1C"/>
    <w:rsid w:val="004C2FB2"/>
    <w:rsid w:val="004C496B"/>
    <w:rsid w:val="004C4C86"/>
    <w:rsid w:val="004C5451"/>
    <w:rsid w:val="004C54A2"/>
    <w:rsid w:val="004C6367"/>
    <w:rsid w:val="004C70CF"/>
    <w:rsid w:val="004C7D73"/>
    <w:rsid w:val="004D0B2B"/>
    <w:rsid w:val="004D13C8"/>
    <w:rsid w:val="004D1F7E"/>
    <w:rsid w:val="004D1FE0"/>
    <w:rsid w:val="004D2090"/>
    <w:rsid w:val="004D224A"/>
    <w:rsid w:val="004D2757"/>
    <w:rsid w:val="004D323E"/>
    <w:rsid w:val="004D39DF"/>
    <w:rsid w:val="004D466B"/>
    <w:rsid w:val="004D4997"/>
    <w:rsid w:val="004D559F"/>
    <w:rsid w:val="004D69B7"/>
    <w:rsid w:val="004D6A17"/>
    <w:rsid w:val="004E029E"/>
    <w:rsid w:val="004E1F24"/>
    <w:rsid w:val="004E24A1"/>
    <w:rsid w:val="004E3AE3"/>
    <w:rsid w:val="004E3BCB"/>
    <w:rsid w:val="004E3D9C"/>
    <w:rsid w:val="004E40E8"/>
    <w:rsid w:val="004E4179"/>
    <w:rsid w:val="004E4D04"/>
    <w:rsid w:val="004E4F64"/>
    <w:rsid w:val="004E59BF"/>
    <w:rsid w:val="004E652B"/>
    <w:rsid w:val="004E68D4"/>
    <w:rsid w:val="004E6C0A"/>
    <w:rsid w:val="004E6EAA"/>
    <w:rsid w:val="004E7C2F"/>
    <w:rsid w:val="004F0303"/>
    <w:rsid w:val="004F0F91"/>
    <w:rsid w:val="004F111F"/>
    <w:rsid w:val="004F1CD5"/>
    <w:rsid w:val="004F22A2"/>
    <w:rsid w:val="004F2966"/>
    <w:rsid w:val="004F36B6"/>
    <w:rsid w:val="004F4126"/>
    <w:rsid w:val="004F41A6"/>
    <w:rsid w:val="004F5C8D"/>
    <w:rsid w:val="004F6E02"/>
    <w:rsid w:val="004F76E8"/>
    <w:rsid w:val="005004EB"/>
    <w:rsid w:val="00501A9A"/>
    <w:rsid w:val="00501DA6"/>
    <w:rsid w:val="00502984"/>
    <w:rsid w:val="005032E3"/>
    <w:rsid w:val="005037D9"/>
    <w:rsid w:val="0050390E"/>
    <w:rsid w:val="00506197"/>
    <w:rsid w:val="00506215"/>
    <w:rsid w:val="00506574"/>
    <w:rsid w:val="005068F5"/>
    <w:rsid w:val="00507092"/>
    <w:rsid w:val="0050712B"/>
    <w:rsid w:val="00510C89"/>
    <w:rsid w:val="005117CD"/>
    <w:rsid w:val="00511A8A"/>
    <w:rsid w:val="00513936"/>
    <w:rsid w:val="00513A1F"/>
    <w:rsid w:val="005141B5"/>
    <w:rsid w:val="00514B0C"/>
    <w:rsid w:val="00515EDA"/>
    <w:rsid w:val="00516724"/>
    <w:rsid w:val="005167F5"/>
    <w:rsid w:val="00517ADD"/>
    <w:rsid w:val="00520267"/>
    <w:rsid w:val="0052099F"/>
    <w:rsid w:val="00522356"/>
    <w:rsid w:val="00522FBE"/>
    <w:rsid w:val="00523830"/>
    <w:rsid w:val="00524AF3"/>
    <w:rsid w:val="00525149"/>
    <w:rsid w:val="00526736"/>
    <w:rsid w:val="00530BF1"/>
    <w:rsid w:val="00531107"/>
    <w:rsid w:val="0053132C"/>
    <w:rsid w:val="005316D9"/>
    <w:rsid w:val="00531918"/>
    <w:rsid w:val="00532062"/>
    <w:rsid w:val="0053410D"/>
    <w:rsid w:val="00534279"/>
    <w:rsid w:val="0053455B"/>
    <w:rsid w:val="00534AEE"/>
    <w:rsid w:val="00535016"/>
    <w:rsid w:val="005356D3"/>
    <w:rsid w:val="00535A61"/>
    <w:rsid w:val="00535BE8"/>
    <w:rsid w:val="00535CB0"/>
    <w:rsid w:val="00535FD2"/>
    <w:rsid w:val="00536B34"/>
    <w:rsid w:val="00537958"/>
    <w:rsid w:val="00537977"/>
    <w:rsid w:val="00537A68"/>
    <w:rsid w:val="005414D0"/>
    <w:rsid w:val="005416B1"/>
    <w:rsid w:val="0054224B"/>
    <w:rsid w:val="005431B9"/>
    <w:rsid w:val="00543C57"/>
    <w:rsid w:val="005440C8"/>
    <w:rsid w:val="005451D6"/>
    <w:rsid w:val="00545F2B"/>
    <w:rsid w:val="00546BC5"/>
    <w:rsid w:val="005471BB"/>
    <w:rsid w:val="0055000A"/>
    <w:rsid w:val="0055062C"/>
    <w:rsid w:val="0055084E"/>
    <w:rsid w:val="0055123B"/>
    <w:rsid w:val="0055205D"/>
    <w:rsid w:val="00552194"/>
    <w:rsid w:val="005523B6"/>
    <w:rsid w:val="005525C2"/>
    <w:rsid w:val="005536C4"/>
    <w:rsid w:val="0055389E"/>
    <w:rsid w:val="00554BA6"/>
    <w:rsid w:val="00554C33"/>
    <w:rsid w:val="00555A4E"/>
    <w:rsid w:val="00555C0C"/>
    <w:rsid w:val="0055684D"/>
    <w:rsid w:val="0055695A"/>
    <w:rsid w:val="00556BFA"/>
    <w:rsid w:val="00556E01"/>
    <w:rsid w:val="0056156B"/>
    <w:rsid w:val="0056268A"/>
    <w:rsid w:val="00563234"/>
    <w:rsid w:val="005638FF"/>
    <w:rsid w:val="00563CD3"/>
    <w:rsid w:val="00564AB1"/>
    <w:rsid w:val="00564E5F"/>
    <w:rsid w:val="00565459"/>
    <w:rsid w:val="00565823"/>
    <w:rsid w:val="00565A2F"/>
    <w:rsid w:val="00566614"/>
    <w:rsid w:val="00566F5D"/>
    <w:rsid w:val="00570A20"/>
    <w:rsid w:val="005724D6"/>
    <w:rsid w:val="00572D40"/>
    <w:rsid w:val="0057401E"/>
    <w:rsid w:val="00574A12"/>
    <w:rsid w:val="005755B1"/>
    <w:rsid w:val="00575AB3"/>
    <w:rsid w:val="00575F36"/>
    <w:rsid w:val="00576730"/>
    <w:rsid w:val="00576DD8"/>
    <w:rsid w:val="00580860"/>
    <w:rsid w:val="00580B50"/>
    <w:rsid w:val="0058109B"/>
    <w:rsid w:val="0058165E"/>
    <w:rsid w:val="0058231E"/>
    <w:rsid w:val="00583247"/>
    <w:rsid w:val="005842E0"/>
    <w:rsid w:val="005845F2"/>
    <w:rsid w:val="0058472B"/>
    <w:rsid w:val="0058488D"/>
    <w:rsid w:val="00584CAB"/>
    <w:rsid w:val="00585097"/>
    <w:rsid w:val="00585E6B"/>
    <w:rsid w:val="0058603C"/>
    <w:rsid w:val="005875AF"/>
    <w:rsid w:val="0058798F"/>
    <w:rsid w:val="00587C3A"/>
    <w:rsid w:val="00591676"/>
    <w:rsid w:val="00593322"/>
    <w:rsid w:val="00593461"/>
    <w:rsid w:val="00593894"/>
    <w:rsid w:val="0059390C"/>
    <w:rsid w:val="00594086"/>
    <w:rsid w:val="00595231"/>
    <w:rsid w:val="00595B71"/>
    <w:rsid w:val="00595EB7"/>
    <w:rsid w:val="00596253"/>
    <w:rsid w:val="00596C82"/>
    <w:rsid w:val="00596C8C"/>
    <w:rsid w:val="005A1970"/>
    <w:rsid w:val="005A3455"/>
    <w:rsid w:val="005A39CA"/>
    <w:rsid w:val="005A4BA9"/>
    <w:rsid w:val="005A4F8D"/>
    <w:rsid w:val="005A5025"/>
    <w:rsid w:val="005A5AE4"/>
    <w:rsid w:val="005A5DBE"/>
    <w:rsid w:val="005A5EA0"/>
    <w:rsid w:val="005A6243"/>
    <w:rsid w:val="005A66C7"/>
    <w:rsid w:val="005A6A86"/>
    <w:rsid w:val="005A754D"/>
    <w:rsid w:val="005B0157"/>
    <w:rsid w:val="005B0573"/>
    <w:rsid w:val="005B0B32"/>
    <w:rsid w:val="005B1016"/>
    <w:rsid w:val="005B14F4"/>
    <w:rsid w:val="005B2EE7"/>
    <w:rsid w:val="005B3593"/>
    <w:rsid w:val="005B4182"/>
    <w:rsid w:val="005B545B"/>
    <w:rsid w:val="005B572A"/>
    <w:rsid w:val="005B66A6"/>
    <w:rsid w:val="005B6C80"/>
    <w:rsid w:val="005B6DEE"/>
    <w:rsid w:val="005B7036"/>
    <w:rsid w:val="005B7284"/>
    <w:rsid w:val="005B73D3"/>
    <w:rsid w:val="005B7CC9"/>
    <w:rsid w:val="005C1A1C"/>
    <w:rsid w:val="005C2EE5"/>
    <w:rsid w:val="005C3331"/>
    <w:rsid w:val="005C34F6"/>
    <w:rsid w:val="005C3506"/>
    <w:rsid w:val="005C36CA"/>
    <w:rsid w:val="005C39C0"/>
    <w:rsid w:val="005C3A6D"/>
    <w:rsid w:val="005C3EED"/>
    <w:rsid w:val="005C4FE1"/>
    <w:rsid w:val="005C561C"/>
    <w:rsid w:val="005C5A5E"/>
    <w:rsid w:val="005C67FB"/>
    <w:rsid w:val="005C6940"/>
    <w:rsid w:val="005C6B93"/>
    <w:rsid w:val="005C6EF2"/>
    <w:rsid w:val="005C7A98"/>
    <w:rsid w:val="005C7B6D"/>
    <w:rsid w:val="005D0EF5"/>
    <w:rsid w:val="005D1586"/>
    <w:rsid w:val="005D165E"/>
    <w:rsid w:val="005D1819"/>
    <w:rsid w:val="005D1E27"/>
    <w:rsid w:val="005D2B99"/>
    <w:rsid w:val="005D34F9"/>
    <w:rsid w:val="005D34FD"/>
    <w:rsid w:val="005D354E"/>
    <w:rsid w:val="005D47D2"/>
    <w:rsid w:val="005D5031"/>
    <w:rsid w:val="005D5F62"/>
    <w:rsid w:val="005D6A5B"/>
    <w:rsid w:val="005D6B55"/>
    <w:rsid w:val="005D6CE7"/>
    <w:rsid w:val="005D6E61"/>
    <w:rsid w:val="005D73C4"/>
    <w:rsid w:val="005E0245"/>
    <w:rsid w:val="005E1530"/>
    <w:rsid w:val="005E1D3A"/>
    <w:rsid w:val="005E1F58"/>
    <w:rsid w:val="005E3A30"/>
    <w:rsid w:val="005E4C1B"/>
    <w:rsid w:val="005E4DF5"/>
    <w:rsid w:val="005E51C0"/>
    <w:rsid w:val="005E6CD2"/>
    <w:rsid w:val="005E6DFF"/>
    <w:rsid w:val="005E7373"/>
    <w:rsid w:val="005E7BA5"/>
    <w:rsid w:val="005E7D82"/>
    <w:rsid w:val="005E7F2D"/>
    <w:rsid w:val="005F14EB"/>
    <w:rsid w:val="005F2F16"/>
    <w:rsid w:val="005F33DD"/>
    <w:rsid w:val="005F4787"/>
    <w:rsid w:val="005F4CA4"/>
    <w:rsid w:val="005F4CEB"/>
    <w:rsid w:val="005F5175"/>
    <w:rsid w:val="005F5EA0"/>
    <w:rsid w:val="00600834"/>
    <w:rsid w:val="006013F4"/>
    <w:rsid w:val="00601417"/>
    <w:rsid w:val="0060474E"/>
    <w:rsid w:val="0060496C"/>
    <w:rsid w:val="00604C87"/>
    <w:rsid w:val="00605C81"/>
    <w:rsid w:val="00605DE4"/>
    <w:rsid w:val="00606308"/>
    <w:rsid w:val="006070DD"/>
    <w:rsid w:val="0061016D"/>
    <w:rsid w:val="00610CAF"/>
    <w:rsid w:val="00611C5B"/>
    <w:rsid w:val="00612B9D"/>
    <w:rsid w:val="00613A03"/>
    <w:rsid w:val="006144F1"/>
    <w:rsid w:val="006150A1"/>
    <w:rsid w:val="0061528B"/>
    <w:rsid w:val="00616484"/>
    <w:rsid w:val="00616F90"/>
    <w:rsid w:val="00620146"/>
    <w:rsid w:val="0062081D"/>
    <w:rsid w:val="00621357"/>
    <w:rsid w:val="00622620"/>
    <w:rsid w:val="00622C4A"/>
    <w:rsid w:val="00622FA1"/>
    <w:rsid w:val="00624769"/>
    <w:rsid w:val="00624B02"/>
    <w:rsid w:val="00624D8D"/>
    <w:rsid w:val="00625ED3"/>
    <w:rsid w:val="0062652D"/>
    <w:rsid w:val="00626F71"/>
    <w:rsid w:val="00626FFF"/>
    <w:rsid w:val="00627080"/>
    <w:rsid w:val="00630911"/>
    <w:rsid w:val="00631237"/>
    <w:rsid w:val="006315F3"/>
    <w:rsid w:val="00631773"/>
    <w:rsid w:val="0063197C"/>
    <w:rsid w:val="00631D9F"/>
    <w:rsid w:val="006335BF"/>
    <w:rsid w:val="006355F8"/>
    <w:rsid w:val="0063671A"/>
    <w:rsid w:val="006379B5"/>
    <w:rsid w:val="00637B48"/>
    <w:rsid w:val="00640FDB"/>
    <w:rsid w:val="0064112C"/>
    <w:rsid w:val="006411ED"/>
    <w:rsid w:val="00641876"/>
    <w:rsid w:val="00642082"/>
    <w:rsid w:val="006421E7"/>
    <w:rsid w:val="00643A40"/>
    <w:rsid w:val="00644C85"/>
    <w:rsid w:val="0064521D"/>
    <w:rsid w:val="00645FF2"/>
    <w:rsid w:val="00646426"/>
    <w:rsid w:val="0065211C"/>
    <w:rsid w:val="00652B2E"/>
    <w:rsid w:val="00654283"/>
    <w:rsid w:val="0065568A"/>
    <w:rsid w:val="00655F8D"/>
    <w:rsid w:val="00657D5D"/>
    <w:rsid w:val="00657FF4"/>
    <w:rsid w:val="0066069E"/>
    <w:rsid w:val="00660C92"/>
    <w:rsid w:val="00662921"/>
    <w:rsid w:val="00662CAA"/>
    <w:rsid w:val="00663390"/>
    <w:rsid w:val="00663B9A"/>
    <w:rsid w:val="00664326"/>
    <w:rsid w:val="00665965"/>
    <w:rsid w:val="00665B62"/>
    <w:rsid w:val="006664D1"/>
    <w:rsid w:val="006670A0"/>
    <w:rsid w:val="006674EE"/>
    <w:rsid w:val="00667D2B"/>
    <w:rsid w:val="00667D44"/>
    <w:rsid w:val="006703A5"/>
    <w:rsid w:val="00670D5A"/>
    <w:rsid w:val="006717A6"/>
    <w:rsid w:val="0067218A"/>
    <w:rsid w:val="00672841"/>
    <w:rsid w:val="00672994"/>
    <w:rsid w:val="00673073"/>
    <w:rsid w:val="00674C2B"/>
    <w:rsid w:val="00675CE3"/>
    <w:rsid w:val="006760E5"/>
    <w:rsid w:val="00676FAE"/>
    <w:rsid w:val="00676FE2"/>
    <w:rsid w:val="006771C4"/>
    <w:rsid w:val="006774B2"/>
    <w:rsid w:val="00677A96"/>
    <w:rsid w:val="00680659"/>
    <w:rsid w:val="00680946"/>
    <w:rsid w:val="00680B0E"/>
    <w:rsid w:val="00680F69"/>
    <w:rsid w:val="006814CD"/>
    <w:rsid w:val="0068150C"/>
    <w:rsid w:val="006817DD"/>
    <w:rsid w:val="00681AA3"/>
    <w:rsid w:val="00681DB2"/>
    <w:rsid w:val="006821E8"/>
    <w:rsid w:val="00682289"/>
    <w:rsid w:val="006827FD"/>
    <w:rsid w:val="00682925"/>
    <w:rsid w:val="00682CB9"/>
    <w:rsid w:val="00683D2E"/>
    <w:rsid w:val="00684313"/>
    <w:rsid w:val="0068474A"/>
    <w:rsid w:val="006847E3"/>
    <w:rsid w:val="00685EE6"/>
    <w:rsid w:val="006866DE"/>
    <w:rsid w:val="0068670B"/>
    <w:rsid w:val="00686C20"/>
    <w:rsid w:val="00686EDA"/>
    <w:rsid w:val="006902C1"/>
    <w:rsid w:val="00690AAB"/>
    <w:rsid w:val="00690EA6"/>
    <w:rsid w:val="00691097"/>
    <w:rsid w:val="00691E35"/>
    <w:rsid w:val="00691FCB"/>
    <w:rsid w:val="0069252A"/>
    <w:rsid w:val="00692590"/>
    <w:rsid w:val="00694B36"/>
    <w:rsid w:val="00694B46"/>
    <w:rsid w:val="006950EC"/>
    <w:rsid w:val="006954D0"/>
    <w:rsid w:val="0069634B"/>
    <w:rsid w:val="00696775"/>
    <w:rsid w:val="006967DE"/>
    <w:rsid w:val="00696C9E"/>
    <w:rsid w:val="0069701E"/>
    <w:rsid w:val="0069707A"/>
    <w:rsid w:val="006977FE"/>
    <w:rsid w:val="00697C15"/>
    <w:rsid w:val="006A0398"/>
    <w:rsid w:val="006A0AF7"/>
    <w:rsid w:val="006A0C5D"/>
    <w:rsid w:val="006A1151"/>
    <w:rsid w:val="006A15F7"/>
    <w:rsid w:val="006A1736"/>
    <w:rsid w:val="006A24D0"/>
    <w:rsid w:val="006A34CE"/>
    <w:rsid w:val="006A4EDA"/>
    <w:rsid w:val="006A5498"/>
    <w:rsid w:val="006A6314"/>
    <w:rsid w:val="006A68D7"/>
    <w:rsid w:val="006A7721"/>
    <w:rsid w:val="006B0A94"/>
    <w:rsid w:val="006B11B6"/>
    <w:rsid w:val="006B1E1C"/>
    <w:rsid w:val="006B20C9"/>
    <w:rsid w:val="006B42D8"/>
    <w:rsid w:val="006B58DE"/>
    <w:rsid w:val="006B7C31"/>
    <w:rsid w:val="006C003C"/>
    <w:rsid w:val="006C06E2"/>
    <w:rsid w:val="006C09AE"/>
    <w:rsid w:val="006C0E5D"/>
    <w:rsid w:val="006C1A55"/>
    <w:rsid w:val="006C3A43"/>
    <w:rsid w:val="006C5404"/>
    <w:rsid w:val="006C54DC"/>
    <w:rsid w:val="006C5942"/>
    <w:rsid w:val="006C5B86"/>
    <w:rsid w:val="006C5DBF"/>
    <w:rsid w:val="006C66EB"/>
    <w:rsid w:val="006C6B2B"/>
    <w:rsid w:val="006C7275"/>
    <w:rsid w:val="006C76D5"/>
    <w:rsid w:val="006D00F2"/>
    <w:rsid w:val="006D04E5"/>
    <w:rsid w:val="006D04F7"/>
    <w:rsid w:val="006D2957"/>
    <w:rsid w:val="006D3CF8"/>
    <w:rsid w:val="006D646A"/>
    <w:rsid w:val="006D6854"/>
    <w:rsid w:val="006D699A"/>
    <w:rsid w:val="006D7329"/>
    <w:rsid w:val="006E0059"/>
    <w:rsid w:val="006E01C3"/>
    <w:rsid w:val="006E0A1E"/>
    <w:rsid w:val="006E25B9"/>
    <w:rsid w:val="006E2CAC"/>
    <w:rsid w:val="006E3108"/>
    <w:rsid w:val="006E32D9"/>
    <w:rsid w:val="006E33D7"/>
    <w:rsid w:val="006E3E61"/>
    <w:rsid w:val="006E4013"/>
    <w:rsid w:val="006E57DC"/>
    <w:rsid w:val="006E76B4"/>
    <w:rsid w:val="006E793C"/>
    <w:rsid w:val="006F01FE"/>
    <w:rsid w:val="006F09CA"/>
    <w:rsid w:val="006F0F31"/>
    <w:rsid w:val="006F1823"/>
    <w:rsid w:val="006F192B"/>
    <w:rsid w:val="006F1B4F"/>
    <w:rsid w:val="006F22CA"/>
    <w:rsid w:val="006F3845"/>
    <w:rsid w:val="006F56CC"/>
    <w:rsid w:val="006F57F5"/>
    <w:rsid w:val="006F5871"/>
    <w:rsid w:val="006F5B59"/>
    <w:rsid w:val="006F5C0E"/>
    <w:rsid w:val="006F6323"/>
    <w:rsid w:val="006F6D45"/>
    <w:rsid w:val="006F7023"/>
    <w:rsid w:val="006F723A"/>
    <w:rsid w:val="006F78C2"/>
    <w:rsid w:val="006F7C88"/>
    <w:rsid w:val="006F7DD7"/>
    <w:rsid w:val="006F7E9B"/>
    <w:rsid w:val="007018B3"/>
    <w:rsid w:val="00701C0E"/>
    <w:rsid w:val="0070239D"/>
    <w:rsid w:val="00702765"/>
    <w:rsid w:val="0070276D"/>
    <w:rsid w:val="00702C55"/>
    <w:rsid w:val="00704379"/>
    <w:rsid w:val="00704BD9"/>
    <w:rsid w:val="00704C73"/>
    <w:rsid w:val="00704E8A"/>
    <w:rsid w:val="00704F9F"/>
    <w:rsid w:val="007054DF"/>
    <w:rsid w:val="007066FC"/>
    <w:rsid w:val="00706C73"/>
    <w:rsid w:val="00707434"/>
    <w:rsid w:val="007078DE"/>
    <w:rsid w:val="007101ED"/>
    <w:rsid w:val="0071190F"/>
    <w:rsid w:val="00711B64"/>
    <w:rsid w:val="00711BFD"/>
    <w:rsid w:val="00712A51"/>
    <w:rsid w:val="00714CBD"/>
    <w:rsid w:val="00715CD9"/>
    <w:rsid w:val="007162FF"/>
    <w:rsid w:val="00716644"/>
    <w:rsid w:val="00716BFF"/>
    <w:rsid w:val="00716F3E"/>
    <w:rsid w:val="00720211"/>
    <w:rsid w:val="0072085F"/>
    <w:rsid w:val="00720980"/>
    <w:rsid w:val="00720AE2"/>
    <w:rsid w:val="00722FB2"/>
    <w:rsid w:val="00723614"/>
    <w:rsid w:val="00724022"/>
    <w:rsid w:val="00724260"/>
    <w:rsid w:val="007246AF"/>
    <w:rsid w:val="00726106"/>
    <w:rsid w:val="00726884"/>
    <w:rsid w:val="0072701B"/>
    <w:rsid w:val="007279C4"/>
    <w:rsid w:val="0073012E"/>
    <w:rsid w:val="007303D3"/>
    <w:rsid w:val="00730BA2"/>
    <w:rsid w:val="00732C3A"/>
    <w:rsid w:val="00734998"/>
    <w:rsid w:val="00735B8C"/>
    <w:rsid w:val="00735F06"/>
    <w:rsid w:val="00736E83"/>
    <w:rsid w:val="007373C5"/>
    <w:rsid w:val="007407FB"/>
    <w:rsid w:val="0074250F"/>
    <w:rsid w:val="00742875"/>
    <w:rsid w:val="00742F11"/>
    <w:rsid w:val="00743544"/>
    <w:rsid w:val="00744066"/>
    <w:rsid w:val="007442C4"/>
    <w:rsid w:val="00744911"/>
    <w:rsid w:val="00745DB3"/>
    <w:rsid w:val="00746547"/>
    <w:rsid w:val="007500FF"/>
    <w:rsid w:val="007513B2"/>
    <w:rsid w:val="007521F6"/>
    <w:rsid w:val="00755660"/>
    <w:rsid w:val="00755B9F"/>
    <w:rsid w:val="0075620E"/>
    <w:rsid w:val="00756AFD"/>
    <w:rsid w:val="007572FB"/>
    <w:rsid w:val="00760203"/>
    <w:rsid w:val="007602F2"/>
    <w:rsid w:val="007604AD"/>
    <w:rsid w:val="007607CB"/>
    <w:rsid w:val="00760A2B"/>
    <w:rsid w:val="00761C8D"/>
    <w:rsid w:val="0076245D"/>
    <w:rsid w:val="00763F91"/>
    <w:rsid w:val="0076452A"/>
    <w:rsid w:val="007646E8"/>
    <w:rsid w:val="00764CF1"/>
    <w:rsid w:val="00764E53"/>
    <w:rsid w:val="007651FA"/>
    <w:rsid w:val="00765279"/>
    <w:rsid w:val="007652B7"/>
    <w:rsid w:val="007653F4"/>
    <w:rsid w:val="007664C9"/>
    <w:rsid w:val="007674C8"/>
    <w:rsid w:val="007679C2"/>
    <w:rsid w:val="00767E79"/>
    <w:rsid w:val="007709F0"/>
    <w:rsid w:val="00771C61"/>
    <w:rsid w:val="00772BEB"/>
    <w:rsid w:val="00773AE0"/>
    <w:rsid w:val="00774701"/>
    <w:rsid w:val="00774E18"/>
    <w:rsid w:val="00775202"/>
    <w:rsid w:val="007771C1"/>
    <w:rsid w:val="0077732C"/>
    <w:rsid w:val="007776DB"/>
    <w:rsid w:val="007777F3"/>
    <w:rsid w:val="0078070C"/>
    <w:rsid w:val="00780B2C"/>
    <w:rsid w:val="007820E9"/>
    <w:rsid w:val="00782BF3"/>
    <w:rsid w:val="0078303E"/>
    <w:rsid w:val="00783814"/>
    <w:rsid w:val="007838A2"/>
    <w:rsid w:val="00783E83"/>
    <w:rsid w:val="00784575"/>
    <w:rsid w:val="007855A3"/>
    <w:rsid w:val="00785A1C"/>
    <w:rsid w:val="00785E4C"/>
    <w:rsid w:val="00785F46"/>
    <w:rsid w:val="00787E16"/>
    <w:rsid w:val="00790F7B"/>
    <w:rsid w:val="00792050"/>
    <w:rsid w:val="00792270"/>
    <w:rsid w:val="00793A4E"/>
    <w:rsid w:val="00793E2F"/>
    <w:rsid w:val="007941FD"/>
    <w:rsid w:val="00795068"/>
    <w:rsid w:val="007953EB"/>
    <w:rsid w:val="00795F76"/>
    <w:rsid w:val="00796293"/>
    <w:rsid w:val="007A0532"/>
    <w:rsid w:val="007A13EE"/>
    <w:rsid w:val="007A15B0"/>
    <w:rsid w:val="007A2573"/>
    <w:rsid w:val="007A320A"/>
    <w:rsid w:val="007A36B8"/>
    <w:rsid w:val="007A38E0"/>
    <w:rsid w:val="007A50CF"/>
    <w:rsid w:val="007A5442"/>
    <w:rsid w:val="007A6143"/>
    <w:rsid w:val="007A69E0"/>
    <w:rsid w:val="007A6D21"/>
    <w:rsid w:val="007A71F9"/>
    <w:rsid w:val="007A746A"/>
    <w:rsid w:val="007A766E"/>
    <w:rsid w:val="007A7AF9"/>
    <w:rsid w:val="007B017B"/>
    <w:rsid w:val="007B01A5"/>
    <w:rsid w:val="007B1611"/>
    <w:rsid w:val="007B1D72"/>
    <w:rsid w:val="007B1F4A"/>
    <w:rsid w:val="007B27A2"/>
    <w:rsid w:val="007B50AE"/>
    <w:rsid w:val="007B5501"/>
    <w:rsid w:val="007B62F4"/>
    <w:rsid w:val="007B6524"/>
    <w:rsid w:val="007B7D43"/>
    <w:rsid w:val="007B7DFF"/>
    <w:rsid w:val="007B7E65"/>
    <w:rsid w:val="007C02DB"/>
    <w:rsid w:val="007C06BC"/>
    <w:rsid w:val="007C06D9"/>
    <w:rsid w:val="007C0D69"/>
    <w:rsid w:val="007C1F1E"/>
    <w:rsid w:val="007C2F3A"/>
    <w:rsid w:val="007C33C6"/>
    <w:rsid w:val="007C3417"/>
    <w:rsid w:val="007C39F0"/>
    <w:rsid w:val="007C3ABF"/>
    <w:rsid w:val="007C44E8"/>
    <w:rsid w:val="007C485D"/>
    <w:rsid w:val="007C4FC5"/>
    <w:rsid w:val="007C53B9"/>
    <w:rsid w:val="007C5AA2"/>
    <w:rsid w:val="007C6507"/>
    <w:rsid w:val="007C6FD0"/>
    <w:rsid w:val="007C75B4"/>
    <w:rsid w:val="007D0CEF"/>
    <w:rsid w:val="007D1597"/>
    <w:rsid w:val="007D45CD"/>
    <w:rsid w:val="007D4AFD"/>
    <w:rsid w:val="007D5A29"/>
    <w:rsid w:val="007D5AA8"/>
    <w:rsid w:val="007D684D"/>
    <w:rsid w:val="007E02B4"/>
    <w:rsid w:val="007E0916"/>
    <w:rsid w:val="007E0CCA"/>
    <w:rsid w:val="007E0E20"/>
    <w:rsid w:val="007E0EBE"/>
    <w:rsid w:val="007E1E2C"/>
    <w:rsid w:val="007E2377"/>
    <w:rsid w:val="007E2680"/>
    <w:rsid w:val="007E2799"/>
    <w:rsid w:val="007E43D1"/>
    <w:rsid w:val="007E4440"/>
    <w:rsid w:val="007E45BA"/>
    <w:rsid w:val="007E59E8"/>
    <w:rsid w:val="007E5DC8"/>
    <w:rsid w:val="007E6522"/>
    <w:rsid w:val="007E684D"/>
    <w:rsid w:val="007E6BAD"/>
    <w:rsid w:val="007F0541"/>
    <w:rsid w:val="007F2E88"/>
    <w:rsid w:val="007F2E97"/>
    <w:rsid w:val="007F393D"/>
    <w:rsid w:val="007F3F04"/>
    <w:rsid w:val="007F53F7"/>
    <w:rsid w:val="007F659B"/>
    <w:rsid w:val="007F71E4"/>
    <w:rsid w:val="00800035"/>
    <w:rsid w:val="00801C56"/>
    <w:rsid w:val="008020D7"/>
    <w:rsid w:val="008029C7"/>
    <w:rsid w:val="00802A4B"/>
    <w:rsid w:val="008037B4"/>
    <w:rsid w:val="00803D3A"/>
    <w:rsid w:val="008067DA"/>
    <w:rsid w:val="00806B1E"/>
    <w:rsid w:val="00806C7B"/>
    <w:rsid w:val="00806D36"/>
    <w:rsid w:val="008101E0"/>
    <w:rsid w:val="00812025"/>
    <w:rsid w:val="008129A8"/>
    <w:rsid w:val="0081317F"/>
    <w:rsid w:val="0081376F"/>
    <w:rsid w:val="00813B53"/>
    <w:rsid w:val="00813BD8"/>
    <w:rsid w:val="008149EE"/>
    <w:rsid w:val="00815473"/>
    <w:rsid w:val="00815F41"/>
    <w:rsid w:val="00816547"/>
    <w:rsid w:val="008178F5"/>
    <w:rsid w:val="00817B56"/>
    <w:rsid w:val="00820FF9"/>
    <w:rsid w:val="008217B6"/>
    <w:rsid w:val="00822304"/>
    <w:rsid w:val="00822D7D"/>
    <w:rsid w:val="00823890"/>
    <w:rsid w:val="008256EA"/>
    <w:rsid w:val="00825A9E"/>
    <w:rsid w:val="008265A3"/>
    <w:rsid w:val="00826602"/>
    <w:rsid w:val="00827898"/>
    <w:rsid w:val="00830A5F"/>
    <w:rsid w:val="008317D8"/>
    <w:rsid w:val="0083207D"/>
    <w:rsid w:val="00832AD7"/>
    <w:rsid w:val="00832AEE"/>
    <w:rsid w:val="00833338"/>
    <w:rsid w:val="008339A9"/>
    <w:rsid w:val="00833B00"/>
    <w:rsid w:val="00833D6D"/>
    <w:rsid w:val="00834584"/>
    <w:rsid w:val="008346BD"/>
    <w:rsid w:val="00836151"/>
    <w:rsid w:val="00836A00"/>
    <w:rsid w:val="00836AF4"/>
    <w:rsid w:val="00837371"/>
    <w:rsid w:val="008379B2"/>
    <w:rsid w:val="00837E21"/>
    <w:rsid w:val="00837EE2"/>
    <w:rsid w:val="00840255"/>
    <w:rsid w:val="00842A9B"/>
    <w:rsid w:val="00843564"/>
    <w:rsid w:val="008442FE"/>
    <w:rsid w:val="008450DA"/>
    <w:rsid w:val="00845499"/>
    <w:rsid w:val="00846879"/>
    <w:rsid w:val="008468F4"/>
    <w:rsid w:val="00847019"/>
    <w:rsid w:val="008504F5"/>
    <w:rsid w:val="0085072D"/>
    <w:rsid w:val="008513CC"/>
    <w:rsid w:val="00852842"/>
    <w:rsid w:val="00852B36"/>
    <w:rsid w:val="00853325"/>
    <w:rsid w:val="00853917"/>
    <w:rsid w:val="00853B7E"/>
    <w:rsid w:val="00853C6C"/>
    <w:rsid w:val="00853EAC"/>
    <w:rsid w:val="00856A07"/>
    <w:rsid w:val="008600AC"/>
    <w:rsid w:val="00860535"/>
    <w:rsid w:val="00860E82"/>
    <w:rsid w:val="008614DB"/>
    <w:rsid w:val="008618B2"/>
    <w:rsid w:val="00862E6A"/>
    <w:rsid w:val="00863483"/>
    <w:rsid w:val="00863B0F"/>
    <w:rsid w:val="00863BDB"/>
    <w:rsid w:val="00864C28"/>
    <w:rsid w:val="00865144"/>
    <w:rsid w:val="0086541A"/>
    <w:rsid w:val="00865FDE"/>
    <w:rsid w:val="00866097"/>
    <w:rsid w:val="00866EC5"/>
    <w:rsid w:val="00867EE7"/>
    <w:rsid w:val="00867F9F"/>
    <w:rsid w:val="008700E2"/>
    <w:rsid w:val="00870296"/>
    <w:rsid w:val="00871EED"/>
    <w:rsid w:val="00872398"/>
    <w:rsid w:val="00872B63"/>
    <w:rsid w:val="00874C92"/>
    <w:rsid w:val="00874F50"/>
    <w:rsid w:val="00875508"/>
    <w:rsid w:val="00875A9F"/>
    <w:rsid w:val="00875CC0"/>
    <w:rsid w:val="00876320"/>
    <w:rsid w:val="00876E69"/>
    <w:rsid w:val="008805DA"/>
    <w:rsid w:val="00880DF4"/>
    <w:rsid w:val="0088129B"/>
    <w:rsid w:val="0088156C"/>
    <w:rsid w:val="008820AA"/>
    <w:rsid w:val="008837A6"/>
    <w:rsid w:val="008846A2"/>
    <w:rsid w:val="00885534"/>
    <w:rsid w:val="00885ACE"/>
    <w:rsid w:val="008869B9"/>
    <w:rsid w:val="00886AC3"/>
    <w:rsid w:val="00886D72"/>
    <w:rsid w:val="00887162"/>
    <w:rsid w:val="008915F2"/>
    <w:rsid w:val="0089238E"/>
    <w:rsid w:val="00892558"/>
    <w:rsid w:val="008949BE"/>
    <w:rsid w:val="00895D72"/>
    <w:rsid w:val="0089633F"/>
    <w:rsid w:val="008963AB"/>
    <w:rsid w:val="0089649D"/>
    <w:rsid w:val="0089755E"/>
    <w:rsid w:val="008A02B9"/>
    <w:rsid w:val="008A09D2"/>
    <w:rsid w:val="008A1C69"/>
    <w:rsid w:val="008A2325"/>
    <w:rsid w:val="008A362B"/>
    <w:rsid w:val="008A4688"/>
    <w:rsid w:val="008A4AB3"/>
    <w:rsid w:val="008A596E"/>
    <w:rsid w:val="008A5B60"/>
    <w:rsid w:val="008A60C2"/>
    <w:rsid w:val="008A6F15"/>
    <w:rsid w:val="008A7282"/>
    <w:rsid w:val="008B00DE"/>
    <w:rsid w:val="008B047E"/>
    <w:rsid w:val="008B08A2"/>
    <w:rsid w:val="008B194D"/>
    <w:rsid w:val="008B3461"/>
    <w:rsid w:val="008B3747"/>
    <w:rsid w:val="008B4082"/>
    <w:rsid w:val="008B4557"/>
    <w:rsid w:val="008B4B33"/>
    <w:rsid w:val="008B564A"/>
    <w:rsid w:val="008B5BBC"/>
    <w:rsid w:val="008B6CB5"/>
    <w:rsid w:val="008B7FBE"/>
    <w:rsid w:val="008C0752"/>
    <w:rsid w:val="008C0ECE"/>
    <w:rsid w:val="008C32EC"/>
    <w:rsid w:val="008C3E1A"/>
    <w:rsid w:val="008C41E8"/>
    <w:rsid w:val="008C42CE"/>
    <w:rsid w:val="008C5315"/>
    <w:rsid w:val="008C5870"/>
    <w:rsid w:val="008C68B9"/>
    <w:rsid w:val="008C70D7"/>
    <w:rsid w:val="008C7102"/>
    <w:rsid w:val="008C7636"/>
    <w:rsid w:val="008C7928"/>
    <w:rsid w:val="008C7A2F"/>
    <w:rsid w:val="008D020E"/>
    <w:rsid w:val="008D13E3"/>
    <w:rsid w:val="008D16F5"/>
    <w:rsid w:val="008D4595"/>
    <w:rsid w:val="008D486A"/>
    <w:rsid w:val="008D5DCF"/>
    <w:rsid w:val="008D5EB9"/>
    <w:rsid w:val="008D7B71"/>
    <w:rsid w:val="008E1171"/>
    <w:rsid w:val="008E17BF"/>
    <w:rsid w:val="008E1A1A"/>
    <w:rsid w:val="008E1E7A"/>
    <w:rsid w:val="008E23E4"/>
    <w:rsid w:val="008E2A6C"/>
    <w:rsid w:val="008E2BDA"/>
    <w:rsid w:val="008E2C65"/>
    <w:rsid w:val="008E38BF"/>
    <w:rsid w:val="008E3CE0"/>
    <w:rsid w:val="008E4153"/>
    <w:rsid w:val="008E5EA5"/>
    <w:rsid w:val="008E6027"/>
    <w:rsid w:val="008E76CD"/>
    <w:rsid w:val="008F1A9B"/>
    <w:rsid w:val="008F1D32"/>
    <w:rsid w:val="008F2522"/>
    <w:rsid w:val="008F311E"/>
    <w:rsid w:val="008F3709"/>
    <w:rsid w:val="008F3EC7"/>
    <w:rsid w:val="008F6019"/>
    <w:rsid w:val="008F6209"/>
    <w:rsid w:val="008F7350"/>
    <w:rsid w:val="008F744C"/>
    <w:rsid w:val="009003BD"/>
    <w:rsid w:val="0090177E"/>
    <w:rsid w:val="00904456"/>
    <w:rsid w:val="00904ED4"/>
    <w:rsid w:val="00905BD3"/>
    <w:rsid w:val="00906772"/>
    <w:rsid w:val="0091004D"/>
    <w:rsid w:val="0091046E"/>
    <w:rsid w:val="00910A4C"/>
    <w:rsid w:val="00911138"/>
    <w:rsid w:val="009125BA"/>
    <w:rsid w:val="00912EF6"/>
    <w:rsid w:val="00914743"/>
    <w:rsid w:val="00915278"/>
    <w:rsid w:val="0091567C"/>
    <w:rsid w:val="00915F1B"/>
    <w:rsid w:val="00916318"/>
    <w:rsid w:val="00916961"/>
    <w:rsid w:val="00916C1F"/>
    <w:rsid w:val="00916E91"/>
    <w:rsid w:val="00916F3A"/>
    <w:rsid w:val="009179C9"/>
    <w:rsid w:val="009207A6"/>
    <w:rsid w:val="009216EC"/>
    <w:rsid w:val="009218C7"/>
    <w:rsid w:val="009229AE"/>
    <w:rsid w:val="00923777"/>
    <w:rsid w:val="00925FC9"/>
    <w:rsid w:val="0092635C"/>
    <w:rsid w:val="00926D44"/>
    <w:rsid w:val="009274C9"/>
    <w:rsid w:val="0092778A"/>
    <w:rsid w:val="00927808"/>
    <w:rsid w:val="00927BEA"/>
    <w:rsid w:val="00930542"/>
    <w:rsid w:val="00930996"/>
    <w:rsid w:val="0093143B"/>
    <w:rsid w:val="0093218F"/>
    <w:rsid w:val="009328EE"/>
    <w:rsid w:val="00932E13"/>
    <w:rsid w:val="009333BA"/>
    <w:rsid w:val="00933922"/>
    <w:rsid w:val="00935A0A"/>
    <w:rsid w:val="009375E4"/>
    <w:rsid w:val="0094018E"/>
    <w:rsid w:val="009406C7"/>
    <w:rsid w:val="009411B0"/>
    <w:rsid w:val="00941604"/>
    <w:rsid w:val="00941885"/>
    <w:rsid w:val="00941B55"/>
    <w:rsid w:val="00942177"/>
    <w:rsid w:val="00942280"/>
    <w:rsid w:val="0094264D"/>
    <w:rsid w:val="00942F31"/>
    <w:rsid w:val="00943DD2"/>
    <w:rsid w:val="009443FE"/>
    <w:rsid w:val="00945594"/>
    <w:rsid w:val="00945AD2"/>
    <w:rsid w:val="00945CE0"/>
    <w:rsid w:val="009460B8"/>
    <w:rsid w:val="009460DF"/>
    <w:rsid w:val="00946209"/>
    <w:rsid w:val="00946FA3"/>
    <w:rsid w:val="0094774F"/>
    <w:rsid w:val="00950D96"/>
    <w:rsid w:val="00950EC1"/>
    <w:rsid w:val="00950FF0"/>
    <w:rsid w:val="009513DB"/>
    <w:rsid w:val="0095141A"/>
    <w:rsid w:val="00951661"/>
    <w:rsid w:val="00951B5F"/>
    <w:rsid w:val="00951CA6"/>
    <w:rsid w:val="0095205B"/>
    <w:rsid w:val="00953A32"/>
    <w:rsid w:val="00953CF4"/>
    <w:rsid w:val="00954379"/>
    <w:rsid w:val="009559E6"/>
    <w:rsid w:val="00956BF5"/>
    <w:rsid w:val="00960637"/>
    <w:rsid w:val="0096175A"/>
    <w:rsid w:val="00961E9E"/>
    <w:rsid w:val="00961F6B"/>
    <w:rsid w:val="00963345"/>
    <w:rsid w:val="009635B4"/>
    <w:rsid w:val="00963941"/>
    <w:rsid w:val="00963CBA"/>
    <w:rsid w:val="00964975"/>
    <w:rsid w:val="0096611F"/>
    <w:rsid w:val="009661FE"/>
    <w:rsid w:val="00966F7C"/>
    <w:rsid w:val="00967BE6"/>
    <w:rsid w:val="00970CEA"/>
    <w:rsid w:val="0097146F"/>
    <w:rsid w:val="00971DC7"/>
    <w:rsid w:val="009727A3"/>
    <w:rsid w:val="0097528A"/>
    <w:rsid w:val="00975CE0"/>
    <w:rsid w:val="00975E9C"/>
    <w:rsid w:val="0097615F"/>
    <w:rsid w:val="009762A7"/>
    <w:rsid w:val="009762E7"/>
    <w:rsid w:val="009764D2"/>
    <w:rsid w:val="00976812"/>
    <w:rsid w:val="00977244"/>
    <w:rsid w:val="0097790F"/>
    <w:rsid w:val="0098090C"/>
    <w:rsid w:val="00980B08"/>
    <w:rsid w:val="009811E6"/>
    <w:rsid w:val="009820B1"/>
    <w:rsid w:val="0098300A"/>
    <w:rsid w:val="0098471D"/>
    <w:rsid w:val="009850A5"/>
    <w:rsid w:val="009852A2"/>
    <w:rsid w:val="00986043"/>
    <w:rsid w:val="00986114"/>
    <w:rsid w:val="00986E81"/>
    <w:rsid w:val="00987124"/>
    <w:rsid w:val="00987279"/>
    <w:rsid w:val="009919B3"/>
    <w:rsid w:val="00991E34"/>
    <w:rsid w:val="00992601"/>
    <w:rsid w:val="00992858"/>
    <w:rsid w:val="00992D9E"/>
    <w:rsid w:val="0099345B"/>
    <w:rsid w:val="00994A7C"/>
    <w:rsid w:val="00994D82"/>
    <w:rsid w:val="00995080"/>
    <w:rsid w:val="009956A1"/>
    <w:rsid w:val="00995B05"/>
    <w:rsid w:val="00996196"/>
    <w:rsid w:val="00996C78"/>
    <w:rsid w:val="009A0402"/>
    <w:rsid w:val="009A0D89"/>
    <w:rsid w:val="009A2F5D"/>
    <w:rsid w:val="009A35C1"/>
    <w:rsid w:val="009A40D2"/>
    <w:rsid w:val="009A5511"/>
    <w:rsid w:val="009A6BF1"/>
    <w:rsid w:val="009A71A3"/>
    <w:rsid w:val="009A7DF3"/>
    <w:rsid w:val="009B0B3B"/>
    <w:rsid w:val="009B1A44"/>
    <w:rsid w:val="009B2716"/>
    <w:rsid w:val="009B32BC"/>
    <w:rsid w:val="009B4149"/>
    <w:rsid w:val="009B43BB"/>
    <w:rsid w:val="009B43BE"/>
    <w:rsid w:val="009B44D1"/>
    <w:rsid w:val="009B46D2"/>
    <w:rsid w:val="009B4D91"/>
    <w:rsid w:val="009B5269"/>
    <w:rsid w:val="009B5902"/>
    <w:rsid w:val="009B627F"/>
    <w:rsid w:val="009B66C3"/>
    <w:rsid w:val="009B69ED"/>
    <w:rsid w:val="009B72A1"/>
    <w:rsid w:val="009C002E"/>
    <w:rsid w:val="009C0E7E"/>
    <w:rsid w:val="009C12DF"/>
    <w:rsid w:val="009C22CD"/>
    <w:rsid w:val="009C2EAC"/>
    <w:rsid w:val="009C38DA"/>
    <w:rsid w:val="009C3DC0"/>
    <w:rsid w:val="009C496A"/>
    <w:rsid w:val="009C5D53"/>
    <w:rsid w:val="009C5D8E"/>
    <w:rsid w:val="009C5D97"/>
    <w:rsid w:val="009C6A8B"/>
    <w:rsid w:val="009C6C2F"/>
    <w:rsid w:val="009C6DCB"/>
    <w:rsid w:val="009C76F4"/>
    <w:rsid w:val="009C7D85"/>
    <w:rsid w:val="009D0537"/>
    <w:rsid w:val="009D0AB6"/>
    <w:rsid w:val="009D0DB3"/>
    <w:rsid w:val="009D1189"/>
    <w:rsid w:val="009D204F"/>
    <w:rsid w:val="009D26B8"/>
    <w:rsid w:val="009D3693"/>
    <w:rsid w:val="009D379A"/>
    <w:rsid w:val="009D3A37"/>
    <w:rsid w:val="009D4833"/>
    <w:rsid w:val="009D6991"/>
    <w:rsid w:val="009D6F8F"/>
    <w:rsid w:val="009E04D0"/>
    <w:rsid w:val="009E3894"/>
    <w:rsid w:val="009E4711"/>
    <w:rsid w:val="009E4A99"/>
    <w:rsid w:val="009E518F"/>
    <w:rsid w:val="009E57BC"/>
    <w:rsid w:val="009E5DDB"/>
    <w:rsid w:val="009E7A38"/>
    <w:rsid w:val="009F0241"/>
    <w:rsid w:val="009F215C"/>
    <w:rsid w:val="009F302A"/>
    <w:rsid w:val="009F34DD"/>
    <w:rsid w:val="009F3839"/>
    <w:rsid w:val="009F40DA"/>
    <w:rsid w:val="009F4567"/>
    <w:rsid w:val="009F4D47"/>
    <w:rsid w:val="009F4E25"/>
    <w:rsid w:val="009F58DB"/>
    <w:rsid w:val="009F5EF3"/>
    <w:rsid w:val="009F64AC"/>
    <w:rsid w:val="00A0033C"/>
    <w:rsid w:val="00A00EF6"/>
    <w:rsid w:val="00A01513"/>
    <w:rsid w:val="00A03F26"/>
    <w:rsid w:val="00A04044"/>
    <w:rsid w:val="00A04712"/>
    <w:rsid w:val="00A064EB"/>
    <w:rsid w:val="00A0749F"/>
    <w:rsid w:val="00A1021B"/>
    <w:rsid w:val="00A10D15"/>
    <w:rsid w:val="00A12813"/>
    <w:rsid w:val="00A12BB3"/>
    <w:rsid w:val="00A13CE9"/>
    <w:rsid w:val="00A14A71"/>
    <w:rsid w:val="00A14C0D"/>
    <w:rsid w:val="00A152C6"/>
    <w:rsid w:val="00A15742"/>
    <w:rsid w:val="00A15E4E"/>
    <w:rsid w:val="00A16E03"/>
    <w:rsid w:val="00A16E33"/>
    <w:rsid w:val="00A177FD"/>
    <w:rsid w:val="00A17CA9"/>
    <w:rsid w:val="00A20406"/>
    <w:rsid w:val="00A21A3D"/>
    <w:rsid w:val="00A21C11"/>
    <w:rsid w:val="00A21FBF"/>
    <w:rsid w:val="00A2203B"/>
    <w:rsid w:val="00A22966"/>
    <w:rsid w:val="00A233E1"/>
    <w:rsid w:val="00A239D3"/>
    <w:rsid w:val="00A23C98"/>
    <w:rsid w:val="00A25236"/>
    <w:rsid w:val="00A27256"/>
    <w:rsid w:val="00A27C27"/>
    <w:rsid w:val="00A3061E"/>
    <w:rsid w:val="00A31142"/>
    <w:rsid w:val="00A311D2"/>
    <w:rsid w:val="00A31664"/>
    <w:rsid w:val="00A31F79"/>
    <w:rsid w:val="00A325DA"/>
    <w:rsid w:val="00A3303E"/>
    <w:rsid w:val="00A3457B"/>
    <w:rsid w:val="00A352B7"/>
    <w:rsid w:val="00A35648"/>
    <w:rsid w:val="00A3668B"/>
    <w:rsid w:val="00A367E3"/>
    <w:rsid w:val="00A37CBC"/>
    <w:rsid w:val="00A37EF8"/>
    <w:rsid w:val="00A40525"/>
    <w:rsid w:val="00A41C10"/>
    <w:rsid w:val="00A41FE9"/>
    <w:rsid w:val="00A42476"/>
    <w:rsid w:val="00A42E0F"/>
    <w:rsid w:val="00A43C5F"/>
    <w:rsid w:val="00A4411D"/>
    <w:rsid w:val="00A44589"/>
    <w:rsid w:val="00A46001"/>
    <w:rsid w:val="00A463EA"/>
    <w:rsid w:val="00A464D3"/>
    <w:rsid w:val="00A50382"/>
    <w:rsid w:val="00A51118"/>
    <w:rsid w:val="00A512C6"/>
    <w:rsid w:val="00A51BD6"/>
    <w:rsid w:val="00A520CA"/>
    <w:rsid w:val="00A53D2A"/>
    <w:rsid w:val="00A53F87"/>
    <w:rsid w:val="00A546A5"/>
    <w:rsid w:val="00A54943"/>
    <w:rsid w:val="00A54D37"/>
    <w:rsid w:val="00A54F4C"/>
    <w:rsid w:val="00A55B1E"/>
    <w:rsid w:val="00A56053"/>
    <w:rsid w:val="00A561C5"/>
    <w:rsid w:val="00A56436"/>
    <w:rsid w:val="00A56D34"/>
    <w:rsid w:val="00A57E3D"/>
    <w:rsid w:val="00A600BC"/>
    <w:rsid w:val="00A60D68"/>
    <w:rsid w:val="00A611DE"/>
    <w:rsid w:val="00A61527"/>
    <w:rsid w:val="00A6153D"/>
    <w:rsid w:val="00A61982"/>
    <w:rsid w:val="00A6257D"/>
    <w:rsid w:val="00A627AB"/>
    <w:rsid w:val="00A633F1"/>
    <w:rsid w:val="00A637C0"/>
    <w:rsid w:val="00A6451B"/>
    <w:rsid w:val="00A6461A"/>
    <w:rsid w:val="00A6468F"/>
    <w:rsid w:val="00A64724"/>
    <w:rsid w:val="00A64BC6"/>
    <w:rsid w:val="00A64E69"/>
    <w:rsid w:val="00A65C26"/>
    <w:rsid w:val="00A65DCD"/>
    <w:rsid w:val="00A6625A"/>
    <w:rsid w:val="00A66567"/>
    <w:rsid w:val="00A67114"/>
    <w:rsid w:val="00A707AA"/>
    <w:rsid w:val="00A70CB0"/>
    <w:rsid w:val="00A71319"/>
    <w:rsid w:val="00A71DA9"/>
    <w:rsid w:val="00A72B42"/>
    <w:rsid w:val="00A72E8E"/>
    <w:rsid w:val="00A7354B"/>
    <w:rsid w:val="00A73E16"/>
    <w:rsid w:val="00A74740"/>
    <w:rsid w:val="00A74750"/>
    <w:rsid w:val="00A74D4E"/>
    <w:rsid w:val="00A74DFB"/>
    <w:rsid w:val="00A75EFE"/>
    <w:rsid w:val="00A768CC"/>
    <w:rsid w:val="00A776C6"/>
    <w:rsid w:val="00A81282"/>
    <w:rsid w:val="00A82510"/>
    <w:rsid w:val="00A827AA"/>
    <w:rsid w:val="00A832E1"/>
    <w:rsid w:val="00A8375A"/>
    <w:rsid w:val="00A837CD"/>
    <w:rsid w:val="00A843E6"/>
    <w:rsid w:val="00A8443F"/>
    <w:rsid w:val="00A86AF4"/>
    <w:rsid w:val="00A86BB5"/>
    <w:rsid w:val="00A86EA6"/>
    <w:rsid w:val="00A86F51"/>
    <w:rsid w:val="00A87049"/>
    <w:rsid w:val="00A87661"/>
    <w:rsid w:val="00A90910"/>
    <w:rsid w:val="00A90B61"/>
    <w:rsid w:val="00A911C3"/>
    <w:rsid w:val="00A912D7"/>
    <w:rsid w:val="00A91DD7"/>
    <w:rsid w:val="00A92309"/>
    <w:rsid w:val="00A92B54"/>
    <w:rsid w:val="00A9306A"/>
    <w:rsid w:val="00A95B67"/>
    <w:rsid w:val="00A9614D"/>
    <w:rsid w:val="00A966EF"/>
    <w:rsid w:val="00A96967"/>
    <w:rsid w:val="00A97335"/>
    <w:rsid w:val="00AA2227"/>
    <w:rsid w:val="00AA2898"/>
    <w:rsid w:val="00AA33D2"/>
    <w:rsid w:val="00AA7670"/>
    <w:rsid w:val="00AA7FD1"/>
    <w:rsid w:val="00AB00FB"/>
    <w:rsid w:val="00AB01E5"/>
    <w:rsid w:val="00AB0205"/>
    <w:rsid w:val="00AB2B75"/>
    <w:rsid w:val="00AB481B"/>
    <w:rsid w:val="00AB4FD7"/>
    <w:rsid w:val="00AB5431"/>
    <w:rsid w:val="00AB5BE7"/>
    <w:rsid w:val="00AB69B3"/>
    <w:rsid w:val="00AB6CBA"/>
    <w:rsid w:val="00AB734E"/>
    <w:rsid w:val="00AB7BBD"/>
    <w:rsid w:val="00AC0EFF"/>
    <w:rsid w:val="00AC2E17"/>
    <w:rsid w:val="00AC32EA"/>
    <w:rsid w:val="00AC434D"/>
    <w:rsid w:val="00AC44DD"/>
    <w:rsid w:val="00AC524B"/>
    <w:rsid w:val="00AC52FB"/>
    <w:rsid w:val="00AC555E"/>
    <w:rsid w:val="00AC59D3"/>
    <w:rsid w:val="00AC5FB6"/>
    <w:rsid w:val="00AC672E"/>
    <w:rsid w:val="00AC6A5F"/>
    <w:rsid w:val="00AC7225"/>
    <w:rsid w:val="00AC7BBC"/>
    <w:rsid w:val="00AC7FB6"/>
    <w:rsid w:val="00AD01EC"/>
    <w:rsid w:val="00AD19E1"/>
    <w:rsid w:val="00AD1C90"/>
    <w:rsid w:val="00AD36E0"/>
    <w:rsid w:val="00AD41CA"/>
    <w:rsid w:val="00AD4428"/>
    <w:rsid w:val="00AD5E5D"/>
    <w:rsid w:val="00AD60ED"/>
    <w:rsid w:val="00AD65BC"/>
    <w:rsid w:val="00AD703F"/>
    <w:rsid w:val="00AE0369"/>
    <w:rsid w:val="00AE064D"/>
    <w:rsid w:val="00AE0969"/>
    <w:rsid w:val="00AE0A99"/>
    <w:rsid w:val="00AE11EE"/>
    <w:rsid w:val="00AE3183"/>
    <w:rsid w:val="00AE31D1"/>
    <w:rsid w:val="00AE370F"/>
    <w:rsid w:val="00AE40AD"/>
    <w:rsid w:val="00AE40F2"/>
    <w:rsid w:val="00AE4DD0"/>
    <w:rsid w:val="00AE5374"/>
    <w:rsid w:val="00AE5420"/>
    <w:rsid w:val="00AE595D"/>
    <w:rsid w:val="00AE59AB"/>
    <w:rsid w:val="00AE611C"/>
    <w:rsid w:val="00AE626C"/>
    <w:rsid w:val="00AF0615"/>
    <w:rsid w:val="00AF0DC3"/>
    <w:rsid w:val="00AF188C"/>
    <w:rsid w:val="00AF1B4A"/>
    <w:rsid w:val="00AF1EFA"/>
    <w:rsid w:val="00AF20FC"/>
    <w:rsid w:val="00AF2127"/>
    <w:rsid w:val="00AF21B2"/>
    <w:rsid w:val="00AF2C63"/>
    <w:rsid w:val="00AF4317"/>
    <w:rsid w:val="00AF5005"/>
    <w:rsid w:val="00AF5EDD"/>
    <w:rsid w:val="00AF5F3E"/>
    <w:rsid w:val="00AF7986"/>
    <w:rsid w:val="00B00776"/>
    <w:rsid w:val="00B01232"/>
    <w:rsid w:val="00B02260"/>
    <w:rsid w:val="00B037A6"/>
    <w:rsid w:val="00B052AF"/>
    <w:rsid w:val="00B05450"/>
    <w:rsid w:val="00B06AEA"/>
    <w:rsid w:val="00B072A3"/>
    <w:rsid w:val="00B07813"/>
    <w:rsid w:val="00B115A4"/>
    <w:rsid w:val="00B11ED2"/>
    <w:rsid w:val="00B11FA5"/>
    <w:rsid w:val="00B1249B"/>
    <w:rsid w:val="00B124B4"/>
    <w:rsid w:val="00B13479"/>
    <w:rsid w:val="00B1376E"/>
    <w:rsid w:val="00B142FC"/>
    <w:rsid w:val="00B14CC5"/>
    <w:rsid w:val="00B17A5A"/>
    <w:rsid w:val="00B20329"/>
    <w:rsid w:val="00B206DA"/>
    <w:rsid w:val="00B20F3A"/>
    <w:rsid w:val="00B20FEE"/>
    <w:rsid w:val="00B2164B"/>
    <w:rsid w:val="00B224A1"/>
    <w:rsid w:val="00B22C47"/>
    <w:rsid w:val="00B23078"/>
    <w:rsid w:val="00B23899"/>
    <w:rsid w:val="00B2395C"/>
    <w:rsid w:val="00B24366"/>
    <w:rsid w:val="00B26046"/>
    <w:rsid w:val="00B275AC"/>
    <w:rsid w:val="00B27AE4"/>
    <w:rsid w:val="00B31434"/>
    <w:rsid w:val="00B319BA"/>
    <w:rsid w:val="00B3218E"/>
    <w:rsid w:val="00B3276C"/>
    <w:rsid w:val="00B327FC"/>
    <w:rsid w:val="00B333DF"/>
    <w:rsid w:val="00B33441"/>
    <w:rsid w:val="00B3371F"/>
    <w:rsid w:val="00B33DBD"/>
    <w:rsid w:val="00B33E43"/>
    <w:rsid w:val="00B34D44"/>
    <w:rsid w:val="00B356B8"/>
    <w:rsid w:val="00B37353"/>
    <w:rsid w:val="00B3761F"/>
    <w:rsid w:val="00B4032E"/>
    <w:rsid w:val="00B4059F"/>
    <w:rsid w:val="00B41598"/>
    <w:rsid w:val="00B41E3F"/>
    <w:rsid w:val="00B42E6F"/>
    <w:rsid w:val="00B42F6C"/>
    <w:rsid w:val="00B431BA"/>
    <w:rsid w:val="00B44C14"/>
    <w:rsid w:val="00B44CE1"/>
    <w:rsid w:val="00B44CFC"/>
    <w:rsid w:val="00B44FF9"/>
    <w:rsid w:val="00B45059"/>
    <w:rsid w:val="00B45718"/>
    <w:rsid w:val="00B47334"/>
    <w:rsid w:val="00B475B2"/>
    <w:rsid w:val="00B47FA3"/>
    <w:rsid w:val="00B50020"/>
    <w:rsid w:val="00B502F8"/>
    <w:rsid w:val="00B50A74"/>
    <w:rsid w:val="00B50ACF"/>
    <w:rsid w:val="00B50D25"/>
    <w:rsid w:val="00B511A7"/>
    <w:rsid w:val="00B5129B"/>
    <w:rsid w:val="00B5159C"/>
    <w:rsid w:val="00B519A5"/>
    <w:rsid w:val="00B52DBE"/>
    <w:rsid w:val="00B53DB0"/>
    <w:rsid w:val="00B54710"/>
    <w:rsid w:val="00B55DE8"/>
    <w:rsid w:val="00B56068"/>
    <w:rsid w:val="00B566F5"/>
    <w:rsid w:val="00B61117"/>
    <w:rsid w:val="00B621F1"/>
    <w:rsid w:val="00B62978"/>
    <w:rsid w:val="00B62BC9"/>
    <w:rsid w:val="00B6378F"/>
    <w:rsid w:val="00B64733"/>
    <w:rsid w:val="00B65C5B"/>
    <w:rsid w:val="00B6685B"/>
    <w:rsid w:val="00B6774C"/>
    <w:rsid w:val="00B70747"/>
    <w:rsid w:val="00B7288F"/>
    <w:rsid w:val="00B72D3B"/>
    <w:rsid w:val="00B72F33"/>
    <w:rsid w:val="00B7319C"/>
    <w:rsid w:val="00B73581"/>
    <w:rsid w:val="00B73F69"/>
    <w:rsid w:val="00B7444C"/>
    <w:rsid w:val="00B75770"/>
    <w:rsid w:val="00B76338"/>
    <w:rsid w:val="00B76876"/>
    <w:rsid w:val="00B7710E"/>
    <w:rsid w:val="00B80532"/>
    <w:rsid w:val="00B80F6A"/>
    <w:rsid w:val="00B811B6"/>
    <w:rsid w:val="00B812A7"/>
    <w:rsid w:val="00B812E7"/>
    <w:rsid w:val="00B81EBC"/>
    <w:rsid w:val="00B82C02"/>
    <w:rsid w:val="00B830F9"/>
    <w:rsid w:val="00B841B2"/>
    <w:rsid w:val="00B843D1"/>
    <w:rsid w:val="00B85BF8"/>
    <w:rsid w:val="00B8626F"/>
    <w:rsid w:val="00B86973"/>
    <w:rsid w:val="00B86AAC"/>
    <w:rsid w:val="00B86C63"/>
    <w:rsid w:val="00B87122"/>
    <w:rsid w:val="00B871E1"/>
    <w:rsid w:val="00B873E2"/>
    <w:rsid w:val="00B915C1"/>
    <w:rsid w:val="00B925FA"/>
    <w:rsid w:val="00B92918"/>
    <w:rsid w:val="00B92FEC"/>
    <w:rsid w:val="00B93C14"/>
    <w:rsid w:val="00B94425"/>
    <w:rsid w:val="00B9478E"/>
    <w:rsid w:val="00B94DCF"/>
    <w:rsid w:val="00B95041"/>
    <w:rsid w:val="00B9589A"/>
    <w:rsid w:val="00B962CE"/>
    <w:rsid w:val="00B96735"/>
    <w:rsid w:val="00B975CA"/>
    <w:rsid w:val="00BA0C92"/>
    <w:rsid w:val="00BA1070"/>
    <w:rsid w:val="00BA1F37"/>
    <w:rsid w:val="00BA234B"/>
    <w:rsid w:val="00BA33CD"/>
    <w:rsid w:val="00BA5E74"/>
    <w:rsid w:val="00BA6E3B"/>
    <w:rsid w:val="00BA73AA"/>
    <w:rsid w:val="00BB0F7D"/>
    <w:rsid w:val="00BB1498"/>
    <w:rsid w:val="00BB1518"/>
    <w:rsid w:val="00BB16ED"/>
    <w:rsid w:val="00BB2151"/>
    <w:rsid w:val="00BB34F5"/>
    <w:rsid w:val="00BB4AC2"/>
    <w:rsid w:val="00BB547D"/>
    <w:rsid w:val="00BB5A9F"/>
    <w:rsid w:val="00BB5C99"/>
    <w:rsid w:val="00BB6897"/>
    <w:rsid w:val="00BB6DFB"/>
    <w:rsid w:val="00BB72BE"/>
    <w:rsid w:val="00BC01D4"/>
    <w:rsid w:val="00BC0212"/>
    <w:rsid w:val="00BC0725"/>
    <w:rsid w:val="00BC0D2D"/>
    <w:rsid w:val="00BC1572"/>
    <w:rsid w:val="00BC39D0"/>
    <w:rsid w:val="00BC4E92"/>
    <w:rsid w:val="00BC4EAD"/>
    <w:rsid w:val="00BC59FA"/>
    <w:rsid w:val="00BC6CDF"/>
    <w:rsid w:val="00BC77A7"/>
    <w:rsid w:val="00BD1048"/>
    <w:rsid w:val="00BD1334"/>
    <w:rsid w:val="00BD1536"/>
    <w:rsid w:val="00BD29C8"/>
    <w:rsid w:val="00BD2D35"/>
    <w:rsid w:val="00BD2F93"/>
    <w:rsid w:val="00BD4460"/>
    <w:rsid w:val="00BD53C8"/>
    <w:rsid w:val="00BD5822"/>
    <w:rsid w:val="00BD5A15"/>
    <w:rsid w:val="00BD6E82"/>
    <w:rsid w:val="00BD6ECD"/>
    <w:rsid w:val="00BD7FE6"/>
    <w:rsid w:val="00BE0186"/>
    <w:rsid w:val="00BE0410"/>
    <w:rsid w:val="00BE0D67"/>
    <w:rsid w:val="00BE11B1"/>
    <w:rsid w:val="00BE1D5B"/>
    <w:rsid w:val="00BE2893"/>
    <w:rsid w:val="00BE2AB1"/>
    <w:rsid w:val="00BE39BC"/>
    <w:rsid w:val="00BE3D1A"/>
    <w:rsid w:val="00BE55DB"/>
    <w:rsid w:val="00BE57E9"/>
    <w:rsid w:val="00BE5E4A"/>
    <w:rsid w:val="00BE647A"/>
    <w:rsid w:val="00BE681B"/>
    <w:rsid w:val="00BF014E"/>
    <w:rsid w:val="00BF0380"/>
    <w:rsid w:val="00BF03B5"/>
    <w:rsid w:val="00BF0CAB"/>
    <w:rsid w:val="00BF0E28"/>
    <w:rsid w:val="00BF153A"/>
    <w:rsid w:val="00BF1717"/>
    <w:rsid w:val="00BF262B"/>
    <w:rsid w:val="00BF2D15"/>
    <w:rsid w:val="00BF416E"/>
    <w:rsid w:val="00BF47A7"/>
    <w:rsid w:val="00BF55E9"/>
    <w:rsid w:val="00BF5E44"/>
    <w:rsid w:val="00BF65AA"/>
    <w:rsid w:val="00BF70ED"/>
    <w:rsid w:val="00BF7833"/>
    <w:rsid w:val="00C00A47"/>
    <w:rsid w:val="00C00C50"/>
    <w:rsid w:val="00C0119F"/>
    <w:rsid w:val="00C01695"/>
    <w:rsid w:val="00C03881"/>
    <w:rsid w:val="00C047EB"/>
    <w:rsid w:val="00C055FD"/>
    <w:rsid w:val="00C057B9"/>
    <w:rsid w:val="00C06D3F"/>
    <w:rsid w:val="00C10A41"/>
    <w:rsid w:val="00C10D60"/>
    <w:rsid w:val="00C11ACB"/>
    <w:rsid w:val="00C125C7"/>
    <w:rsid w:val="00C130C7"/>
    <w:rsid w:val="00C142E7"/>
    <w:rsid w:val="00C14445"/>
    <w:rsid w:val="00C14CAC"/>
    <w:rsid w:val="00C14E50"/>
    <w:rsid w:val="00C15189"/>
    <w:rsid w:val="00C16D35"/>
    <w:rsid w:val="00C17134"/>
    <w:rsid w:val="00C20D9F"/>
    <w:rsid w:val="00C21677"/>
    <w:rsid w:val="00C21A5E"/>
    <w:rsid w:val="00C21D78"/>
    <w:rsid w:val="00C21EB0"/>
    <w:rsid w:val="00C22045"/>
    <w:rsid w:val="00C22268"/>
    <w:rsid w:val="00C22287"/>
    <w:rsid w:val="00C22DFF"/>
    <w:rsid w:val="00C23542"/>
    <w:rsid w:val="00C24084"/>
    <w:rsid w:val="00C2773D"/>
    <w:rsid w:val="00C27BDE"/>
    <w:rsid w:val="00C30946"/>
    <w:rsid w:val="00C30ACA"/>
    <w:rsid w:val="00C313E9"/>
    <w:rsid w:val="00C313F5"/>
    <w:rsid w:val="00C317B0"/>
    <w:rsid w:val="00C32360"/>
    <w:rsid w:val="00C332F7"/>
    <w:rsid w:val="00C344AF"/>
    <w:rsid w:val="00C3487A"/>
    <w:rsid w:val="00C3488E"/>
    <w:rsid w:val="00C35235"/>
    <w:rsid w:val="00C35297"/>
    <w:rsid w:val="00C35FDC"/>
    <w:rsid w:val="00C3642A"/>
    <w:rsid w:val="00C3663E"/>
    <w:rsid w:val="00C3681B"/>
    <w:rsid w:val="00C36FAF"/>
    <w:rsid w:val="00C37056"/>
    <w:rsid w:val="00C37F7D"/>
    <w:rsid w:val="00C409F0"/>
    <w:rsid w:val="00C41EC5"/>
    <w:rsid w:val="00C42AFE"/>
    <w:rsid w:val="00C42B99"/>
    <w:rsid w:val="00C42D7D"/>
    <w:rsid w:val="00C43006"/>
    <w:rsid w:val="00C44422"/>
    <w:rsid w:val="00C44E52"/>
    <w:rsid w:val="00C4511E"/>
    <w:rsid w:val="00C45E59"/>
    <w:rsid w:val="00C46297"/>
    <w:rsid w:val="00C4653A"/>
    <w:rsid w:val="00C47280"/>
    <w:rsid w:val="00C5061E"/>
    <w:rsid w:val="00C50874"/>
    <w:rsid w:val="00C50A56"/>
    <w:rsid w:val="00C50F9B"/>
    <w:rsid w:val="00C52512"/>
    <w:rsid w:val="00C52F84"/>
    <w:rsid w:val="00C534A3"/>
    <w:rsid w:val="00C5358F"/>
    <w:rsid w:val="00C54181"/>
    <w:rsid w:val="00C55ABC"/>
    <w:rsid w:val="00C55F7F"/>
    <w:rsid w:val="00C56512"/>
    <w:rsid w:val="00C60730"/>
    <w:rsid w:val="00C60C6C"/>
    <w:rsid w:val="00C615A5"/>
    <w:rsid w:val="00C61910"/>
    <w:rsid w:val="00C62361"/>
    <w:rsid w:val="00C63F45"/>
    <w:rsid w:val="00C642B0"/>
    <w:rsid w:val="00C64DB9"/>
    <w:rsid w:val="00C658A2"/>
    <w:rsid w:val="00C66338"/>
    <w:rsid w:val="00C6664D"/>
    <w:rsid w:val="00C671E2"/>
    <w:rsid w:val="00C67A42"/>
    <w:rsid w:val="00C67F25"/>
    <w:rsid w:val="00C67F5D"/>
    <w:rsid w:val="00C70248"/>
    <w:rsid w:val="00C71067"/>
    <w:rsid w:val="00C71304"/>
    <w:rsid w:val="00C717DF"/>
    <w:rsid w:val="00C726F7"/>
    <w:rsid w:val="00C73649"/>
    <w:rsid w:val="00C7442F"/>
    <w:rsid w:val="00C754BF"/>
    <w:rsid w:val="00C7615C"/>
    <w:rsid w:val="00C762FB"/>
    <w:rsid w:val="00C77C56"/>
    <w:rsid w:val="00C8002A"/>
    <w:rsid w:val="00C80159"/>
    <w:rsid w:val="00C808CB"/>
    <w:rsid w:val="00C816B8"/>
    <w:rsid w:val="00C82754"/>
    <w:rsid w:val="00C82776"/>
    <w:rsid w:val="00C82A0B"/>
    <w:rsid w:val="00C8327D"/>
    <w:rsid w:val="00C8385C"/>
    <w:rsid w:val="00C83ED5"/>
    <w:rsid w:val="00C85C48"/>
    <w:rsid w:val="00C865A8"/>
    <w:rsid w:val="00C86FD8"/>
    <w:rsid w:val="00C87462"/>
    <w:rsid w:val="00C874A2"/>
    <w:rsid w:val="00C9056C"/>
    <w:rsid w:val="00C9214B"/>
    <w:rsid w:val="00C927B1"/>
    <w:rsid w:val="00C9389B"/>
    <w:rsid w:val="00C947E7"/>
    <w:rsid w:val="00C9490A"/>
    <w:rsid w:val="00C956F0"/>
    <w:rsid w:val="00C95783"/>
    <w:rsid w:val="00C96B96"/>
    <w:rsid w:val="00C97AB5"/>
    <w:rsid w:val="00C97F76"/>
    <w:rsid w:val="00CA09DD"/>
    <w:rsid w:val="00CA13BF"/>
    <w:rsid w:val="00CA199C"/>
    <w:rsid w:val="00CA1E4C"/>
    <w:rsid w:val="00CA3E56"/>
    <w:rsid w:val="00CA3ED0"/>
    <w:rsid w:val="00CA4ABD"/>
    <w:rsid w:val="00CA514D"/>
    <w:rsid w:val="00CA582C"/>
    <w:rsid w:val="00CA5A18"/>
    <w:rsid w:val="00CA5E8C"/>
    <w:rsid w:val="00CA6A26"/>
    <w:rsid w:val="00CA7300"/>
    <w:rsid w:val="00CA75AC"/>
    <w:rsid w:val="00CA7C41"/>
    <w:rsid w:val="00CB07C2"/>
    <w:rsid w:val="00CB16F0"/>
    <w:rsid w:val="00CB3727"/>
    <w:rsid w:val="00CB678F"/>
    <w:rsid w:val="00CB7572"/>
    <w:rsid w:val="00CB7584"/>
    <w:rsid w:val="00CB7E1E"/>
    <w:rsid w:val="00CC1667"/>
    <w:rsid w:val="00CC1CDC"/>
    <w:rsid w:val="00CC2A41"/>
    <w:rsid w:val="00CC30CE"/>
    <w:rsid w:val="00CC564F"/>
    <w:rsid w:val="00CC57ED"/>
    <w:rsid w:val="00CC5D6B"/>
    <w:rsid w:val="00CC699E"/>
    <w:rsid w:val="00CC6FD5"/>
    <w:rsid w:val="00CC7FF2"/>
    <w:rsid w:val="00CD06FD"/>
    <w:rsid w:val="00CD0739"/>
    <w:rsid w:val="00CD07B2"/>
    <w:rsid w:val="00CD0E3B"/>
    <w:rsid w:val="00CD0F90"/>
    <w:rsid w:val="00CD15DC"/>
    <w:rsid w:val="00CD2A65"/>
    <w:rsid w:val="00CD2B62"/>
    <w:rsid w:val="00CD3937"/>
    <w:rsid w:val="00CD3F6D"/>
    <w:rsid w:val="00CD40DC"/>
    <w:rsid w:val="00CD4269"/>
    <w:rsid w:val="00CD426A"/>
    <w:rsid w:val="00CD4720"/>
    <w:rsid w:val="00CD4AC7"/>
    <w:rsid w:val="00CD4F80"/>
    <w:rsid w:val="00CD5A1B"/>
    <w:rsid w:val="00CD6211"/>
    <w:rsid w:val="00CD6538"/>
    <w:rsid w:val="00CD7471"/>
    <w:rsid w:val="00CD75C8"/>
    <w:rsid w:val="00CE05FA"/>
    <w:rsid w:val="00CE0D07"/>
    <w:rsid w:val="00CE1243"/>
    <w:rsid w:val="00CE19C1"/>
    <w:rsid w:val="00CE200A"/>
    <w:rsid w:val="00CE2240"/>
    <w:rsid w:val="00CE26AE"/>
    <w:rsid w:val="00CE2ABB"/>
    <w:rsid w:val="00CE3095"/>
    <w:rsid w:val="00CE3BCA"/>
    <w:rsid w:val="00CE3C8D"/>
    <w:rsid w:val="00CE66D6"/>
    <w:rsid w:val="00CE73B0"/>
    <w:rsid w:val="00CE741B"/>
    <w:rsid w:val="00CE74CD"/>
    <w:rsid w:val="00CE7550"/>
    <w:rsid w:val="00CE7ED9"/>
    <w:rsid w:val="00CF048F"/>
    <w:rsid w:val="00CF19F6"/>
    <w:rsid w:val="00CF24C1"/>
    <w:rsid w:val="00CF2860"/>
    <w:rsid w:val="00CF34E7"/>
    <w:rsid w:val="00CF37E8"/>
    <w:rsid w:val="00CF4A8E"/>
    <w:rsid w:val="00CF5735"/>
    <w:rsid w:val="00CF5C29"/>
    <w:rsid w:val="00CF5C50"/>
    <w:rsid w:val="00CF6000"/>
    <w:rsid w:val="00CF76AA"/>
    <w:rsid w:val="00D00FA8"/>
    <w:rsid w:val="00D01679"/>
    <w:rsid w:val="00D017E2"/>
    <w:rsid w:val="00D01BFF"/>
    <w:rsid w:val="00D031B8"/>
    <w:rsid w:val="00D034B3"/>
    <w:rsid w:val="00D0428E"/>
    <w:rsid w:val="00D0451C"/>
    <w:rsid w:val="00D04F8E"/>
    <w:rsid w:val="00D057AF"/>
    <w:rsid w:val="00D05917"/>
    <w:rsid w:val="00D0650A"/>
    <w:rsid w:val="00D0666D"/>
    <w:rsid w:val="00D07838"/>
    <w:rsid w:val="00D07DEC"/>
    <w:rsid w:val="00D07DFC"/>
    <w:rsid w:val="00D10B04"/>
    <w:rsid w:val="00D121A1"/>
    <w:rsid w:val="00D12BE8"/>
    <w:rsid w:val="00D13629"/>
    <w:rsid w:val="00D1456A"/>
    <w:rsid w:val="00D14CFE"/>
    <w:rsid w:val="00D14D11"/>
    <w:rsid w:val="00D14EB0"/>
    <w:rsid w:val="00D15401"/>
    <w:rsid w:val="00D16676"/>
    <w:rsid w:val="00D16681"/>
    <w:rsid w:val="00D169D0"/>
    <w:rsid w:val="00D169E0"/>
    <w:rsid w:val="00D16CEE"/>
    <w:rsid w:val="00D21737"/>
    <w:rsid w:val="00D21B9F"/>
    <w:rsid w:val="00D21F57"/>
    <w:rsid w:val="00D22290"/>
    <w:rsid w:val="00D230B4"/>
    <w:rsid w:val="00D232B5"/>
    <w:rsid w:val="00D27275"/>
    <w:rsid w:val="00D27674"/>
    <w:rsid w:val="00D27AFE"/>
    <w:rsid w:val="00D27BCD"/>
    <w:rsid w:val="00D27C4E"/>
    <w:rsid w:val="00D27FC3"/>
    <w:rsid w:val="00D305B1"/>
    <w:rsid w:val="00D30B35"/>
    <w:rsid w:val="00D3230E"/>
    <w:rsid w:val="00D32ADE"/>
    <w:rsid w:val="00D33F06"/>
    <w:rsid w:val="00D34476"/>
    <w:rsid w:val="00D350EA"/>
    <w:rsid w:val="00D351F2"/>
    <w:rsid w:val="00D35D97"/>
    <w:rsid w:val="00D37D85"/>
    <w:rsid w:val="00D407DE"/>
    <w:rsid w:val="00D40838"/>
    <w:rsid w:val="00D40CF7"/>
    <w:rsid w:val="00D4199B"/>
    <w:rsid w:val="00D41A58"/>
    <w:rsid w:val="00D42C4E"/>
    <w:rsid w:val="00D42FE6"/>
    <w:rsid w:val="00D44C12"/>
    <w:rsid w:val="00D44CFD"/>
    <w:rsid w:val="00D45179"/>
    <w:rsid w:val="00D454B0"/>
    <w:rsid w:val="00D45C88"/>
    <w:rsid w:val="00D45D96"/>
    <w:rsid w:val="00D4632F"/>
    <w:rsid w:val="00D47593"/>
    <w:rsid w:val="00D47DED"/>
    <w:rsid w:val="00D501CD"/>
    <w:rsid w:val="00D50EFA"/>
    <w:rsid w:val="00D51A83"/>
    <w:rsid w:val="00D51B03"/>
    <w:rsid w:val="00D54537"/>
    <w:rsid w:val="00D55296"/>
    <w:rsid w:val="00D557E0"/>
    <w:rsid w:val="00D55F68"/>
    <w:rsid w:val="00D57827"/>
    <w:rsid w:val="00D57963"/>
    <w:rsid w:val="00D57DEA"/>
    <w:rsid w:val="00D61AA9"/>
    <w:rsid w:val="00D61BEB"/>
    <w:rsid w:val="00D6203C"/>
    <w:rsid w:val="00D6206B"/>
    <w:rsid w:val="00D62CCE"/>
    <w:rsid w:val="00D6479D"/>
    <w:rsid w:val="00D65420"/>
    <w:rsid w:val="00D658CC"/>
    <w:rsid w:val="00D6638F"/>
    <w:rsid w:val="00D66AB8"/>
    <w:rsid w:val="00D66B35"/>
    <w:rsid w:val="00D6717B"/>
    <w:rsid w:val="00D67262"/>
    <w:rsid w:val="00D67657"/>
    <w:rsid w:val="00D7024F"/>
    <w:rsid w:val="00D70A22"/>
    <w:rsid w:val="00D70F10"/>
    <w:rsid w:val="00D72F3B"/>
    <w:rsid w:val="00D73345"/>
    <w:rsid w:val="00D7439E"/>
    <w:rsid w:val="00D77304"/>
    <w:rsid w:val="00D7758B"/>
    <w:rsid w:val="00D77952"/>
    <w:rsid w:val="00D779FA"/>
    <w:rsid w:val="00D77E75"/>
    <w:rsid w:val="00D803D6"/>
    <w:rsid w:val="00D80C34"/>
    <w:rsid w:val="00D8124A"/>
    <w:rsid w:val="00D81F1F"/>
    <w:rsid w:val="00D8257B"/>
    <w:rsid w:val="00D82CAB"/>
    <w:rsid w:val="00D84743"/>
    <w:rsid w:val="00D8532F"/>
    <w:rsid w:val="00D8552B"/>
    <w:rsid w:val="00D85A99"/>
    <w:rsid w:val="00D8688B"/>
    <w:rsid w:val="00D87822"/>
    <w:rsid w:val="00D904CE"/>
    <w:rsid w:val="00D90554"/>
    <w:rsid w:val="00D90B42"/>
    <w:rsid w:val="00D92360"/>
    <w:rsid w:val="00D92708"/>
    <w:rsid w:val="00D929F7"/>
    <w:rsid w:val="00D93EE3"/>
    <w:rsid w:val="00D94F34"/>
    <w:rsid w:val="00DA1308"/>
    <w:rsid w:val="00DA1317"/>
    <w:rsid w:val="00DA1869"/>
    <w:rsid w:val="00DA24EB"/>
    <w:rsid w:val="00DA33D4"/>
    <w:rsid w:val="00DA35DA"/>
    <w:rsid w:val="00DA36BB"/>
    <w:rsid w:val="00DA386B"/>
    <w:rsid w:val="00DA3B36"/>
    <w:rsid w:val="00DA5431"/>
    <w:rsid w:val="00DA58D7"/>
    <w:rsid w:val="00DA67ED"/>
    <w:rsid w:val="00DA71FC"/>
    <w:rsid w:val="00DB14AD"/>
    <w:rsid w:val="00DB1957"/>
    <w:rsid w:val="00DB2201"/>
    <w:rsid w:val="00DB39C1"/>
    <w:rsid w:val="00DB4C01"/>
    <w:rsid w:val="00DB4DA6"/>
    <w:rsid w:val="00DB5424"/>
    <w:rsid w:val="00DB552B"/>
    <w:rsid w:val="00DB5B12"/>
    <w:rsid w:val="00DB66C7"/>
    <w:rsid w:val="00DB69E8"/>
    <w:rsid w:val="00DB721A"/>
    <w:rsid w:val="00DB7444"/>
    <w:rsid w:val="00DB7467"/>
    <w:rsid w:val="00DC043D"/>
    <w:rsid w:val="00DC1A4F"/>
    <w:rsid w:val="00DC1C90"/>
    <w:rsid w:val="00DC2005"/>
    <w:rsid w:val="00DC3D89"/>
    <w:rsid w:val="00DC58D2"/>
    <w:rsid w:val="00DC5F06"/>
    <w:rsid w:val="00DC70C2"/>
    <w:rsid w:val="00DC7611"/>
    <w:rsid w:val="00DC7E04"/>
    <w:rsid w:val="00DD04AA"/>
    <w:rsid w:val="00DD16AF"/>
    <w:rsid w:val="00DD1900"/>
    <w:rsid w:val="00DD3C2E"/>
    <w:rsid w:val="00DD544E"/>
    <w:rsid w:val="00DD6390"/>
    <w:rsid w:val="00DD662A"/>
    <w:rsid w:val="00DD67A8"/>
    <w:rsid w:val="00DD6A6C"/>
    <w:rsid w:val="00DD6E01"/>
    <w:rsid w:val="00DD7324"/>
    <w:rsid w:val="00DD774D"/>
    <w:rsid w:val="00DD7B34"/>
    <w:rsid w:val="00DD7E69"/>
    <w:rsid w:val="00DE0226"/>
    <w:rsid w:val="00DE0349"/>
    <w:rsid w:val="00DE1286"/>
    <w:rsid w:val="00DE138E"/>
    <w:rsid w:val="00DE44F0"/>
    <w:rsid w:val="00DE5A4A"/>
    <w:rsid w:val="00DE5CCA"/>
    <w:rsid w:val="00DE6F28"/>
    <w:rsid w:val="00DE7FA5"/>
    <w:rsid w:val="00DF0666"/>
    <w:rsid w:val="00DF12A2"/>
    <w:rsid w:val="00DF2606"/>
    <w:rsid w:val="00DF2F98"/>
    <w:rsid w:val="00DF3676"/>
    <w:rsid w:val="00DF6A25"/>
    <w:rsid w:val="00E00106"/>
    <w:rsid w:val="00E0021C"/>
    <w:rsid w:val="00E00A91"/>
    <w:rsid w:val="00E01327"/>
    <w:rsid w:val="00E01938"/>
    <w:rsid w:val="00E01CBF"/>
    <w:rsid w:val="00E030DF"/>
    <w:rsid w:val="00E040D5"/>
    <w:rsid w:val="00E04517"/>
    <w:rsid w:val="00E06100"/>
    <w:rsid w:val="00E06E76"/>
    <w:rsid w:val="00E06F12"/>
    <w:rsid w:val="00E07026"/>
    <w:rsid w:val="00E07F36"/>
    <w:rsid w:val="00E108B2"/>
    <w:rsid w:val="00E110F1"/>
    <w:rsid w:val="00E11587"/>
    <w:rsid w:val="00E11FEB"/>
    <w:rsid w:val="00E124CB"/>
    <w:rsid w:val="00E130A8"/>
    <w:rsid w:val="00E13A0B"/>
    <w:rsid w:val="00E13E82"/>
    <w:rsid w:val="00E14D91"/>
    <w:rsid w:val="00E1556C"/>
    <w:rsid w:val="00E164B7"/>
    <w:rsid w:val="00E16662"/>
    <w:rsid w:val="00E16C5E"/>
    <w:rsid w:val="00E173CF"/>
    <w:rsid w:val="00E17C4D"/>
    <w:rsid w:val="00E20380"/>
    <w:rsid w:val="00E21267"/>
    <w:rsid w:val="00E217E4"/>
    <w:rsid w:val="00E22697"/>
    <w:rsid w:val="00E22A8D"/>
    <w:rsid w:val="00E230B0"/>
    <w:rsid w:val="00E2382E"/>
    <w:rsid w:val="00E24121"/>
    <w:rsid w:val="00E2466B"/>
    <w:rsid w:val="00E24B99"/>
    <w:rsid w:val="00E24FB3"/>
    <w:rsid w:val="00E2601E"/>
    <w:rsid w:val="00E269DF"/>
    <w:rsid w:val="00E273B9"/>
    <w:rsid w:val="00E2765D"/>
    <w:rsid w:val="00E27C42"/>
    <w:rsid w:val="00E30036"/>
    <w:rsid w:val="00E31625"/>
    <w:rsid w:val="00E32795"/>
    <w:rsid w:val="00E328B3"/>
    <w:rsid w:val="00E329EE"/>
    <w:rsid w:val="00E32DD0"/>
    <w:rsid w:val="00E33143"/>
    <w:rsid w:val="00E33B34"/>
    <w:rsid w:val="00E34715"/>
    <w:rsid w:val="00E34F6E"/>
    <w:rsid w:val="00E3629C"/>
    <w:rsid w:val="00E368E3"/>
    <w:rsid w:val="00E36FC7"/>
    <w:rsid w:val="00E373C0"/>
    <w:rsid w:val="00E374F3"/>
    <w:rsid w:val="00E4101D"/>
    <w:rsid w:val="00E4271C"/>
    <w:rsid w:val="00E430A4"/>
    <w:rsid w:val="00E43D17"/>
    <w:rsid w:val="00E446FE"/>
    <w:rsid w:val="00E44D78"/>
    <w:rsid w:val="00E44E1A"/>
    <w:rsid w:val="00E44ED5"/>
    <w:rsid w:val="00E4533C"/>
    <w:rsid w:val="00E45DC5"/>
    <w:rsid w:val="00E46B90"/>
    <w:rsid w:val="00E46F59"/>
    <w:rsid w:val="00E471FF"/>
    <w:rsid w:val="00E47356"/>
    <w:rsid w:val="00E473B0"/>
    <w:rsid w:val="00E51F6A"/>
    <w:rsid w:val="00E52E40"/>
    <w:rsid w:val="00E534EB"/>
    <w:rsid w:val="00E53507"/>
    <w:rsid w:val="00E5387F"/>
    <w:rsid w:val="00E53B58"/>
    <w:rsid w:val="00E54F01"/>
    <w:rsid w:val="00E550F5"/>
    <w:rsid w:val="00E554F8"/>
    <w:rsid w:val="00E55880"/>
    <w:rsid w:val="00E55B01"/>
    <w:rsid w:val="00E561D4"/>
    <w:rsid w:val="00E56932"/>
    <w:rsid w:val="00E5785A"/>
    <w:rsid w:val="00E57AE6"/>
    <w:rsid w:val="00E6078A"/>
    <w:rsid w:val="00E60A2F"/>
    <w:rsid w:val="00E610C5"/>
    <w:rsid w:val="00E6173F"/>
    <w:rsid w:val="00E62B82"/>
    <w:rsid w:val="00E64015"/>
    <w:rsid w:val="00E65C51"/>
    <w:rsid w:val="00E65DBC"/>
    <w:rsid w:val="00E664AC"/>
    <w:rsid w:val="00E665A5"/>
    <w:rsid w:val="00E672FE"/>
    <w:rsid w:val="00E6735D"/>
    <w:rsid w:val="00E675B7"/>
    <w:rsid w:val="00E704C7"/>
    <w:rsid w:val="00E7123A"/>
    <w:rsid w:val="00E7189C"/>
    <w:rsid w:val="00E72DDA"/>
    <w:rsid w:val="00E733E7"/>
    <w:rsid w:val="00E73C3B"/>
    <w:rsid w:val="00E74429"/>
    <w:rsid w:val="00E748D6"/>
    <w:rsid w:val="00E7496F"/>
    <w:rsid w:val="00E74E19"/>
    <w:rsid w:val="00E75A77"/>
    <w:rsid w:val="00E75D37"/>
    <w:rsid w:val="00E80C4A"/>
    <w:rsid w:val="00E81179"/>
    <w:rsid w:val="00E81E54"/>
    <w:rsid w:val="00E82AC7"/>
    <w:rsid w:val="00E8309C"/>
    <w:rsid w:val="00E83526"/>
    <w:rsid w:val="00E835E3"/>
    <w:rsid w:val="00E8370B"/>
    <w:rsid w:val="00E83AAD"/>
    <w:rsid w:val="00E84E37"/>
    <w:rsid w:val="00E84EAB"/>
    <w:rsid w:val="00E84EDE"/>
    <w:rsid w:val="00E84F42"/>
    <w:rsid w:val="00E85793"/>
    <w:rsid w:val="00E85C79"/>
    <w:rsid w:val="00E91C1A"/>
    <w:rsid w:val="00E92112"/>
    <w:rsid w:val="00E922CC"/>
    <w:rsid w:val="00E92371"/>
    <w:rsid w:val="00E924CB"/>
    <w:rsid w:val="00E9279B"/>
    <w:rsid w:val="00E949BF"/>
    <w:rsid w:val="00E95D5F"/>
    <w:rsid w:val="00E96570"/>
    <w:rsid w:val="00E96E85"/>
    <w:rsid w:val="00E96FA7"/>
    <w:rsid w:val="00E97459"/>
    <w:rsid w:val="00E97667"/>
    <w:rsid w:val="00E97828"/>
    <w:rsid w:val="00EA05C2"/>
    <w:rsid w:val="00EA139A"/>
    <w:rsid w:val="00EA2913"/>
    <w:rsid w:val="00EA2E45"/>
    <w:rsid w:val="00EA36C2"/>
    <w:rsid w:val="00EA3FA5"/>
    <w:rsid w:val="00EA3FD8"/>
    <w:rsid w:val="00EA51F9"/>
    <w:rsid w:val="00EA56A6"/>
    <w:rsid w:val="00EA62A9"/>
    <w:rsid w:val="00EA7212"/>
    <w:rsid w:val="00EB0A69"/>
    <w:rsid w:val="00EB0E37"/>
    <w:rsid w:val="00EB1764"/>
    <w:rsid w:val="00EB1FA5"/>
    <w:rsid w:val="00EB2210"/>
    <w:rsid w:val="00EB233A"/>
    <w:rsid w:val="00EB2388"/>
    <w:rsid w:val="00EB2BA8"/>
    <w:rsid w:val="00EB2F19"/>
    <w:rsid w:val="00EB466B"/>
    <w:rsid w:val="00EB5287"/>
    <w:rsid w:val="00EB5510"/>
    <w:rsid w:val="00EB5A83"/>
    <w:rsid w:val="00EB6203"/>
    <w:rsid w:val="00EB7012"/>
    <w:rsid w:val="00EB7374"/>
    <w:rsid w:val="00EB7494"/>
    <w:rsid w:val="00EC15F2"/>
    <w:rsid w:val="00EC2039"/>
    <w:rsid w:val="00EC2055"/>
    <w:rsid w:val="00EC30B9"/>
    <w:rsid w:val="00EC50F0"/>
    <w:rsid w:val="00EC640D"/>
    <w:rsid w:val="00EC696A"/>
    <w:rsid w:val="00EC6988"/>
    <w:rsid w:val="00ED0C31"/>
    <w:rsid w:val="00ED0C34"/>
    <w:rsid w:val="00ED1760"/>
    <w:rsid w:val="00ED1E51"/>
    <w:rsid w:val="00ED3A8B"/>
    <w:rsid w:val="00ED3AB1"/>
    <w:rsid w:val="00ED3CEE"/>
    <w:rsid w:val="00ED42F2"/>
    <w:rsid w:val="00ED4E8C"/>
    <w:rsid w:val="00ED55F6"/>
    <w:rsid w:val="00ED592C"/>
    <w:rsid w:val="00ED689B"/>
    <w:rsid w:val="00ED6BD2"/>
    <w:rsid w:val="00ED7160"/>
    <w:rsid w:val="00ED7528"/>
    <w:rsid w:val="00ED767C"/>
    <w:rsid w:val="00EE208B"/>
    <w:rsid w:val="00EE2398"/>
    <w:rsid w:val="00EE239E"/>
    <w:rsid w:val="00EE3EDF"/>
    <w:rsid w:val="00EE4244"/>
    <w:rsid w:val="00EE4521"/>
    <w:rsid w:val="00EE512F"/>
    <w:rsid w:val="00EE5EE6"/>
    <w:rsid w:val="00EE68B8"/>
    <w:rsid w:val="00EF0A40"/>
    <w:rsid w:val="00EF0A81"/>
    <w:rsid w:val="00EF117A"/>
    <w:rsid w:val="00EF2958"/>
    <w:rsid w:val="00EF2FB8"/>
    <w:rsid w:val="00EF4E75"/>
    <w:rsid w:val="00EF540F"/>
    <w:rsid w:val="00EF5DFC"/>
    <w:rsid w:val="00EF5F23"/>
    <w:rsid w:val="00EF6D6D"/>
    <w:rsid w:val="00EF6EFE"/>
    <w:rsid w:val="00EF7157"/>
    <w:rsid w:val="00EF7269"/>
    <w:rsid w:val="00F00565"/>
    <w:rsid w:val="00F00611"/>
    <w:rsid w:val="00F00DA7"/>
    <w:rsid w:val="00F013D3"/>
    <w:rsid w:val="00F016F1"/>
    <w:rsid w:val="00F0257D"/>
    <w:rsid w:val="00F02BF7"/>
    <w:rsid w:val="00F037B9"/>
    <w:rsid w:val="00F0397A"/>
    <w:rsid w:val="00F045A7"/>
    <w:rsid w:val="00F047C0"/>
    <w:rsid w:val="00F050DF"/>
    <w:rsid w:val="00F054FC"/>
    <w:rsid w:val="00F0604D"/>
    <w:rsid w:val="00F06104"/>
    <w:rsid w:val="00F069FD"/>
    <w:rsid w:val="00F102EC"/>
    <w:rsid w:val="00F104EB"/>
    <w:rsid w:val="00F1112F"/>
    <w:rsid w:val="00F11469"/>
    <w:rsid w:val="00F11625"/>
    <w:rsid w:val="00F11B65"/>
    <w:rsid w:val="00F12628"/>
    <w:rsid w:val="00F1280B"/>
    <w:rsid w:val="00F12843"/>
    <w:rsid w:val="00F129C1"/>
    <w:rsid w:val="00F13486"/>
    <w:rsid w:val="00F138DB"/>
    <w:rsid w:val="00F13EA4"/>
    <w:rsid w:val="00F13F92"/>
    <w:rsid w:val="00F1469F"/>
    <w:rsid w:val="00F1495F"/>
    <w:rsid w:val="00F149CB"/>
    <w:rsid w:val="00F14C3A"/>
    <w:rsid w:val="00F14F51"/>
    <w:rsid w:val="00F16F88"/>
    <w:rsid w:val="00F17573"/>
    <w:rsid w:val="00F17918"/>
    <w:rsid w:val="00F21009"/>
    <w:rsid w:val="00F21809"/>
    <w:rsid w:val="00F223D9"/>
    <w:rsid w:val="00F22545"/>
    <w:rsid w:val="00F2397C"/>
    <w:rsid w:val="00F23CF8"/>
    <w:rsid w:val="00F245BC"/>
    <w:rsid w:val="00F24F60"/>
    <w:rsid w:val="00F258F2"/>
    <w:rsid w:val="00F25C02"/>
    <w:rsid w:val="00F262E2"/>
    <w:rsid w:val="00F262E5"/>
    <w:rsid w:val="00F2646B"/>
    <w:rsid w:val="00F2683E"/>
    <w:rsid w:val="00F26B39"/>
    <w:rsid w:val="00F26F2E"/>
    <w:rsid w:val="00F27399"/>
    <w:rsid w:val="00F30154"/>
    <w:rsid w:val="00F3054E"/>
    <w:rsid w:val="00F30ECD"/>
    <w:rsid w:val="00F32367"/>
    <w:rsid w:val="00F3287A"/>
    <w:rsid w:val="00F32980"/>
    <w:rsid w:val="00F32CE3"/>
    <w:rsid w:val="00F33D21"/>
    <w:rsid w:val="00F34982"/>
    <w:rsid w:val="00F34A5E"/>
    <w:rsid w:val="00F34D5D"/>
    <w:rsid w:val="00F35AD4"/>
    <w:rsid w:val="00F35C52"/>
    <w:rsid w:val="00F35D13"/>
    <w:rsid w:val="00F35DEE"/>
    <w:rsid w:val="00F35F78"/>
    <w:rsid w:val="00F36084"/>
    <w:rsid w:val="00F36392"/>
    <w:rsid w:val="00F363D1"/>
    <w:rsid w:val="00F36D49"/>
    <w:rsid w:val="00F36D66"/>
    <w:rsid w:val="00F41514"/>
    <w:rsid w:val="00F4166E"/>
    <w:rsid w:val="00F41A5C"/>
    <w:rsid w:val="00F42B0B"/>
    <w:rsid w:val="00F42FEA"/>
    <w:rsid w:val="00F437A7"/>
    <w:rsid w:val="00F447B5"/>
    <w:rsid w:val="00F448A8"/>
    <w:rsid w:val="00F44DE2"/>
    <w:rsid w:val="00F456B4"/>
    <w:rsid w:val="00F45CF7"/>
    <w:rsid w:val="00F46607"/>
    <w:rsid w:val="00F468FC"/>
    <w:rsid w:val="00F469FD"/>
    <w:rsid w:val="00F4780E"/>
    <w:rsid w:val="00F4783C"/>
    <w:rsid w:val="00F47A26"/>
    <w:rsid w:val="00F47F01"/>
    <w:rsid w:val="00F5074C"/>
    <w:rsid w:val="00F5096C"/>
    <w:rsid w:val="00F50B78"/>
    <w:rsid w:val="00F50FA0"/>
    <w:rsid w:val="00F512F6"/>
    <w:rsid w:val="00F51384"/>
    <w:rsid w:val="00F5167A"/>
    <w:rsid w:val="00F51CEE"/>
    <w:rsid w:val="00F51F3D"/>
    <w:rsid w:val="00F5252A"/>
    <w:rsid w:val="00F529EF"/>
    <w:rsid w:val="00F52A6F"/>
    <w:rsid w:val="00F52BF8"/>
    <w:rsid w:val="00F52DDD"/>
    <w:rsid w:val="00F53CB9"/>
    <w:rsid w:val="00F54198"/>
    <w:rsid w:val="00F5633A"/>
    <w:rsid w:val="00F570E4"/>
    <w:rsid w:val="00F578BF"/>
    <w:rsid w:val="00F57E96"/>
    <w:rsid w:val="00F604F5"/>
    <w:rsid w:val="00F61330"/>
    <w:rsid w:val="00F61859"/>
    <w:rsid w:val="00F619CE"/>
    <w:rsid w:val="00F6224E"/>
    <w:rsid w:val="00F62355"/>
    <w:rsid w:val="00F62B7D"/>
    <w:rsid w:val="00F64080"/>
    <w:rsid w:val="00F6518B"/>
    <w:rsid w:val="00F653A2"/>
    <w:rsid w:val="00F65776"/>
    <w:rsid w:val="00F66716"/>
    <w:rsid w:val="00F66E85"/>
    <w:rsid w:val="00F670DA"/>
    <w:rsid w:val="00F678F1"/>
    <w:rsid w:val="00F700C7"/>
    <w:rsid w:val="00F7195F"/>
    <w:rsid w:val="00F71A3A"/>
    <w:rsid w:val="00F731E1"/>
    <w:rsid w:val="00F732D2"/>
    <w:rsid w:val="00F73621"/>
    <w:rsid w:val="00F7491C"/>
    <w:rsid w:val="00F74941"/>
    <w:rsid w:val="00F74B6B"/>
    <w:rsid w:val="00F7516F"/>
    <w:rsid w:val="00F754FC"/>
    <w:rsid w:val="00F75BB1"/>
    <w:rsid w:val="00F763F7"/>
    <w:rsid w:val="00F771DA"/>
    <w:rsid w:val="00F801F2"/>
    <w:rsid w:val="00F803F6"/>
    <w:rsid w:val="00F811DD"/>
    <w:rsid w:val="00F814DB"/>
    <w:rsid w:val="00F829F6"/>
    <w:rsid w:val="00F84B7C"/>
    <w:rsid w:val="00F86B17"/>
    <w:rsid w:val="00F8783D"/>
    <w:rsid w:val="00F878A2"/>
    <w:rsid w:val="00F90D36"/>
    <w:rsid w:val="00F9518D"/>
    <w:rsid w:val="00F958D3"/>
    <w:rsid w:val="00F972C2"/>
    <w:rsid w:val="00F97B6E"/>
    <w:rsid w:val="00F97CB3"/>
    <w:rsid w:val="00FA0414"/>
    <w:rsid w:val="00FA070A"/>
    <w:rsid w:val="00FA0D9A"/>
    <w:rsid w:val="00FA122D"/>
    <w:rsid w:val="00FA154C"/>
    <w:rsid w:val="00FA1A74"/>
    <w:rsid w:val="00FA48FC"/>
    <w:rsid w:val="00FA4C11"/>
    <w:rsid w:val="00FA4D99"/>
    <w:rsid w:val="00FA66BD"/>
    <w:rsid w:val="00FA6989"/>
    <w:rsid w:val="00FA6C53"/>
    <w:rsid w:val="00FA6EB9"/>
    <w:rsid w:val="00FA7339"/>
    <w:rsid w:val="00FA7E61"/>
    <w:rsid w:val="00FB0495"/>
    <w:rsid w:val="00FB08FD"/>
    <w:rsid w:val="00FB0DB8"/>
    <w:rsid w:val="00FB17FF"/>
    <w:rsid w:val="00FB2404"/>
    <w:rsid w:val="00FB38D9"/>
    <w:rsid w:val="00FB4B9A"/>
    <w:rsid w:val="00FB5129"/>
    <w:rsid w:val="00FB51D3"/>
    <w:rsid w:val="00FB64CF"/>
    <w:rsid w:val="00FB6A8A"/>
    <w:rsid w:val="00FC0A83"/>
    <w:rsid w:val="00FC1B20"/>
    <w:rsid w:val="00FC2B77"/>
    <w:rsid w:val="00FC2B98"/>
    <w:rsid w:val="00FC3BA0"/>
    <w:rsid w:val="00FC4726"/>
    <w:rsid w:val="00FC510A"/>
    <w:rsid w:val="00FC53D3"/>
    <w:rsid w:val="00FC555E"/>
    <w:rsid w:val="00FC5665"/>
    <w:rsid w:val="00FC6A80"/>
    <w:rsid w:val="00FC6CAB"/>
    <w:rsid w:val="00FC77C1"/>
    <w:rsid w:val="00FD13D3"/>
    <w:rsid w:val="00FD3678"/>
    <w:rsid w:val="00FD5EDB"/>
    <w:rsid w:val="00FD64C7"/>
    <w:rsid w:val="00FD660E"/>
    <w:rsid w:val="00FD66D3"/>
    <w:rsid w:val="00FD6D8B"/>
    <w:rsid w:val="00FD74AD"/>
    <w:rsid w:val="00FE0731"/>
    <w:rsid w:val="00FE078B"/>
    <w:rsid w:val="00FE136D"/>
    <w:rsid w:val="00FE15D3"/>
    <w:rsid w:val="00FE1CD5"/>
    <w:rsid w:val="00FE1D00"/>
    <w:rsid w:val="00FE1EAB"/>
    <w:rsid w:val="00FE2821"/>
    <w:rsid w:val="00FE29B3"/>
    <w:rsid w:val="00FE2E87"/>
    <w:rsid w:val="00FE2F0B"/>
    <w:rsid w:val="00FE33A8"/>
    <w:rsid w:val="00FE3C91"/>
    <w:rsid w:val="00FE44E8"/>
    <w:rsid w:val="00FE54CB"/>
    <w:rsid w:val="00FE551C"/>
    <w:rsid w:val="00FE6BF8"/>
    <w:rsid w:val="00FE7F09"/>
    <w:rsid w:val="00FF014E"/>
    <w:rsid w:val="00FF07C2"/>
    <w:rsid w:val="00FF07CD"/>
    <w:rsid w:val="00FF0C09"/>
    <w:rsid w:val="00FF0E83"/>
    <w:rsid w:val="00FF204D"/>
    <w:rsid w:val="00FF26D9"/>
    <w:rsid w:val="00FF2CD4"/>
    <w:rsid w:val="00FF3451"/>
    <w:rsid w:val="00FF62C0"/>
    <w:rsid w:val="00FF633F"/>
    <w:rsid w:val="00FF6645"/>
    <w:rsid w:val="00FF672D"/>
    <w:rsid w:val="00FF6BB2"/>
    <w:rsid w:val="00FF6D65"/>
    <w:rsid w:val="00FF78F6"/>
    <w:rsid w:val="00FF7DD4"/>
    <w:rsid w:val="00FF7F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BEE31F5-48D6-455F-9934-384A4906C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240" w:line="480" w:lineRule="auto"/>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1465"/>
  </w:style>
  <w:style w:type="paragraph" w:styleId="Heading1">
    <w:name w:val="heading 1"/>
    <w:basedOn w:val="Normal"/>
    <w:next w:val="Normal"/>
    <w:link w:val="Heading1Char"/>
    <w:uiPriority w:val="9"/>
    <w:qFormat/>
    <w:rsid w:val="00986043"/>
    <w:pPr>
      <w:spacing w:before="600" w:after="0" w:line="360" w:lineRule="auto"/>
      <w:ind w:firstLine="0"/>
      <w:outlineLvl w:val="0"/>
    </w:pPr>
    <w:rPr>
      <w:rFonts w:asciiTheme="majorHAnsi" w:eastAsiaTheme="majorEastAsia" w:hAnsiTheme="majorHAnsi" w:cstheme="majorBidi"/>
      <w:b/>
      <w:bCs/>
      <w:i/>
      <w:iCs/>
      <w:sz w:val="32"/>
      <w:szCs w:val="32"/>
    </w:rPr>
  </w:style>
  <w:style w:type="paragraph" w:styleId="Heading2">
    <w:name w:val="heading 2"/>
    <w:basedOn w:val="Normal"/>
    <w:next w:val="Normal"/>
    <w:link w:val="Heading2Char"/>
    <w:uiPriority w:val="9"/>
    <w:unhideWhenUsed/>
    <w:qFormat/>
    <w:rsid w:val="00986043"/>
    <w:pPr>
      <w:spacing w:before="320" w:after="0" w:line="360" w:lineRule="auto"/>
      <w:ind w:firstLine="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986043"/>
    <w:pPr>
      <w:spacing w:before="320" w:after="0" w:line="360" w:lineRule="auto"/>
      <w:ind w:firstLine="0"/>
      <w:outlineLvl w:val="2"/>
    </w:pPr>
    <w:rPr>
      <w:rFonts w:asciiTheme="majorHAnsi" w:eastAsiaTheme="majorEastAsia" w:hAnsiTheme="majorHAnsi" w:cstheme="majorBidi"/>
      <w:b/>
      <w:bCs/>
      <w:i/>
      <w:iCs/>
      <w:sz w:val="26"/>
      <w:szCs w:val="26"/>
    </w:rPr>
  </w:style>
  <w:style w:type="paragraph" w:styleId="Heading4">
    <w:name w:val="heading 4"/>
    <w:basedOn w:val="Normal"/>
    <w:next w:val="Normal"/>
    <w:link w:val="Heading4Char"/>
    <w:uiPriority w:val="9"/>
    <w:unhideWhenUsed/>
    <w:qFormat/>
    <w:rsid w:val="00986043"/>
    <w:pPr>
      <w:spacing w:before="280" w:after="0" w:line="360" w:lineRule="auto"/>
      <w:ind w:firstLine="0"/>
      <w:outlineLvl w:val="3"/>
    </w:pPr>
    <w:rPr>
      <w:rFonts w:asciiTheme="majorHAnsi" w:eastAsiaTheme="majorEastAsia" w:hAnsiTheme="majorHAnsi" w:cstheme="majorBidi"/>
      <w:b/>
      <w:bCs/>
      <w:i/>
      <w:iCs/>
      <w:sz w:val="24"/>
      <w:szCs w:val="24"/>
    </w:rPr>
  </w:style>
  <w:style w:type="paragraph" w:styleId="Heading5">
    <w:name w:val="heading 5"/>
    <w:basedOn w:val="Normal"/>
    <w:next w:val="Normal"/>
    <w:link w:val="Heading5Char"/>
    <w:uiPriority w:val="9"/>
    <w:semiHidden/>
    <w:unhideWhenUsed/>
    <w:qFormat/>
    <w:rsid w:val="00986043"/>
    <w:pPr>
      <w:spacing w:before="280" w:after="0" w:line="360" w:lineRule="auto"/>
      <w:ind w:firstLine="0"/>
      <w:outlineLvl w:val="4"/>
    </w:pPr>
    <w:rPr>
      <w:rFonts w:asciiTheme="majorHAnsi" w:eastAsiaTheme="majorEastAsia" w:hAnsiTheme="majorHAnsi" w:cstheme="majorBidi"/>
      <w:b/>
      <w:bCs/>
      <w:i/>
      <w:iCs/>
    </w:rPr>
  </w:style>
  <w:style w:type="paragraph" w:styleId="Heading6">
    <w:name w:val="heading 6"/>
    <w:basedOn w:val="Normal"/>
    <w:next w:val="Normal"/>
    <w:link w:val="Heading6Char"/>
    <w:uiPriority w:val="9"/>
    <w:semiHidden/>
    <w:unhideWhenUsed/>
    <w:qFormat/>
    <w:rsid w:val="00986043"/>
    <w:pPr>
      <w:spacing w:before="280" w:after="80" w:line="360" w:lineRule="auto"/>
      <w:ind w:firstLine="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986043"/>
    <w:pPr>
      <w:spacing w:before="280" w:after="0" w:line="360" w:lineRule="auto"/>
      <w:ind w:firstLine="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iPriority w:val="9"/>
    <w:semiHidden/>
    <w:unhideWhenUsed/>
    <w:qFormat/>
    <w:rsid w:val="00986043"/>
    <w:pPr>
      <w:spacing w:before="280" w:after="0" w:line="360" w:lineRule="auto"/>
      <w:ind w:firstLine="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iPriority w:val="9"/>
    <w:semiHidden/>
    <w:unhideWhenUsed/>
    <w:qFormat/>
    <w:rsid w:val="00986043"/>
    <w:pPr>
      <w:spacing w:before="280" w:after="0" w:line="360" w:lineRule="auto"/>
      <w:ind w:firstLine="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uiPriority w:val="10"/>
    <w:qFormat/>
    <w:rsid w:val="00986043"/>
    <w:pPr>
      <w:spacing w:line="240" w:lineRule="auto"/>
      <w:ind w:firstLine="0"/>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986043"/>
    <w:rPr>
      <w:rFonts w:asciiTheme="majorHAnsi" w:eastAsiaTheme="majorEastAsia" w:hAnsiTheme="majorHAnsi" w:cstheme="majorBidi"/>
      <w:b/>
      <w:bCs/>
      <w:i/>
      <w:iCs/>
      <w:spacing w:val="10"/>
      <w:sz w:val="60"/>
      <w:szCs w:val="60"/>
    </w:rPr>
  </w:style>
  <w:style w:type="paragraph" w:styleId="Date">
    <w:name w:val="Date"/>
    <w:basedOn w:val="Normal"/>
    <w:link w:val="DateChar"/>
    <w:uiPriority w:val="2"/>
    <w:unhideWhenUsed/>
    <w:pPr>
      <w:spacing w:before="360"/>
      <w:contextualSpacing/>
    </w:pPr>
    <w:rPr>
      <w:b/>
      <w:bCs/>
      <w:sz w:val="42"/>
      <w:szCs w:val="42"/>
    </w:rPr>
  </w:style>
  <w:style w:type="character" w:customStyle="1" w:styleId="DateChar">
    <w:name w:val="Date Char"/>
    <w:basedOn w:val="DefaultParagraphFont"/>
    <w:link w:val="Date"/>
    <w:uiPriority w:val="2"/>
    <w:rPr>
      <w:b/>
      <w:bCs/>
      <w:sz w:val="42"/>
      <w:szCs w:val="42"/>
    </w:rPr>
  </w:style>
  <w:style w:type="paragraph" w:customStyle="1" w:styleId="Address">
    <w:name w:val="Address"/>
    <w:basedOn w:val="Normal"/>
    <w:uiPriority w:val="3"/>
    <w:pPr>
      <w:contextualSpacing/>
    </w:pPr>
  </w:style>
  <w:style w:type="paragraph" w:styleId="NoSpacing">
    <w:name w:val="No Spacing"/>
    <w:basedOn w:val="Normal"/>
    <w:link w:val="NoSpacingChar"/>
    <w:uiPriority w:val="1"/>
    <w:qFormat/>
    <w:rsid w:val="00986043"/>
    <w:pPr>
      <w:spacing w:after="0" w:line="240" w:lineRule="auto"/>
      <w:ind w:firstLine="0"/>
    </w:pPr>
  </w:style>
  <w:style w:type="paragraph" w:styleId="BalloonText">
    <w:name w:val="Balloon Text"/>
    <w:basedOn w:val="Normal"/>
    <w:link w:val="BalloonTextChar"/>
    <w:uiPriority w:val="99"/>
    <w:semiHidden/>
    <w:unhideWhenUsed/>
    <w:rsid w:val="00B47FA3"/>
    <w:rPr>
      <w:rFonts w:ascii="Tahoma" w:hAnsi="Tahoma" w:cs="Tahoma"/>
      <w:sz w:val="16"/>
      <w:szCs w:val="16"/>
    </w:rPr>
  </w:style>
  <w:style w:type="character" w:customStyle="1" w:styleId="BalloonTextChar">
    <w:name w:val="Balloon Text Char"/>
    <w:basedOn w:val="DefaultParagraphFont"/>
    <w:link w:val="BalloonText"/>
    <w:uiPriority w:val="99"/>
    <w:semiHidden/>
    <w:rsid w:val="00B47FA3"/>
    <w:rPr>
      <w:rFonts w:ascii="Tahoma" w:hAnsi="Tahoma" w:cs="Tahoma"/>
      <w:sz w:val="16"/>
      <w:szCs w:val="16"/>
    </w:rPr>
  </w:style>
  <w:style w:type="character" w:customStyle="1" w:styleId="Heading1Char">
    <w:name w:val="Heading 1 Char"/>
    <w:basedOn w:val="DefaultParagraphFont"/>
    <w:link w:val="Heading1"/>
    <w:uiPriority w:val="9"/>
    <w:rsid w:val="00986043"/>
    <w:rPr>
      <w:rFonts w:asciiTheme="majorHAnsi" w:eastAsiaTheme="majorEastAsia" w:hAnsiTheme="majorHAnsi" w:cstheme="majorBidi"/>
      <w:b/>
      <w:bCs/>
      <w:i/>
      <w:iCs/>
      <w:sz w:val="32"/>
      <w:szCs w:val="32"/>
    </w:rPr>
  </w:style>
  <w:style w:type="character" w:customStyle="1" w:styleId="Heading2Char">
    <w:name w:val="Heading 2 Char"/>
    <w:basedOn w:val="DefaultParagraphFont"/>
    <w:link w:val="Heading2"/>
    <w:uiPriority w:val="9"/>
    <w:rsid w:val="00986043"/>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986043"/>
    <w:rPr>
      <w:rFonts w:asciiTheme="majorHAnsi" w:eastAsiaTheme="majorEastAsia" w:hAnsiTheme="majorHAnsi" w:cstheme="majorBidi"/>
      <w:b/>
      <w:bCs/>
      <w:i/>
      <w:iCs/>
      <w:sz w:val="26"/>
      <w:szCs w:val="26"/>
    </w:rPr>
  </w:style>
  <w:style w:type="character" w:customStyle="1" w:styleId="Heading4Char">
    <w:name w:val="Heading 4 Char"/>
    <w:basedOn w:val="DefaultParagraphFont"/>
    <w:link w:val="Heading4"/>
    <w:uiPriority w:val="9"/>
    <w:rsid w:val="00986043"/>
    <w:rPr>
      <w:rFonts w:asciiTheme="majorHAnsi" w:eastAsiaTheme="majorEastAsia" w:hAnsiTheme="majorHAnsi" w:cstheme="majorBidi"/>
      <w:b/>
      <w:bCs/>
      <w:i/>
      <w:iCs/>
      <w:sz w:val="24"/>
      <w:szCs w:val="24"/>
    </w:rPr>
  </w:style>
  <w:style w:type="character" w:customStyle="1" w:styleId="Heading5Char">
    <w:name w:val="Heading 5 Char"/>
    <w:basedOn w:val="DefaultParagraphFont"/>
    <w:link w:val="Heading5"/>
    <w:uiPriority w:val="9"/>
    <w:semiHidden/>
    <w:rsid w:val="00986043"/>
    <w:rPr>
      <w:rFonts w:asciiTheme="majorHAnsi" w:eastAsiaTheme="majorEastAsia" w:hAnsiTheme="majorHAnsi" w:cstheme="majorBidi"/>
      <w:b/>
      <w:bCs/>
      <w:i/>
      <w:iCs/>
    </w:rPr>
  </w:style>
  <w:style w:type="character" w:customStyle="1" w:styleId="Heading6Char">
    <w:name w:val="Heading 6 Char"/>
    <w:basedOn w:val="DefaultParagraphFont"/>
    <w:link w:val="Heading6"/>
    <w:uiPriority w:val="9"/>
    <w:semiHidden/>
    <w:rsid w:val="00986043"/>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986043"/>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986043"/>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986043"/>
    <w:rPr>
      <w:rFonts w:asciiTheme="majorHAnsi" w:eastAsiaTheme="majorEastAsia" w:hAnsiTheme="majorHAnsi" w:cstheme="majorBidi"/>
      <w:i/>
      <w:iCs/>
      <w:sz w:val="18"/>
      <w:szCs w:val="18"/>
    </w:rPr>
  </w:style>
  <w:style w:type="paragraph" w:styleId="Caption">
    <w:name w:val="caption"/>
    <w:basedOn w:val="Normal"/>
    <w:next w:val="Normal"/>
    <w:unhideWhenUsed/>
    <w:qFormat/>
    <w:rsid w:val="00986043"/>
    <w:rPr>
      <w:b/>
      <w:bCs/>
      <w:sz w:val="18"/>
      <w:szCs w:val="18"/>
    </w:rPr>
  </w:style>
  <w:style w:type="paragraph" w:styleId="Subtitle">
    <w:name w:val="Subtitle"/>
    <w:basedOn w:val="Normal"/>
    <w:next w:val="Normal"/>
    <w:link w:val="SubtitleChar"/>
    <w:uiPriority w:val="11"/>
    <w:qFormat/>
    <w:rsid w:val="00986043"/>
    <w:pPr>
      <w:spacing w:after="320"/>
      <w:jc w:val="right"/>
    </w:pPr>
    <w:rPr>
      <w:i/>
      <w:iCs/>
      <w:color w:val="808080" w:themeColor="text1" w:themeTint="7F"/>
      <w:spacing w:val="10"/>
      <w:sz w:val="24"/>
      <w:szCs w:val="24"/>
    </w:rPr>
  </w:style>
  <w:style w:type="character" w:customStyle="1" w:styleId="SubtitleChar">
    <w:name w:val="Subtitle Char"/>
    <w:basedOn w:val="DefaultParagraphFont"/>
    <w:link w:val="Subtitle"/>
    <w:uiPriority w:val="11"/>
    <w:rsid w:val="00986043"/>
    <w:rPr>
      <w:i/>
      <w:iCs/>
      <w:color w:val="808080" w:themeColor="text1" w:themeTint="7F"/>
      <w:spacing w:val="10"/>
      <w:sz w:val="24"/>
      <w:szCs w:val="24"/>
    </w:rPr>
  </w:style>
  <w:style w:type="character" w:styleId="Strong">
    <w:name w:val="Strong"/>
    <w:basedOn w:val="DefaultParagraphFont"/>
    <w:uiPriority w:val="22"/>
    <w:qFormat/>
    <w:rsid w:val="00986043"/>
    <w:rPr>
      <w:b/>
      <w:bCs/>
      <w:spacing w:val="0"/>
    </w:rPr>
  </w:style>
  <w:style w:type="character" w:styleId="Emphasis">
    <w:name w:val="Emphasis"/>
    <w:uiPriority w:val="20"/>
    <w:qFormat/>
    <w:rsid w:val="00986043"/>
    <w:rPr>
      <w:b/>
      <w:bCs/>
      <w:i/>
      <w:iCs/>
      <w:color w:val="auto"/>
    </w:rPr>
  </w:style>
  <w:style w:type="paragraph" w:styleId="ListParagraph">
    <w:name w:val="List Paragraph"/>
    <w:basedOn w:val="Normal"/>
    <w:uiPriority w:val="34"/>
    <w:qFormat/>
    <w:rsid w:val="00986043"/>
    <w:pPr>
      <w:ind w:left="720"/>
      <w:contextualSpacing/>
    </w:pPr>
  </w:style>
  <w:style w:type="paragraph" w:styleId="Quote">
    <w:name w:val="Quote"/>
    <w:basedOn w:val="Normal"/>
    <w:next w:val="Normal"/>
    <w:link w:val="QuoteChar"/>
    <w:uiPriority w:val="29"/>
    <w:qFormat/>
    <w:rsid w:val="00986043"/>
    <w:rPr>
      <w:color w:val="5A5A5A" w:themeColor="text1" w:themeTint="A5"/>
    </w:rPr>
  </w:style>
  <w:style w:type="character" w:customStyle="1" w:styleId="QuoteChar">
    <w:name w:val="Quote Char"/>
    <w:basedOn w:val="DefaultParagraphFont"/>
    <w:link w:val="Quote"/>
    <w:uiPriority w:val="29"/>
    <w:rsid w:val="00986043"/>
    <w:rPr>
      <w:color w:val="5A5A5A" w:themeColor="text1" w:themeTint="A5"/>
    </w:rPr>
  </w:style>
  <w:style w:type="paragraph" w:styleId="IntenseQuote">
    <w:name w:val="Intense Quote"/>
    <w:basedOn w:val="Normal"/>
    <w:next w:val="Normal"/>
    <w:link w:val="IntenseQuoteChar"/>
    <w:uiPriority w:val="30"/>
    <w:qFormat/>
    <w:rsid w:val="00986043"/>
    <w:pPr>
      <w:spacing w:before="320" w:after="480" w:line="240" w:lineRule="auto"/>
      <w:ind w:left="720" w:right="720" w:firstLine="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986043"/>
    <w:rPr>
      <w:rFonts w:asciiTheme="majorHAnsi" w:eastAsiaTheme="majorEastAsia" w:hAnsiTheme="majorHAnsi" w:cstheme="majorBidi"/>
      <w:i/>
      <w:iCs/>
      <w:sz w:val="20"/>
      <w:szCs w:val="20"/>
    </w:rPr>
  </w:style>
  <w:style w:type="character" w:styleId="SubtleEmphasis">
    <w:name w:val="Subtle Emphasis"/>
    <w:uiPriority w:val="19"/>
    <w:qFormat/>
    <w:rsid w:val="00986043"/>
    <w:rPr>
      <w:i/>
      <w:iCs/>
      <w:color w:val="5A5A5A" w:themeColor="text1" w:themeTint="A5"/>
    </w:rPr>
  </w:style>
  <w:style w:type="character" w:styleId="IntenseEmphasis">
    <w:name w:val="Intense Emphasis"/>
    <w:uiPriority w:val="21"/>
    <w:qFormat/>
    <w:rsid w:val="00986043"/>
    <w:rPr>
      <w:b/>
      <w:bCs/>
      <w:i/>
      <w:iCs/>
      <w:color w:val="auto"/>
      <w:u w:val="single"/>
    </w:rPr>
  </w:style>
  <w:style w:type="character" w:styleId="SubtleReference">
    <w:name w:val="Subtle Reference"/>
    <w:uiPriority w:val="31"/>
    <w:qFormat/>
    <w:rsid w:val="00986043"/>
    <w:rPr>
      <w:smallCaps/>
    </w:rPr>
  </w:style>
  <w:style w:type="character" w:styleId="IntenseReference">
    <w:name w:val="Intense Reference"/>
    <w:uiPriority w:val="32"/>
    <w:qFormat/>
    <w:rsid w:val="00986043"/>
    <w:rPr>
      <w:b/>
      <w:bCs/>
      <w:smallCaps/>
      <w:color w:val="auto"/>
    </w:rPr>
  </w:style>
  <w:style w:type="character" w:styleId="BookTitle">
    <w:name w:val="Book Title"/>
    <w:uiPriority w:val="33"/>
    <w:qFormat/>
    <w:rsid w:val="00986043"/>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986043"/>
    <w:pPr>
      <w:outlineLvl w:val="9"/>
    </w:pPr>
    <w:rPr>
      <w:lang w:bidi="en-US"/>
    </w:rPr>
  </w:style>
  <w:style w:type="paragraph" w:styleId="Header">
    <w:name w:val="header"/>
    <w:basedOn w:val="Normal"/>
    <w:link w:val="HeaderChar"/>
    <w:uiPriority w:val="99"/>
    <w:unhideWhenUsed/>
    <w:rsid w:val="009860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6043"/>
  </w:style>
  <w:style w:type="paragraph" w:styleId="Footer">
    <w:name w:val="footer"/>
    <w:basedOn w:val="Normal"/>
    <w:link w:val="FooterChar"/>
    <w:uiPriority w:val="99"/>
    <w:unhideWhenUsed/>
    <w:rsid w:val="009860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6043"/>
  </w:style>
  <w:style w:type="paragraph" w:styleId="NormalWeb">
    <w:name w:val="Normal (Web)"/>
    <w:basedOn w:val="Normal"/>
    <w:uiPriority w:val="99"/>
    <w:unhideWhenUsed/>
    <w:rsid w:val="00A86AF4"/>
    <w:pPr>
      <w:spacing w:before="100" w:beforeAutospacing="1" w:after="100" w:afterAutospacing="1" w:line="240" w:lineRule="auto"/>
      <w:ind w:firstLine="0"/>
    </w:pPr>
    <w:rPr>
      <w:rFonts w:ascii="Times New Roman" w:eastAsia="Times New Roman" w:hAnsi="Times New Roman" w:cs="Times New Roman"/>
      <w:sz w:val="24"/>
      <w:szCs w:val="24"/>
      <w:lang w:eastAsia="en-US"/>
    </w:rPr>
  </w:style>
  <w:style w:type="character" w:styleId="HTMLCite">
    <w:name w:val="HTML Cite"/>
    <w:uiPriority w:val="99"/>
    <w:unhideWhenUsed/>
    <w:rsid w:val="00337807"/>
    <w:rPr>
      <w:i/>
      <w:iCs/>
    </w:rPr>
  </w:style>
  <w:style w:type="character" w:customStyle="1" w:styleId="Bodytext25">
    <w:name w:val="Body text (25)_"/>
    <w:link w:val="Bodytext250"/>
    <w:rsid w:val="00CB7572"/>
    <w:rPr>
      <w:rFonts w:ascii="Arial" w:eastAsia="Arial" w:hAnsi="Arial" w:cs="Arial"/>
      <w:sz w:val="15"/>
      <w:szCs w:val="15"/>
      <w:shd w:val="clear" w:color="auto" w:fill="FFFFFF"/>
    </w:rPr>
  </w:style>
  <w:style w:type="paragraph" w:customStyle="1" w:styleId="Bodytext250">
    <w:name w:val="Body text (25)"/>
    <w:basedOn w:val="Normal"/>
    <w:link w:val="Bodytext25"/>
    <w:rsid w:val="00CB7572"/>
    <w:pPr>
      <w:shd w:val="clear" w:color="auto" w:fill="FFFFFF"/>
      <w:spacing w:after="0" w:line="0" w:lineRule="atLeast"/>
      <w:ind w:firstLine="0"/>
    </w:pPr>
    <w:rPr>
      <w:rFonts w:ascii="Arial" w:eastAsia="Arial" w:hAnsi="Arial" w:cs="Arial"/>
      <w:sz w:val="15"/>
      <w:szCs w:val="15"/>
    </w:rPr>
  </w:style>
  <w:style w:type="character" w:styleId="Hyperlink">
    <w:name w:val="Hyperlink"/>
    <w:basedOn w:val="DefaultParagraphFont"/>
    <w:uiPriority w:val="99"/>
    <w:rsid w:val="009A2F5D"/>
    <w:rPr>
      <w:color w:val="0000FF"/>
      <w:u w:val="single"/>
    </w:rPr>
  </w:style>
  <w:style w:type="paragraph" w:styleId="TOC1">
    <w:name w:val="toc 1"/>
    <w:basedOn w:val="Normal"/>
    <w:next w:val="Normal"/>
    <w:autoRedefine/>
    <w:uiPriority w:val="39"/>
    <w:unhideWhenUsed/>
    <w:qFormat/>
    <w:rsid w:val="00AD4428"/>
    <w:pPr>
      <w:tabs>
        <w:tab w:val="left" w:pos="880"/>
        <w:tab w:val="right" w:leader="dot" w:pos="9350"/>
      </w:tabs>
      <w:spacing w:after="0" w:line="240" w:lineRule="auto"/>
      <w:ind w:firstLine="0"/>
    </w:pPr>
    <w:rPr>
      <w:rFonts w:ascii="Cambria" w:hAnsi="Cambria"/>
      <w:noProof/>
    </w:rPr>
  </w:style>
  <w:style w:type="paragraph" w:styleId="TOC2">
    <w:name w:val="toc 2"/>
    <w:basedOn w:val="Normal"/>
    <w:next w:val="Normal"/>
    <w:autoRedefine/>
    <w:uiPriority w:val="39"/>
    <w:unhideWhenUsed/>
    <w:qFormat/>
    <w:rsid w:val="004665AF"/>
    <w:pPr>
      <w:tabs>
        <w:tab w:val="right" w:leader="dot" w:pos="9017"/>
      </w:tabs>
      <w:spacing w:after="0" w:line="240" w:lineRule="auto"/>
      <w:ind w:left="216"/>
    </w:pPr>
  </w:style>
  <w:style w:type="paragraph" w:styleId="TOC3">
    <w:name w:val="toc 3"/>
    <w:basedOn w:val="Normal"/>
    <w:next w:val="Normal"/>
    <w:autoRedefine/>
    <w:uiPriority w:val="39"/>
    <w:unhideWhenUsed/>
    <w:qFormat/>
    <w:rsid w:val="00C21677"/>
    <w:pPr>
      <w:tabs>
        <w:tab w:val="right" w:leader="dot" w:pos="9017"/>
      </w:tabs>
      <w:spacing w:after="0" w:line="240" w:lineRule="auto"/>
      <w:ind w:left="440"/>
    </w:pPr>
    <w:rPr>
      <w:rFonts w:ascii="Cambria" w:hAnsi="Cambria"/>
      <w:noProof/>
    </w:rPr>
  </w:style>
  <w:style w:type="table" w:customStyle="1" w:styleId="TableGrid1">
    <w:name w:val="Table Grid1"/>
    <w:basedOn w:val="TableNormal"/>
    <w:next w:val="TableGrid"/>
    <w:uiPriority w:val="59"/>
    <w:rsid w:val="00906772"/>
    <w:pPr>
      <w:spacing w:after="0" w:line="240" w:lineRule="auto"/>
      <w:ind w:firstLine="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82510"/>
    <w:pPr>
      <w:autoSpaceDE w:val="0"/>
      <w:autoSpaceDN w:val="0"/>
      <w:adjustRightInd w:val="0"/>
      <w:spacing w:after="0" w:line="240" w:lineRule="auto"/>
      <w:ind w:firstLine="0"/>
    </w:pPr>
    <w:rPr>
      <w:rFonts w:ascii="Cambria" w:eastAsiaTheme="minorHAnsi" w:hAnsi="Cambria" w:cs="Cambria"/>
      <w:color w:val="000000"/>
      <w:sz w:val="24"/>
      <w:szCs w:val="24"/>
      <w:lang w:eastAsia="en-US"/>
    </w:rPr>
  </w:style>
  <w:style w:type="character" w:customStyle="1" w:styleId="NoSpacingChar">
    <w:name w:val="No Spacing Char"/>
    <w:basedOn w:val="DefaultParagraphFont"/>
    <w:link w:val="NoSpacing"/>
    <w:uiPriority w:val="1"/>
    <w:rsid w:val="00C3663E"/>
  </w:style>
  <w:style w:type="character" w:customStyle="1" w:styleId="ln2tpreambul1">
    <w:name w:val="ln2tpreambul1"/>
    <w:rsid w:val="00532062"/>
    <w:rPr>
      <w:i/>
      <w:iCs/>
    </w:rPr>
  </w:style>
  <w:style w:type="character" w:customStyle="1" w:styleId="yiv351784985preambul1">
    <w:name w:val="yiv351784985preambul1"/>
    <w:basedOn w:val="DefaultParagraphFont"/>
    <w:rsid w:val="001A2927"/>
  </w:style>
  <w:style w:type="paragraph" w:customStyle="1" w:styleId="Bodytextprebullet">
    <w:name w:val="Body text pre bullet"/>
    <w:basedOn w:val="Normal"/>
    <w:qFormat/>
    <w:rsid w:val="001A2927"/>
    <w:pPr>
      <w:spacing w:before="140" w:after="140" w:line="240" w:lineRule="auto"/>
      <w:ind w:firstLine="0"/>
    </w:pPr>
    <w:rPr>
      <w:rFonts w:ascii="Univers 45 Light" w:eastAsia="Times New Roman" w:hAnsi="Univers 45 Light" w:cs="Univers 45 Light"/>
      <w:color w:val="000000"/>
      <w:sz w:val="20"/>
      <w:szCs w:val="20"/>
      <w:lang w:eastAsia="en-US"/>
    </w:rPr>
  </w:style>
  <w:style w:type="paragraph" w:styleId="BodyTextIndent2">
    <w:name w:val="Body Text Indent 2"/>
    <w:basedOn w:val="Normal"/>
    <w:link w:val="BodyTextIndent2Char"/>
    <w:rsid w:val="00B41E3F"/>
    <w:pPr>
      <w:spacing w:after="120"/>
      <w:ind w:left="360" w:firstLine="0"/>
    </w:pPr>
    <w:rPr>
      <w:rFonts w:ascii="Times New Roman" w:eastAsia="Times New Roman" w:hAnsi="Times New Roman" w:cs="Times New Roman"/>
      <w:sz w:val="20"/>
      <w:szCs w:val="20"/>
      <w:lang w:eastAsia="ro-RO"/>
    </w:rPr>
  </w:style>
  <w:style w:type="character" w:customStyle="1" w:styleId="BodyTextIndent2Char">
    <w:name w:val="Body Text Indent 2 Char"/>
    <w:basedOn w:val="DefaultParagraphFont"/>
    <w:link w:val="BodyTextIndent2"/>
    <w:rsid w:val="00B41E3F"/>
    <w:rPr>
      <w:rFonts w:ascii="Times New Roman" w:eastAsia="Times New Roman" w:hAnsi="Times New Roman" w:cs="Times New Roman"/>
      <w:sz w:val="20"/>
      <w:szCs w:val="20"/>
      <w:lang w:eastAsia="ro-RO"/>
    </w:rPr>
  </w:style>
  <w:style w:type="paragraph" w:customStyle="1" w:styleId="DefaultText">
    <w:name w:val="Default Text"/>
    <w:basedOn w:val="Normal"/>
    <w:rsid w:val="00A42476"/>
    <w:pPr>
      <w:tabs>
        <w:tab w:val="left" w:pos="858"/>
        <w:tab w:val="left" w:pos="1436"/>
        <w:tab w:val="left" w:pos="1996"/>
        <w:tab w:val="left" w:pos="2573"/>
        <w:tab w:val="left" w:pos="3150"/>
        <w:tab w:val="left" w:pos="4288"/>
        <w:tab w:val="left" w:pos="5426"/>
        <w:tab w:val="left" w:pos="6564"/>
        <w:tab w:val="decimal" w:pos="8647"/>
      </w:tabs>
      <w:spacing w:after="0" w:line="290" w:lineRule="atLeast"/>
      <w:ind w:firstLine="0"/>
    </w:pPr>
    <w:rPr>
      <w:rFonts w:ascii="Arial" w:eastAsia="Times New Roman" w:hAnsi="Arial" w:cs="Arial"/>
      <w:sz w:val="24"/>
      <w:szCs w:val="20"/>
      <w:lang w:eastAsia="en-US"/>
    </w:rPr>
  </w:style>
  <w:style w:type="character" w:customStyle="1" w:styleId="longtext1">
    <w:name w:val="long_text1"/>
    <w:rsid w:val="00CC7FF2"/>
    <w:rPr>
      <w:sz w:val="20"/>
      <w:szCs w:val="20"/>
    </w:rPr>
  </w:style>
  <w:style w:type="character" w:customStyle="1" w:styleId="hps">
    <w:name w:val="hps"/>
    <w:basedOn w:val="DefaultParagraphFont"/>
    <w:rsid w:val="00206760"/>
  </w:style>
  <w:style w:type="numbering" w:customStyle="1" w:styleId="NoList1">
    <w:name w:val="No List1"/>
    <w:next w:val="NoList"/>
    <w:uiPriority w:val="99"/>
    <w:semiHidden/>
    <w:unhideWhenUsed/>
    <w:rsid w:val="00314521"/>
  </w:style>
  <w:style w:type="paragraph" w:customStyle="1" w:styleId="Heading11">
    <w:name w:val="Heading 11"/>
    <w:basedOn w:val="Normal"/>
    <w:next w:val="Normal"/>
    <w:uiPriority w:val="9"/>
    <w:qFormat/>
    <w:rsid w:val="00314521"/>
    <w:pPr>
      <w:spacing w:before="600" w:after="0" w:line="360" w:lineRule="auto"/>
      <w:ind w:firstLine="0"/>
      <w:outlineLvl w:val="0"/>
    </w:pPr>
    <w:rPr>
      <w:rFonts w:ascii="Cambria" w:eastAsia="Times New Roman" w:hAnsi="Cambria" w:cs="Times New Roman"/>
      <w:b/>
      <w:bCs/>
      <w:i/>
      <w:iCs/>
      <w:sz w:val="32"/>
      <w:szCs w:val="32"/>
      <w:lang w:val="x-none" w:eastAsia="x-none"/>
    </w:rPr>
  </w:style>
  <w:style w:type="paragraph" w:customStyle="1" w:styleId="Heading21">
    <w:name w:val="Heading 21"/>
    <w:basedOn w:val="Normal"/>
    <w:next w:val="Normal"/>
    <w:uiPriority w:val="9"/>
    <w:unhideWhenUsed/>
    <w:qFormat/>
    <w:rsid w:val="00314521"/>
    <w:pPr>
      <w:spacing w:before="320" w:after="0" w:line="360" w:lineRule="auto"/>
      <w:ind w:firstLine="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314521"/>
    <w:pPr>
      <w:spacing w:before="320" w:after="0" w:line="360" w:lineRule="auto"/>
      <w:ind w:firstLine="0"/>
      <w:outlineLvl w:val="2"/>
    </w:pPr>
    <w:rPr>
      <w:rFonts w:ascii="Cambria" w:eastAsia="Times New Roman" w:hAnsi="Cambria" w:cs="Times New Roman"/>
      <w:b/>
      <w:bCs/>
      <w:i/>
      <w:iCs/>
      <w:sz w:val="26"/>
      <w:szCs w:val="26"/>
    </w:rPr>
  </w:style>
  <w:style w:type="paragraph" w:customStyle="1" w:styleId="Heading41">
    <w:name w:val="Heading 41"/>
    <w:basedOn w:val="Normal"/>
    <w:next w:val="Normal"/>
    <w:uiPriority w:val="9"/>
    <w:unhideWhenUsed/>
    <w:qFormat/>
    <w:rsid w:val="00314521"/>
    <w:pPr>
      <w:spacing w:before="280" w:after="0" w:line="360" w:lineRule="auto"/>
      <w:ind w:firstLine="0"/>
      <w:outlineLvl w:val="3"/>
    </w:pPr>
    <w:rPr>
      <w:rFonts w:ascii="Cambria" w:eastAsia="Times New Roman" w:hAnsi="Cambria" w:cs="Times New Roman"/>
      <w:b/>
      <w:bCs/>
      <w:i/>
      <w:iCs/>
      <w:sz w:val="24"/>
      <w:szCs w:val="24"/>
    </w:rPr>
  </w:style>
  <w:style w:type="paragraph" w:customStyle="1" w:styleId="Heading51">
    <w:name w:val="Heading 51"/>
    <w:basedOn w:val="Normal"/>
    <w:next w:val="Normal"/>
    <w:uiPriority w:val="9"/>
    <w:semiHidden/>
    <w:unhideWhenUsed/>
    <w:qFormat/>
    <w:rsid w:val="00314521"/>
    <w:pPr>
      <w:spacing w:before="280" w:after="0" w:line="360" w:lineRule="auto"/>
      <w:ind w:firstLine="0"/>
      <w:outlineLvl w:val="4"/>
    </w:pPr>
    <w:rPr>
      <w:rFonts w:ascii="Cambria" w:eastAsia="Times New Roman" w:hAnsi="Cambria" w:cs="Times New Roman"/>
      <w:b/>
      <w:bCs/>
      <w:i/>
      <w:iCs/>
    </w:rPr>
  </w:style>
  <w:style w:type="paragraph" w:customStyle="1" w:styleId="Heading61">
    <w:name w:val="Heading 61"/>
    <w:basedOn w:val="Normal"/>
    <w:next w:val="Normal"/>
    <w:uiPriority w:val="9"/>
    <w:semiHidden/>
    <w:unhideWhenUsed/>
    <w:qFormat/>
    <w:rsid w:val="00314521"/>
    <w:pPr>
      <w:spacing w:before="280" w:after="80" w:line="360" w:lineRule="auto"/>
      <w:ind w:firstLine="0"/>
      <w:outlineLvl w:val="5"/>
    </w:pPr>
    <w:rPr>
      <w:rFonts w:ascii="Cambria" w:eastAsia="Times New Roman" w:hAnsi="Cambria" w:cs="Times New Roman"/>
      <w:b/>
      <w:bCs/>
      <w:i/>
      <w:iCs/>
    </w:rPr>
  </w:style>
  <w:style w:type="paragraph" w:customStyle="1" w:styleId="Heading71">
    <w:name w:val="Heading 71"/>
    <w:basedOn w:val="Normal"/>
    <w:next w:val="Normal"/>
    <w:uiPriority w:val="9"/>
    <w:semiHidden/>
    <w:unhideWhenUsed/>
    <w:qFormat/>
    <w:rsid w:val="00314521"/>
    <w:pPr>
      <w:spacing w:before="280" w:after="0" w:line="360" w:lineRule="auto"/>
      <w:ind w:firstLine="0"/>
      <w:outlineLvl w:val="6"/>
    </w:pPr>
    <w:rPr>
      <w:rFonts w:ascii="Cambria" w:eastAsia="Times New Roman" w:hAnsi="Cambria" w:cs="Times New Roman"/>
      <w:b/>
      <w:bCs/>
      <w:i/>
      <w:iCs/>
      <w:sz w:val="20"/>
      <w:szCs w:val="20"/>
    </w:rPr>
  </w:style>
  <w:style w:type="paragraph" w:customStyle="1" w:styleId="Heading81">
    <w:name w:val="Heading 81"/>
    <w:basedOn w:val="Normal"/>
    <w:next w:val="Normal"/>
    <w:uiPriority w:val="9"/>
    <w:semiHidden/>
    <w:unhideWhenUsed/>
    <w:qFormat/>
    <w:rsid w:val="00314521"/>
    <w:pPr>
      <w:spacing w:before="280" w:after="0" w:line="360" w:lineRule="auto"/>
      <w:ind w:firstLine="0"/>
      <w:outlineLvl w:val="7"/>
    </w:pPr>
    <w:rPr>
      <w:rFonts w:ascii="Cambria" w:eastAsia="Times New Roman" w:hAnsi="Cambria" w:cs="Times New Roman"/>
      <w:b/>
      <w:bCs/>
      <w:i/>
      <w:iCs/>
      <w:sz w:val="18"/>
      <w:szCs w:val="18"/>
    </w:rPr>
  </w:style>
  <w:style w:type="paragraph" w:customStyle="1" w:styleId="Heading91">
    <w:name w:val="Heading 91"/>
    <w:basedOn w:val="Normal"/>
    <w:next w:val="Normal"/>
    <w:uiPriority w:val="9"/>
    <w:semiHidden/>
    <w:unhideWhenUsed/>
    <w:qFormat/>
    <w:rsid w:val="00314521"/>
    <w:pPr>
      <w:spacing w:before="280" w:after="0" w:line="360" w:lineRule="auto"/>
      <w:ind w:firstLine="0"/>
      <w:outlineLvl w:val="8"/>
    </w:pPr>
    <w:rPr>
      <w:rFonts w:ascii="Cambria" w:eastAsia="Times New Roman" w:hAnsi="Cambria" w:cs="Times New Roman"/>
      <w:i/>
      <w:iCs/>
      <w:sz w:val="18"/>
      <w:szCs w:val="18"/>
    </w:rPr>
  </w:style>
  <w:style w:type="numbering" w:customStyle="1" w:styleId="NoList11">
    <w:name w:val="No List11"/>
    <w:next w:val="NoList"/>
    <w:uiPriority w:val="99"/>
    <w:semiHidden/>
    <w:unhideWhenUsed/>
    <w:rsid w:val="00314521"/>
  </w:style>
  <w:style w:type="table" w:customStyle="1" w:styleId="TableGrid2">
    <w:name w:val="Table Grid2"/>
    <w:basedOn w:val="TableNormal"/>
    <w:next w:val="TableGrid"/>
    <w:uiPriority w:val="59"/>
    <w:rsid w:val="00314521"/>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314521"/>
    <w:pPr>
      <w:spacing w:line="240" w:lineRule="auto"/>
      <w:ind w:firstLine="0"/>
    </w:pPr>
    <w:rPr>
      <w:rFonts w:ascii="Cambria" w:eastAsia="Times New Roman" w:hAnsi="Cambria" w:cs="Times New Roman"/>
      <w:b/>
      <w:bCs/>
      <w:i/>
      <w:iCs/>
      <w:spacing w:val="10"/>
      <w:sz w:val="60"/>
      <w:szCs w:val="60"/>
    </w:rPr>
  </w:style>
  <w:style w:type="paragraph" w:customStyle="1" w:styleId="Subtitle1">
    <w:name w:val="Subtitle1"/>
    <w:basedOn w:val="Normal"/>
    <w:next w:val="Normal"/>
    <w:uiPriority w:val="11"/>
    <w:qFormat/>
    <w:rsid w:val="00314521"/>
    <w:pPr>
      <w:spacing w:after="320"/>
      <w:jc w:val="right"/>
    </w:pPr>
    <w:rPr>
      <w:rFonts w:ascii="Calibri" w:eastAsia="Times New Roman" w:hAnsi="Calibri" w:cs="Times New Roman"/>
      <w:i/>
      <w:iCs/>
      <w:color w:val="808080"/>
      <w:spacing w:val="10"/>
      <w:sz w:val="24"/>
      <w:szCs w:val="24"/>
    </w:rPr>
  </w:style>
  <w:style w:type="paragraph" w:customStyle="1" w:styleId="Quote1">
    <w:name w:val="Quote1"/>
    <w:basedOn w:val="Normal"/>
    <w:next w:val="Normal"/>
    <w:uiPriority w:val="29"/>
    <w:qFormat/>
    <w:rsid w:val="00314521"/>
    <w:rPr>
      <w:rFonts w:ascii="Calibri" w:eastAsia="Times New Roman" w:hAnsi="Calibri" w:cs="Times New Roman"/>
      <w:color w:val="5A5A5A"/>
    </w:rPr>
  </w:style>
  <w:style w:type="paragraph" w:customStyle="1" w:styleId="IntenseQuote1">
    <w:name w:val="Intense Quote1"/>
    <w:basedOn w:val="Normal"/>
    <w:next w:val="Normal"/>
    <w:uiPriority w:val="30"/>
    <w:qFormat/>
    <w:rsid w:val="00314521"/>
    <w:pPr>
      <w:spacing w:before="320" w:after="480" w:line="240" w:lineRule="auto"/>
      <w:ind w:left="720" w:right="720" w:firstLine="0"/>
      <w:jc w:val="center"/>
    </w:pPr>
    <w:rPr>
      <w:rFonts w:ascii="Cambria" w:eastAsia="Times New Roman" w:hAnsi="Cambria" w:cs="Times New Roman"/>
      <w:i/>
      <w:iCs/>
      <w:sz w:val="20"/>
      <w:szCs w:val="20"/>
    </w:rPr>
  </w:style>
  <w:style w:type="character" w:customStyle="1" w:styleId="SubtleEmphasis1">
    <w:name w:val="Subtle Emphasis1"/>
    <w:uiPriority w:val="19"/>
    <w:qFormat/>
    <w:rsid w:val="00314521"/>
    <w:rPr>
      <w:i/>
      <w:iCs/>
      <w:color w:val="5A5A5A"/>
    </w:rPr>
  </w:style>
  <w:style w:type="character" w:customStyle="1" w:styleId="BookTitle1">
    <w:name w:val="Book Title1"/>
    <w:uiPriority w:val="33"/>
    <w:qFormat/>
    <w:rsid w:val="00314521"/>
    <w:rPr>
      <w:rFonts w:ascii="Cambria" w:eastAsia="Times New Roman" w:hAnsi="Cambria" w:cs="Times New Roman"/>
      <w:b/>
      <w:bCs/>
      <w:smallCaps/>
      <w:color w:val="auto"/>
      <w:u w:val="single"/>
    </w:rPr>
  </w:style>
  <w:style w:type="character" w:customStyle="1" w:styleId="Heading1Char1">
    <w:name w:val="Heading 1 Char1"/>
    <w:uiPriority w:val="9"/>
    <w:rsid w:val="00314521"/>
    <w:rPr>
      <w:rFonts w:ascii="Cambria" w:eastAsia="Times New Roman" w:hAnsi="Cambria" w:cs="Times New Roman"/>
      <w:b/>
      <w:bCs/>
      <w:color w:val="365F91"/>
      <w:sz w:val="28"/>
      <w:szCs w:val="28"/>
    </w:rPr>
  </w:style>
  <w:style w:type="table" w:customStyle="1" w:styleId="TableGrid11">
    <w:name w:val="Table Grid11"/>
    <w:basedOn w:val="TableNormal"/>
    <w:next w:val="TableGrid"/>
    <w:uiPriority w:val="59"/>
    <w:rsid w:val="00314521"/>
    <w:pPr>
      <w:spacing w:after="0" w:line="240" w:lineRule="auto"/>
      <w:ind w:firstLine="0"/>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1">
    <w:name w:val="Title Char1"/>
    <w:uiPriority w:val="10"/>
    <w:rsid w:val="00314521"/>
    <w:rPr>
      <w:rFonts w:ascii="Cambria" w:eastAsia="Times New Roman" w:hAnsi="Cambria" w:cs="Times New Roman"/>
      <w:color w:val="17365D"/>
      <w:spacing w:val="5"/>
      <w:kern w:val="28"/>
      <w:sz w:val="52"/>
      <w:szCs w:val="52"/>
    </w:rPr>
  </w:style>
  <w:style w:type="character" w:customStyle="1" w:styleId="Heading2Char1">
    <w:name w:val="Heading 2 Char1"/>
    <w:uiPriority w:val="9"/>
    <w:semiHidden/>
    <w:rsid w:val="00314521"/>
    <w:rPr>
      <w:rFonts w:ascii="Cambria" w:eastAsia="Times New Roman" w:hAnsi="Cambria" w:cs="Times New Roman"/>
      <w:b/>
      <w:bCs/>
      <w:color w:val="4F81BD"/>
      <w:sz w:val="26"/>
      <w:szCs w:val="26"/>
    </w:rPr>
  </w:style>
  <w:style w:type="character" w:customStyle="1" w:styleId="Heading3Char1">
    <w:name w:val="Heading 3 Char1"/>
    <w:uiPriority w:val="9"/>
    <w:semiHidden/>
    <w:rsid w:val="00314521"/>
    <w:rPr>
      <w:rFonts w:ascii="Cambria" w:eastAsia="Times New Roman" w:hAnsi="Cambria" w:cs="Times New Roman"/>
      <w:b/>
      <w:bCs/>
      <w:color w:val="4F81BD"/>
    </w:rPr>
  </w:style>
  <w:style w:type="character" w:customStyle="1" w:styleId="Heading4Char1">
    <w:name w:val="Heading 4 Char1"/>
    <w:uiPriority w:val="9"/>
    <w:semiHidden/>
    <w:rsid w:val="00314521"/>
    <w:rPr>
      <w:rFonts w:ascii="Cambria" w:eastAsia="Times New Roman" w:hAnsi="Cambria" w:cs="Times New Roman"/>
      <w:b/>
      <w:bCs/>
      <w:i/>
      <w:iCs/>
      <w:color w:val="4F81BD"/>
    </w:rPr>
  </w:style>
  <w:style w:type="character" w:customStyle="1" w:styleId="Heading5Char1">
    <w:name w:val="Heading 5 Char1"/>
    <w:uiPriority w:val="9"/>
    <w:semiHidden/>
    <w:rsid w:val="00314521"/>
    <w:rPr>
      <w:rFonts w:ascii="Cambria" w:eastAsia="Times New Roman" w:hAnsi="Cambria" w:cs="Times New Roman"/>
      <w:color w:val="243F60"/>
    </w:rPr>
  </w:style>
  <w:style w:type="character" w:customStyle="1" w:styleId="Heading6Char1">
    <w:name w:val="Heading 6 Char1"/>
    <w:uiPriority w:val="9"/>
    <w:semiHidden/>
    <w:rsid w:val="00314521"/>
    <w:rPr>
      <w:rFonts w:ascii="Cambria" w:eastAsia="Times New Roman" w:hAnsi="Cambria" w:cs="Times New Roman"/>
      <w:i/>
      <w:iCs/>
      <w:color w:val="243F60"/>
    </w:rPr>
  </w:style>
  <w:style w:type="character" w:customStyle="1" w:styleId="Heading7Char1">
    <w:name w:val="Heading 7 Char1"/>
    <w:uiPriority w:val="9"/>
    <w:semiHidden/>
    <w:rsid w:val="00314521"/>
    <w:rPr>
      <w:rFonts w:ascii="Cambria" w:eastAsia="Times New Roman" w:hAnsi="Cambria" w:cs="Times New Roman"/>
      <w:i/>
      <w:iCs/>
      <w:color w:val="404040"/>
    </w:rPr>
  </w:style>
  <w:style w:type="character" w:customStyle="1" w:styleId="Heading8Char1">
    <w:name w:val="Heading 8 Char1"/>
    <w:uiPriority w:val="9"/>
    <w:semiHidden/>
    <w:rsid w:val="00314521"/>
    <w:rPr>
      <w:rFonts w:ascii="Cambria" w:eastAsia="Times New Roman" w:hAnsi="Cambria" w:cs="Times New Roman"/>
      <w:color w:val="404040"/>
      <w:sz w:val="20"/>
      <w:szCs w:val="20"/>
    </w:rPr>
  </w:style>
  <w:style w:type="character" w:customStyle="1" w:styleId="Heading9Char1">
    <w:name w:val="Heading 9 Char1"/>
    <w:uiPriority w:val="9"/>
    <w:semiHidden/>
    <w:rsid w:val="00314521"/>
    <w:rPr>
      <w:rFonts w:ascii="Cambria" w:eastAsia="Times New Roman" w:hAnsi="Cambria" w:cs="Times New Roman"/>
      <w:i/>
      <w:iCs/>
      <w:color w:val="404040"/>
      <w:sz w:val="20"/>
      <w:szCs w:val="20"/>
    </w:rPr>
  </w:style>
  <w:style w:type="character" w:customStyle="1" w:styleId="SubtitleChar1">
    <w:name w:val="Subtitle Char1"/>
    <w:uiPriority w:val="11"/>
    <w:rsid w:val="00314521"/>
    <w:rPr>
      <w:rFonts w:ascii="Cambria" w:eastAsia="Times New Roman" w:hAnsi="Cambria" w:cs="Times New Roman"/>
      <w:i/>
      <w:iCs/>
      <w:color w:val="4F81BD"/>
      <w:spacing w:val="15"/>
      <w:sz w:val="24"/>
      <w:szCs w:val="24"/>
    </w:rPr>
  </w:style>
  <w:style w:type="character" w:customStyle="1" w:styleId="QuoteChar1">
    <w:name w:val="Quote Char1"/>
    <w:uiPriority w:val="29"/>
    <w:rsid w:val="00314521"/>
    <w:rPr>
      <w:i/>
      <w:iCs/>
      <w:color w:val="000000"/>
    </w:rPr>
  </w:style>
  <w:style w:type="character" w:customStyle="1" w:styleId="IntenseQuoteChar1">
    <w:name w:val="Intense Quote Char1"/>
    <w:uiPriority w:val="30"/>
    <w:rsid w:val="00314521"/>
    <w:rPr>
      <w:b/>
      <w:bCs/>
      <w:i/>
      <w:iCs/>
      <w:color w:val="4F81BD"/>
    </w:rPr>
  </w:style>
  <w:style w:type="numbering" w:customStyle="1" w:styleId="NoList2">
    <w:name w:val="No List2"/>
    <w:next w:val="NoList"/>
    <w:uiPriority w:val="99"/>
    <w:semiHidden/>
    <w:unhideWhenUsed/>
    <w:rsid w:val="00CC1CDC"/>
  </w:style>
  <w:style w:type="numbering" w:customStyle="1" w:styleId="NoList12">
    <w:name w:val="No List12"/>
    <w:next w:val="NoList"/>
    <w:uiPriority w:val="99"/>
    <w:semiHidden/>
    <w:unhideWhenUsed/>
    <w:rsid w:val="00CC1CDC"/>
  </w:style>
  <w:style w:type="table" w:customStyle="1" w:styleId="TableGrid3">
    <w:name w:val="Table Grid3"/>
    <w:basedOn w:val="TableNormal"/>
    <w:next w:val="TableGrid"/>
    <w:uiPriority w:val="59"/>
    <w:rsid w:val="00CC1CDC"/>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C1CDC"/>
    <w:pPr>
      <w:spacing w:after="0" w:line="240" w:lineRule="auto"/>
      <w:ind w:firstLine="0"/>
    </w:pPr>
    <w:rPr>
      <w:rFonts w:ascii="Calibri" w:eastAsia="Times New Roman"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DefaultParagraphFont"/>
    <w:rsid w:val="009B5269"/>
  </w:style>
  <w:style w:type="character" w:customStyle="1" w:styleId="atn">
    <w:name w:val="atn"/>
    <w:basedOn w:val="DefaultParagraphFont"/>
    <w:rsid w:val="009B5269"/>
  </w:style>
  <w:style w:type="numbering" w:customStyle="1" w:styleId="NoList3">
    <w:name w:val="No List3"/>
    <w:next w:val="NoList"/>
    <w:uiPriority w:val="99"/>
    <w:semiHidden/>
    <w:unhideWhenUsed/>
    <w:rsid w:val="001E09B6"/>
  </w:style>
  <w:style w:type="numbering" w:customStyle="1" w:styleId="NoList13">
    <w:name w:val="No List13"/>
    <w:next w:val="NoList"/>
    <w:uiPriority w:val="99"/>
    <w:semiHidden/>
    <w:unhideWhenUsed/>
    <w:rsid w:val="001E09B6"/>
  </w:style>
  <w:style w:type="table" w:customStyle="1" w:styleId="TableGrid4">
    <w:name w:val="Table Grid4"/>
    <w:basedOn w:val="TableNormal"/>
    <w:next w:val="TableGrid"/>
    <w:uiPriority w:val="59"/>
    <w:rsid w:val="001E09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1E09B6"/>
    <w:pPr>
      <w:spacing w:after="0" w:line="240" w:lineRule="auto"/>
      <w:ind w:firstLine="0"/>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1E09B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473468"/>
  </w:style>
  <w:style w:type="character" w:customStyle="1" w:styleId="st1">
    <w:name w:val="st1"/>
    <w:basedOn w:val="DefaultParagraphFont"/>
    <w:rsid w:val="0095141A"/>
  </w:style>
  <w:style w:type="table" w:customStyle="1" w:styleId="TableGrid5">
    <w:name w:val="Table Grid5"/>
    <w:basedOn w:val="TableNormal"/>
    <w:next w:val="TableGrid"/>
    <w:uiPriority w:val="59"/>
    <w:rsid w:val="00764C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8B4B33"/>
    <w:pPr>
      <w:spacing w:after="0" w:line="240" w:lineRule="auto"/>
      <w:ind w:firstLine="0"/>
    </w:pPr>
    <w:rPr>
      <w:rFonts w:eastAsia="Calibri"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lt-edited1">
    <w:name w:val="alt-edited1"/>
    <w:basedOn w:val="DefaultParagraphFont"/>
    <w:rsid w:val="0037604E"/>
    <w:rPr>
      <w:color w:val="4D90F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11796">
      <w:bodyDiv w:val="1"/>
      <w:marLeft w:val="0"/>
      <w:marRight w:val="0"/>
      <w:marTop w:val="0"/>
      <w:marBottom w:val="0"/>
      <w:divBdr>
        <w:top w:val="none" w:sz="0" w:space="0" w:color="auto"/>
        <w:left w:val="none" w:sz="0" w:space="0" w:color="auto"/>
        <w:bottom w:val="none" w:sz="0" w:space="0" w:color="auto"/>
        <w:right w:val="none" w:sz="0" w:space="0" w:color="auto"/>
      </w:divBdr>
    </w:div>
    <w:div w:id="63652995">
      <w:bodyDiv w:val="1"/>
      <w:marLeft w:val="0"/>
      <w:marRight w:val="0"/>
      <w:marTop w:val="0"/>
      <w:marBottom w:val="0"/>
      <w:divBdr>
        <w:top w:val="none" w:sz="0" w:space="0" w:color="auto"/>
        <w:left w:val="none" w:sz="0" w:space="0" w:color="auto"/>
        <w:bottom w:val="none" w:sz="0" w:space="0" w:color="auto"/>
        <w:right w:val="none" w:sz="0" w:space="0" w:color="auto"/>
      </w:divBdr>
    </w:div>
    <w:div w:id="110520903">
      <w:bodyDiv w:val="1"/>
      <w:marLeft w:val="0"/>
      <w:marRight w:val="0"/>
      <w:marTop w:val="0"/>
      <w:marBottom w:val="0"/>
      <w:divBdr>
        <w:top w:val="none" w:sz="0" w:space="0" w:color="auto"/>
        <w:left w:val="none" w:sz="0" w:space="0" w:color="auto"/>
        <w:bottom w:val="none" w:sz="0" w:space="0" w:color="auto"/>
        <w:right w:val="none" w:sz="0" w:space="0" w:color="auto"/>
      </w:divBdr>
    </w:div>
    <w:div w:id="112555070">
      <w:bodyDiv w:val="1"/>
      <w:marLeft w:val="0"/>
      <w:marRight w:val="0"/>
      <w:marTop w:val="0"/>
      <w:marBottom w:val="0"/>
      <w:divBdr>
        <w:top w:val="none" w:sz="0" w:space="0" w:color="auto"/>
        <w:left w:val="none" w:sz="0" w:space="0" w:color="auto"/>
        <w:bottom w:val="none" w:sz="0" w:space="0" w:color="auto"/>
        <w:right w:val="none" w:sz="0" w:space="0" w:color="auto"/>
      </w:divBdr>
    </w:div>
    <w:div w:id="132793390">
      <w:bodyDiv w:val="1"/>
      <w:marLeft w:val="0"/>
      <w:marRight w:val="0"/>
      <w:marTop w:val="0"/>
      <w:marBottom w:val="0"/>
      <w:divBdr>
        <w:top w:val="none" w:sz="0" w:space="0" w:color="auto"/>
        <w:left w:val="none" w:sz="0" w:space="0" w:color="auto"/>
        <w:bottom w:val="none" w:sz="0" w:space="0" w:color="auto"/>
        <w:right w:val="none" w:sz="0" w:space="0" w:color="auto"/>
      </w:divBdr>
    </w:div>
    <w:div w:id="146484788">
      <w:bodyDiv w:val="1"/>
      <w:marLeft w:val="0"/>
      <w:marRight w:val="0"/>
      <w:marTop w:val="0"/>
      <w:marBottom w:val="0"/>
      <w:divBdr>
        <w:top w:val="none" w:sz="0" w:space="0" w:color="auto"/>
        <w:left w:val="none" w:sz="0" w:space="0" w:color="auto"/>
        <w:bottom w:val="none" w:sz="0" w:space="0" w:color="auto"/>
        <w:right w:val="none" w:sz="0" w:space="0" w:color="auto"/>
      </w:divBdr>
    </w:div>
    <w:div w:id="152910724">
      <w:bodyDiv w:val="1"/>
      <w:marLeft w:val="0"/>
      <w:marRight w:val="0"/>
      <w:marTop w:val="0"/>
      <w:marBottom w:val="0"/>
      <w:divBdr>
        <w:top w:val="none" w:sz="0" w:space="0" w:color="auto"/>
        <w:left w:val="none" w:sz="0" w:space="0" w:color="auto"/>
        <w:bottom w:val="none" w:sz="0" w:space="0" w:color="auto"/>
        <w:right w:val="none" w:sz="0" w:space="0" w:color="auto"/>
      </w:divBdr>
    </w:div>
    <w:div w:id="157890740">
      <w:bodyDiv w:val="1"/>
      <w:marLeft w:val="0"/>
      <w:marRight w:val="0"/>
      <w:marTop w:val="0"/>
      <w:marBottom w:val="0"/>
      <w:divBdr>
        <w:top w:val="none" w:sz="0" w:space="0" w:color="auto"/>
        <w:left w:val="none" w:sz="0" w:space="0" w:color="auto"/>
        <w:bottom w:val="none" w:sz="0" w:space="0" w:color="auto"/>
        <w:right w:val="none" w:sz="0" w:space="0" w:color="auto"/>
      </w:divBdr>
    </w:div>
    <w:div w:id="195698615">
      <w:bodyDiv w:val="1"/>
      <w:marLeft w:val="0"/>
      <w:marRight w:val="0"/>
      <w:marTop w:val="0"/>
      <w:marBottom w:val="0"/>
      <w:divBdr>
        <w:top w:val="none" w:sz="0" w:space="0" w:color="auto"/>
        <w:left w:val="none" w:sz="0" w:space="0" w:color="auto"/>
        <w:bottom w:val="none" w:sz="0" w:space="0" w:color="auto"/>
        <w:right w:val="none" w:sz="0" w:space="0" w:color="auto"/>
      </w:divBdr>
    </w:div>
    <w:div w:id="234049623">
      <w:bodyDiv w:val="1"/>
      <w:marLeft w:val="0"/>
      <w:marRight w:val="0"/>
      <w:marTop w:val="0"/>
      <w:marBottom w:val="0"/>
      <w:divBdr>
        <w:top w:val="none" w:sz="0" w:space="0" w:color="auto"/>
        <w:left w:val="none" w:sz="0" w:space="0" w:color="auto"/>
        <w:bottom w:val="none" w:sz="0" w:space="0" w:color="auto"/>
        <w:right w:val="none" w:sz="0" w:space="0" w:color="auto"/>
      </w:divBdr>
    </w:div>
    <w:div w:id="321810340">
      <w:bodyDiv w:val="1"/>
      <w:marLeft w:val="0"/>
      <w:marRight w:val="0"/>
      <w:marTop w:val="0"/>
      <w:marBottom w:val="0"/>
      <w:divBdr>
        <w:top w:val="none" w:sz="0" w:space="0" w:color="auto"/>
        <w:left w:val="none" w:sz="0" w:space="0" w:color="auto"/>
        <w:bottom w:val="none" w:sz="0" w:space="0" w:color="auto"/>
        <w:right w:val="none" w:sz="0" w:space="0" w:color="auto"/>
      </w:divBdr>
    </w:div>
    <w:div w:id="483355867">
      <w:bodyDiv w:val="1"/>
      <w:marLeft w:val="0"/>
      <w:marRight w:val="0"/>
      <w:marTop w:val="0"/>
      <w:marBottom w:val="0"/>
      <w:divBdr>
        <w:top w:val="none" w:sz="0" w:space="0" w:color="auto"/>
        <w:left w:val="none" w:sz="0" w:space="0" w:color="auto"/>
        <w:bottom w:val="none" w:sz="0" w:space="0" w:color="auto"/>
        <w:right w:val="none" w:sz="0" w:space="0" w:color="auto"/>
      </w:divBdr>
    </w:div>
    <w:div w:id="489903587">
      <w:bodyDiv w:val="1"/>
      <w:marLeft w:val="0"/>
      <w:marRight w:val="0"/>
      <w:marTop w:val="0"/>
      <w:marBottom w:val="0"/>
      <w:divBdr>
        <w:top w:val="none" w:sz="0" w:space="0" w:color="auto"/>
        <w:left w:val="none" w:sz="0" w:space="0" w:color="auto"/>
        <w:bottom w:val="none" w:sz="0" w:space="0" w:color="auto"/>
        <w:right w:val="none" w:sz="0" w:space="0" w:color="auto"/>
      </w:divBdr>
    </w:div>
    <w:div w:id="584455158">
      <w:bodyDiv w:val="1"/>
      <w:marLeft w:val="0"/>
      <w:marRight w:val="0"/>
      <w:marTop w:val="0"/>
      <w:marBottom w:val="0"/>
      <w:divBdr>
        <w:top w:val="none" w:sz="0" w:space="0" w:color="auto"/>
        <w:left w:val="none" w:sz="0" w:space="0" w:color="auto"/>
        <w:bottom w:val="none" w:sz="0" w:space="0" w:color="auto"/>
        <w:right w:val="none" w:sz="0" w:space="0" w:color="auto"/>
      </w:divBdr>
    </w:div>
    <w:div w:id="684290146">
      <w:bodyDiv w:val="1"/>
      <w:marLeft w:val="0"/>
      <w:marRight w:val="0"/>
      <w:marTop w:val="0"/>
      <w:marBottom w:val="0"/>
      <w:divBdr>
        <w:top w:val="none" w:sz="0" w:space="0" w:color="auto"/>
        <w:left w:val="none" w:sz="0" w:space="0" w:color="auto"/>
        <w:bottom w:val="none" w:sz="0" w:space="0" w:color="auto"/>
        <w:right w:val="none" w:sz="0" w:space="0" w:color="auto"/>
      </w:divBdr>
    </w:div>
    <w:div w:id="739324129">
      <w:bodyDiv w:val="1"/>
      <w:marLeft w:val="0"/>
      <w:marRight w:val="0"/>
      <w:marTop w:val="0"/>
      <w:marBottom w:val="0"/>
      <w:divBdr>
        <w:top w:val="none" w:sz="0" w:space="0" w:color="auto"/>
        <w:left w:val="none" w:sz="0" w:space="0" w:color="auto"/>
        <w:bottom w:val="none" w:sz="0" w:space="0" w:color="auto"/>
        <w:right w:val="none" w:sz="0" w:space="0" w:color="auto"/>
      </w:divBdr>
      <w:divsChild>
        <w:div w:id="1880895039">
          <w:marLeft w:val="0"/>
          <w:marRight w:val="0"/>
          <w:marTop w:val="0"/>
          <w:marBottom w:val="0"/>
          <w:divBdr>
            <w:top w:val="none" w:sz="0" w:space="0" w:color="auto"/>
            <w:left w:val="none" w:sz="0" w:space="0" w:color="auto"/>
            <w:bottom w:val="none" w:sz="0" w:space="0" w:color="auto"/>
            <w:right w:val="none" w:sz="0" w:space="0" w:color="auto"/>
          </w:divBdr>
          <w:divsChild>
            <w:div w:id="1516724951">
              <w:marLeft w:val="0"/>
              <w:marRight w:val="0"/>
              <w:marTop w:val="0"/>
              <w:marBottom w:val="0"/>
              <w:divBdr>
                <w:top w:val="none" w:sz="0" w:space="0" w:color="auto"/>
                <w:left w:val="none" w:sz="0" w:space="0" w:color="auto"/>
                <w:bottom w:val="none" w:sz="0" w:space="0" w:color="auto"/>
                <w:right w:val="none" w:sz="0" w:space="0" w:color="auto"/>
              </w:divBdr>
              <w:divsChild>
                <w:div w:id="187064366">
                  <w:marLeft w:val="0"/>
                  <w:marRight w:val="0"/>
                  <w:marTop w:val="0"/>
                  <w:marBottom w:val="0"/>
                  <w:divBdr>
                    <w:top w:val="none" w:sz="0" w:space="0" w:color="auto"/>
                    <w:left w:val="none" w:sz="0" w:space="0" w:color="auto"/>
                    <w:bottom w:val="none" w:sz="0" w:space="0" w:color="auto"/>
                    <w:right w:val="none" w:sz="0" w:space="0" w:color="auto"/>
                  </w:divBdr>
                  <w:divsChild>
                    <w:div w:id="1420714808">
                      <w:marLeft w:val="0"/>
                      <w:marRight w:val="0"/>
                      <w:marTop w:val="0"/>
                      <w:marBottom w:val="0"/>
                      <w:divBdr>
                        <w:top w:val="none" w:sz="0" w:space="0" w:color="auto"/>
                        <w:left w:val="none" w:sz="0" w:space="0" w:color="auto"/>
                        <w:bottom w:val="none" w:sz="0" w:space="0" w:color="auto"/>
                        <w:right w:val="none" w:sz="0" w:space="0" w:color="auto"/>
                      </w:divBdr>
                      <w:divsChild>
                        <w:div w:id="886113472">
                          <w:marLeft w:val="0"/>
                          <w:marRight w:val="0"/>
                          <w:marTop w:val="0"/>
                          <w:marBottom w:val="0"/>
                          <w:divBdr>
                            <w:top w:val="none" w:sz="0" w:space="0" w:color="auto"/>
                            <w:left w:val="none" w:sz="0" w:space="0" w:color="auto"/>
                            <w:bottom w:val="none" w:sz="0" w:space="0" w:color="auto"/>
                            <w:right w:val="none" w:sz="0" w:space="0" w:color="auto"/>
                          </w:divBdr>
                          <w:divsChild>
                            <w:div w:id="582032087">
                              <w:marLeft w:val="0"/>
                              <w:marRight w:val="0"/>
                              <w:marTop w:val="0"/>
                              <w:marBottom w:val="0"/>
                              <w:divBdr>
                                <w:top w:val="none" w:sz="0" w:space="0" w:color="auto"/>
                                <w:left w:val="none" w:sz="0" w:space="0" w:color="auto"/>
                                <w:bottom w:val="none" w:sz="0" w:space="0" w:color="auto"/>
                                <w:right w:val="none" w:sz="0" w:space="0" w:color="auto"/>
                              </w:divBdr>
                              <w:divsChild>
                                <w:div w:id="1297225490">
                                  <w:marLeft w:val="0"/>
                                  <w:marRight w:val="0"/>
                                  <w:marTop w:val="0"/>
                                  <w:marBottom w:val="0"/>
                                  <w:divBdr>
                                    <w:top w:val="none" w:sz="0" w:space="0" w:color="auto"/>
                                    <w:left w:val="none" w:sz="0" w:space="0" w:color="auto"/>
                                    <w:bottom w:val="none" w:sz="0" w:space="0" w:color="auto"/>
                                    <w:right w:val="none" w:sz="0" w:space="0" w:color="auto"/>
                                  </w:divBdr>
                                  <w:divsChild>
                                    <w:div w:id="1731075703">
                                      <w:marLeft w:val="60"/>
                                      <w:marRight w:val="0"/>
                                      <w:marTop w:val="0"/>
                                      <w:marBottom w:val="0"/>
                                      <w:divBdr>
                                        <w:top w:val="none" w:sz="0" w:space="0" w:color="auto"/>
                                        <w:left w:val="none" w:sz="0" w:space="0" w:color="auto"/>
                                        <w:bottom w:val="none" w:sz="0" w:space="0" w:color="auto"/>
                                        <w:right w:val="none" w:sz="0" w:space="0" w:color="auto"/>
                                      </w:divBdr>
                                      <w:divsChild>
                                        <w:div w:id="1057558622">
                                          <w:marLeft w:val="0"/>
                                          <w:marRight w:val="0"/>
                                          <w:marTop w:val="0"/>
                                          <w:marBottom w:val="0"/>
                                          <w:divBdr>
                                            <w:top w:val="none" w:sz="0" w:space="0" w:color="auto"/>
                                            <w:left w:val="none" w:sz="0" w:space="0" w:color="auto"/>
                                            <w:bottom w:val="none" w:sz="0" w:space="0" w:color="auto"/>
                                            <w:right w:val="none" w:sz="0" w:space="0" w:color="auto"/>
                                          </w:divBdr>
                                          <w:divsChild>
                                            <w:div w:id="589197682">
                                              <w:marLeft w:val="0"/>
                                              <w:marRight w:val="0"/>
                                              <w:marTop w:val="0"/>
                                              <w:marBottom w:val="120"/>
                                              <w:divBdr>
                                                <w:top w:val="single" w:sz="6" w:space="0" w:color="F5F5F5"/>
                                                <w:left w:val="single" w:sz="6" w:space="0" w:color="F5F5F5"/>
                                                <w:bottom w:val="single" w:sz="6" w:space="0" w:color="F5F5F5"/>
                                                <w:right w:val="single" w:sz="6" w:space="0" w:color="F5F5F5"/>
                                              </w:divBdr>
                                              <w:divsChild>
                                                <w:div w:id="383330371">
                                                  <w:marLeft w:val="0"/>
                                                  <w:marRight w:val="0"/>
                                                  <w:marTop w:val="0"/>
                                                  <w:marBottom w:val="0"/>
                                                  <w:divBdr>
                                                    <w:top w:val="none" w:sz="0" w:space="0" w:color="auto"/>
                                                    <w:left w:val="none" w:sz="0" w:space="0" w:color="auto"/>
                                                    <w:bottom w:val="none" w:sz="0" w:space="0" w:color="auto"/>
                                                    <w:right w:val="none" w:sz="0" w:space="0" w:color="auto"/>
                                                  </w:divBdr>
                                                  <w:divsChild>
                                                    <w:div w:id="1994408174">
                                                      <w:marLeft w:val="0"/>
                                                      <w:marRight w:val="0"/>
                                                      <w:marTop w:val="0"/>
                                                      <w:marBottom w:val="0"/>
                                                      <w:divBdr>
                                                        <w:top w:val="none" w:sz="0" w:space="0" w:color="auto"/>
                                                        <w:left w:val="none" w:sz="0" w:space="0" w:color="auto"/>
                                                        <w:bottom w:val="none" w:sz="0" w:space="0" w:color="auto"/>
                                                        <w:right w:val="none" w:sz="0" w:space="0" w:color="auto"/>
                                                      </w:divBdr>
                                                    </w:div>
                                                  </w:divsChild>
                                                </w:div>
                                                <w:div w:id="1701735472">
                                                  <w:marLeft w:val="0"/>
                                                  <w:marRight w:val="0"/>
                                                  <w:marTop w:val="0"/>
                                                  <w:marBottom w:val="0"/>
                                                  <w:divBdr>
                                                    <w:top w:val="none" w:sz="0" w:space="0" w:color="auto"/>
                                                    <w:left w:val="none" w:sz="0" w:space="0" w:color="auto"/>
                                                    <w:bottom w:val="none" w:sz="0" w:space="0" w:color="auto"/>
                                                    <w:right w:val="none" w:sz="0" w:space="0" w:color="auto"/>
                                                  </w:divBdr>
                                                  <w:divsChild>
                                                    <w:div w:id="71559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3887825">
      <w:bodyDiv w:val="1"/>
      <w:marLeft w:val="0"/>
      <w:marRight w:val="0"/>
      <w:marTop w:val="0"/>
      <w:marBottom w:val="0"/>
      <w:divBdr>
        <w:top w:val="none" w:sz="0" w:space="0" w:color="auto"/>
        <w:left w:val="none" w:sz="0" w:space="0" w:color="auto"/>
        <w:bottom w:val="none" w:sz="0" w:space="0" w:color="auto"/>
        <w:right w:val="none" w:sz="0" w:space="0" w:color="auto"/>
      </w:divBdr>
    </w:div>
    <w:div w:id="778718444">
      <w:bodyDiv w:val="1"/>
      <w:marLeft w:val="0"/>
      <w:marRight w:val="0"/>
      <w:marTop w:val="0"/>
      <w:marBottom w:val="0"/>
      <w:divBdr>
        <w:top w:val="none" w:sz="0" w:space="0" w:color="auto"/>
        <w:left w:val="none" w:sz="0" w:space="0" w:color="auto"/>
        <w:bottom w:val="none" w:sz="0" w:space="0" w:color="auto"/>
        <w:right w:val="none" w:sz="0" w:space="0" w:color="auto"/>
      </w:divBdr>
    </w:div>
    <w:div w:id="837380680">
      <w:bodyDiv w:val="1"/>
      <w:marLeft w:val="0"/>
      <w:marRight w:val="0"/>
      <w:marTop w:val="0"/>
      <w:marBottom w:val="0"/>
      <w:divBdr>
        <w:top w:val="none" w:sz="0" w:space="0" w:color="auto"/>
        <w:left w:val="none" w:sz="0" w:space="0" w:color="auto"/>
        <w:bottom w:val="none" w:sz="0" w:space="0" w:color="auto"/>
        <w:right w:val="none" w:sz="0" w:space="0" w:color="auto"/>
      </w:divBdr>
    </w:div>
    <w:div w:id="915896577">
      <w:bodyDiv w:val="1"/>
      <w:marLeft w:val="0"/>
      <w:marRight w:val="0"/>
      <w:marTop w:val="0"/>
      <w:marBottom w:val="0"/>
      <w:divBdr>
        <w:top w:val="none" w:sz="0" w:space="0" w:color="auto"/>
        <w:left w:val="none" w:sz="0" w:space="0" w:color="auto"/>
        <w:bottom w:val="none" w:sz="0" w:space="0" w:color="auto"/>
        <w:right w:val="none" w:sz="0" w:space="0" w:color="auto"/>
      </w:divBdr>
      <w:divsChild>
        <w:div w:id="1031298253">
          <w:marLeft w:val="0"/>
          <w:marRight w:val="0"/>
          <w:marTop w:val="0"/>
          <w:marBottom w:val="0"/>
          <w:divBdr>
            <w:top w:val="none" w:sz="0" w:space="0" w:color="auto"/>
            <w:left w:val="none" w:sz="0" w:space="0" w:color="auto"/>
            <w:bottom w:val="none" w:sz="0" w:space="0" w:color="auto"/>
            <w:right w:val="none" w:sz="0" w:space="0" w:color="auto"/>
          </w:divBdr>
          <w:divsChild>
            <w:div w:id="1958875772">
              <w:marLeft w:val="0"/>
              <w:marRight w:val="0"/>
              <w:marTop w:val="0"/>
              <w:marBottom w:val="0"/>
              <w:divBdr>
                <w:top w:val="none" w:sz="0" w:space="0" w:color="auto"/>
                <w:left w:val="none" w:sz="0" w:space="0" w:color="auto"/>
                <w:bottom w:val="none" w:sz="0" w:space="0" w:color="auto"/>
                <w:right w:val="none" w:sz="0" w:space="0" w:color="auto"/>
              </w:divBdr>
              <w:divsChild>
                <w:div w:id="1870335347">
                  <w:marLeft w:val="0"/>
                  <w:marRight w:val="0"/>
                  <w:marTop w:val="0"/>
                  <w:marBottom w:val="0"/>
                  <w:divBdr>
                    <w:top w:val="none" w:sz="0" w:space="0" w:color="auto"/>
                    <w:left w:val="none" w:sz="0" w:space="0" w:color="auto"/>
                    <w:bottom w:val="none" w:sz="0" w:space="0" w:color="auto"/>
                    <w:right w:val="none" w:sz="0" w:space="0" w:color="auto"/>
                  </w:divBdr>
                  <w:divsChild>
                    <w:div w:id="1543442863">
                      <w:marLeft w:val="0"/>
                      <w:marRight w:val="0"/>
                      <w:marTop w:val="0"/>
                      <w:marBottom w:val="0"/>
                      <w:divBdr>
                        <w:top w:val="none" w:sz="0" w:space="0" w:color="auto"/>
                        <w:left w:val="none" w:sz="0" w:space="0" w:color="auto"/>
                        <w:bottom w:val="none" w:sz="0" w:space="0" w:color="auto"/>
                        <w:right w:val="none" w:sz="0" w:space="0" w:color="auto"/>
                      </w:divBdr>
                      <w:divsChild>
                        <w:div w:id="822509336">
                          <w:marLeft w:val="0"/>
                          <w:marRight w:val="0"/>
                          <w:marTop w:val="0"/>
                          <w:marBottom w:val="0"/>
                          <w:divBdr>
                            <w:top w:val="none" w:sz="0" w:space="0" w:color="auto"/>
                            <w:left w:val="none" w:sz="0" w:space="0" w:color="auto"/>
                            <w:bottom w:val="none" w:sz="0" w:space="0" w:color="auto"/>
                            <w:right w:val="none" w:sz="0" w:space="0" w:color="auto"/>
                          </w:divBdr>
                          <w:divsChild>
                            <w:div w:id="1432240497">
                              <w:marLeft w:val="0"/>
                              <w:marRight w:val="0"/>
                              <w:marTop w:val="0"/>
                              <w:marBottom w:val="0"/>
                              <w:divBdr>
                                <w:top w:val="none" w:sz="0" w:space="0" w:color="auto"/>
                                <w:left w:val="none" w:sz="0" w:space="0" w:color="auto"/>
                                <w:bottom w:val="none" w:sz="0" w:space="0" w:color="auto"/>
                                <w:right w:val="none" w:sz="0" w:space="0" w:color="auto"/>
                              </w:divBdr>
                              <w:divsChild>
                                <w:div w:id="146866355">
                                  <w:marLeft w:val="0"/>
                                  <w:marRight w:val="0"/>
                                  <w:marTop w:val="0"/>
                                  <w:marBottom w:val="0"/>
                                  <w:divBdr>
                                    <w:top w:val="none" w:sz="0" w:space="0" w:color="auto"/>
                                    <w:left w:val="none" w:sz="0" w:space="0" w:color="auto"/>
                                    <w:bottom w:val="none" w:sz="0" w:space="0" w:color="auto"/>
                                    <w:right w:val="none" w:sz="0" w:space="0" w:color="auto"/>
                                  </w:divBdr>
                                  <w:divsChild>
                                    <w:div w:id="285939544">
                                      <w:marLeft w:val="60"/>
                                      <w:marRight w:val="0"/>
                                      <w:marTop w:val="0"/>
                                      <w:marBottom w:val="0"/>
                                      <w:divBdr>
                                        <w:top w:val="none" w:sz="0" w:space="0" w:color="auto"/>
                                        <w:left w:val="none" w:sz="0" w:space="0" w:color="auto"/>
                                        <w:bottom w:val="none" w:sz="0" w:space="0" w:color="auto"/>
                                        <w:right w:val="none" w:sz="0" w:space="0" w:color="auto"/>
                                      </w:divBdr>
                                      <w:divsChild>
                                        <w:div w:id="1623730723">
                                          <w:marLeft w:val="0"/>
                                          <w:marRight w:val="0"/>
                                          <w:marTop w:val="0"/>
                                          <w:marBottom w:val="0"/>
                                          <w:divBdr>
                                            <w:top w:val="none" w:sz="0" w:space="0" w:color="auto"/>
                                            <w:left w:val="none" w:sz="0" w:space="0" w:color="auto"/>
                                            <w:bottom w:val="none" w:sz="0" w:space="0" w:color="auto"/>
                                            <w:right w:val="none" w:sz="0" w:space="0" w:color="auto"/>
                                          </w:divBdr>
                                          <w:divsChild>
                                            <w:div w:id="149060025">
                                              <w:marLeft w:val="0"/>
                                              <w:marRight w:val="0"/>
                                              <w:marTop w:val="0"/>
                                              <w:marBottom w:val="120"/>
                                              <w:divBdr>
                                                <w:top w:val="single" w:sz="6" w:space="0" w:color="F5F5F5"/>
                                                <w:left w:val="single" w:sz="6" w:space="0" w:color="F5F5F5"/>
                                                <w:bottom w:val="single" w:sz="6" w:space="0" w:color="F5F5F5"/>
                                                <w:right w:val="single" w:sz="6" w:space="0" w:color="F5F5F5"/>
                                              </w:divBdr>
                                              <w:divsChild>
                                                <w:div w:id="58678972">
                                                  <w:marLeft w:val="0"/>
                                                  <w:marRight w:val="0"/>
                                                  <w:marTop w:val="0"/>
                                                  <w:marBottom w:val="0"/>
                                                  <w:divBdr>
                                                    <w:top w:val="none" w:sz="0" w:space="0" w:color="auto"/>
                                                    <w:left w:val="none" w:sz="0" w:space="0" w:color="auto"/>
                                                    <w:bottom w:val="none" w:sz="0" w:space="0" w:color="auto"/>
                                                    <w:right w:val="none" w:sz="0" w:space="0" w:color="auto"/>
                                                  </w:divBdr>
                                                  <w:divsChild>
                                                    <w:div w:id="1453665740">
                                                      <w:marLeft w:val="0"/>
                                                      <w:marRight w:val="0"/>
                                                      <w:marTop w:val="0"/>
                                                      <w:marBottom w:val="0"/>
                                                      <w:divBdr>
                                                        <w:top w:val="none" w:sz="0" w:space="0" w:color="auto"/>
                                                        <w:left w:val="none" w:sz="0" w:space="0" w:color="auto"/>
                                                        <w:bottom w:val="none" w:sz="0" w:space="0" w:color="auto"/>
                                                        <w:right w:val="none" w:sz="0" w:space="0" w:color="auto"/>
                                                      </w:divBdr>
                                                    </w:div>
                                                  </w:divsChild>
                                                </w:div>
                                                <w:div w:id="1971932522">
                                                  <w:marLeft w:val="0"/>
                                                  <w:marRight w:val="0"/>
                                                  <w:marTop w:val="0"/>
                                                  <w:marBottom w:val="0"/>
                                                  <w:divBdr>
                                                    <w:top w:val="none" w:sz="0" w:space="0" w:color="auto"/>
                                                    <w:left w:val="none" w:sz="0" w:space="0" w:color="auto"/>
                                                    <w:bottom w:val="none" w:sz="0" w:space="0" w:color="auto"/>
                                                    <w:right w:val="none" w:sz="0" w:space="0" w:color="auto"/>
                                                  </w:divBdr>
                                                  <w:divsChild>
                                                    <w:div w:id="15191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3916558">
      <w:bodyDiv w:val="1"/>
      <w:marLeft w:val="0"/>
      <w:marRight w:val="0"/>
      <w:marTop w:val="0"/>
      <w:marBottom w:val="0"/>
      <w:divBdr>
        <w:top w:val="none" w:sz="0" w:space="0" w:color="auto"/>
        <w:left w:val="none" w:sz="0" w:space="0" w:color="auto"/>
        <w:bottom w:val="none" w:sz="0" w:space="0" w:color="auto"/>
        <w:right w:val="none" w:sz="0" w:space="0" w:color="auto"/>
      </w:divBdr>
    </w:div>
    <w:div w:id="1086416682">
      <w:bodyDiv w:val="1"/>
      <w:marLeft w:val="0"/>
      <w:marRight w:val="0"/>
      <w:marTop w:val="0"/>
      <w:marBottom w:val="0"/>
      <w:divBdr>
        <w:top w:val="none" w:sz="0" w:space="0" w:color="auto"/>
        <w:left w:val="none" w:sz="0" w:space="0" w:color="auto"/>
        <w:bottom w:val="none" w:sz="0" w:space="0" w:color="auto"/>
        <w:right w:val="none" w:sz="0" w:space="0" w:color="auto"/>
      </w:divBdr>
    </w:div>
    <w:div w:id="1127704518">
      <w:bodyDiv w:val="1"/>
      <w:marLeft w:val="0"/>
      <w:marRight w:val="0"/>
      <w:marTop w:val="0"/>
      <w:marBottom w:val="0"/>
      <w:divBdr>
        <w:top w:val="none" w:sz="0" w:space="0" w:color="auto"/>
        <w:left w:val="none" w:sz="0" w:space="0" w:color="auto"/>
        <w:bottom w:val="none" w:sz="0" w:space="0" w:color="auto"/>
        <w:right w:val="none" w:sz="0" w:space="0" w:color="auto"/>
      </w:divBdr>
    </w:div>
    <w:div w:id="1154686411">
      <w:bodyDiv w:val="1"/>
      <w:marLeft w:val="0"/>
      <w:marRight w:val="0"/>
      <w:marTop w:val="0"/>
      <w:marBottom w:val="0"/>
      <w:divBdr>
        <w:top w:val="none" w:sz="0" w:space="0" w:color="auto"/>
        <w:left w:val="none" w:sz="0" w:space="0" w:color="auto"/>
        <w:bottom w:val="none" w:sz="0" w:space="0" w:color="auto"/>
        <w:right w:val="none" w:sz="0" w:space="0" w:color="auto"/>
      </w:divBdr>
    </w:div>
    <w:div w:id="1183325144">
      <w:bodyDiv w:val="1"/>
      <w:marLeft w:val="0"/>
      <w:marRight w:val="0"/>
      <w:marTop w:val="0"/>
      <w:marBottom w:val="0"/>
      <w:divBdr>
        <w:top w:val="none" w:sz="0" w:space="0" w:color="auto"/>
        <w:left w:val="none" w:sz="0" w:space="0" w:color="auto"/>
        <w:bottom w:val="none" w:sz="0" w:space="0" w:color="auto"/>
        <w:right w:val="none" w:sz="0" w:space="0" w:color="auto"/>
      </w:divBdr>
    </w:div>
    <w:div w:id="1202014059">
      <w:bodyDiv w:val="1"/>
      <w:marLeft w:val="0"/>
      <w:marRight w:val="0"/>
      <w:marTop w:val="0"/>
      <w:marBottom w:val="0"/>
      <w:divBdr>
        <w:top w:val="none" w:sz="0" w:space="0" w:color="auto"/>
        <w:left w:val="none" w:sz="0" w:space="0" w:color="auto"/>
        <w:bottom w:val="none" w:sz="0" w:space="0" w:color="auto"/>
        <w:right w:val="none" w:sz="0" w:space="0" w:color="auto"/>
      </w:divBdr>
    </w:div>
    <w:div w:id="1213493931">
      <w:bodyDiv w:val="1"/>
      <w:marLeft w:val="0"/>
      <w:marRight w:val="0"/>
      <w:marTop w:val="0"/>
      <w:marBottom w:val="0"/>
      <w:divBdr>
        <w:top w:val="none" w:sz="0" w:space="0" w:color="auto"/>
        <w:left w:val="none" w:sz="0" w:space="0" w:color="auto"/>
        <w:bottom w:val="none" w:sz="0" w:space="0" w:color="auto"/>
        <w:right w:val="none" w:sz="0" w:space="0" w:color="auto"/>
      </w:divBdr>
    </w:div>
    <w:div w:id="1232154224">
      <w:bodyDiv w:val="1"/>
      <w:marLeft w:val="0"/>
      <w:marRight w:val="0"/>
      <w:marTop w:val="0"/>
      <w:marBottom w:val="0"/>
      <w:divBdr>
        <w:top w:val="none" w:sz="0" w:space="0" w:color="auto"/>
        <w:left w:val="none" w:sz="0" w:space="0" w:color="auto"/>
        <w:bottom w:val="none" w:sz="0" w:space="0" w:color="auto"/>
        <w:right w:val="none" w:sz="0" w:space="0" w:color="auto"/>
      </w:divBdr>
    </w:div>
    <w:div w:id="1236821947">
      <w:bodyDiv w:val="1"/>
      <w:marLeft w:val="0"/>
      <w:marRight w:val="0"/>
      <w:marTop w:val="0"/>
      <w:marBottom w:val="0"/>
      <w:divBdr>
        <w:top w:val="none" w:sz="0" w:space="0" w:color="auto"/>
        <w:left w:val="none" w:sz="0" w:space="0" w:color="auto"/>
        <w:bottom w:val="none" w:sz="0" w:space="0" w:color="auto"/>
        <w:right w:val="none" w:sz="0" w:space="0" w:color="auto"/>
      </w:divBdr>
    </w:div>
    <w:div w:id="1325813548">
      <w:bodyDiv w:val="1"/>
      <w:marLeft w:val="0"/>
      <w:marRight w:val="0"/>
      <w:marTop w:val="0"/>
      <w:marBottom w:val="0"/>
      <w:divBdr>
        <w:top w:val="none" w:sz="0" w:space="0" w:color="auto"/>
        <w:left w:val="none" w:sz="0" w:space="0" w:color="auto"/>
        <w:bottom w:val="none" w:sz="0" w:space="0" w:color="auto"/>
        <w:right w:val="none" w:sz="0" w:space="0" w:color="auto"/>
      </w:divBdr>
    </w:div>
    <w:div w:id="1347714815">
      <w:bodyDiv w:val="1"/>
      <w:marLeft w:val="0"/>
      <w:marRight w:val="0"/>
      <w:marTop w:val="0"/>
      <w:marBottom w:val="0"/>
      <w:divBdr>
        <w:top w:val="none" w:sz="0" w:space="0" w:color="auto"/>
        <w:left w:val="none" w:sz="0" w:space="0" w:color="auto"/>
        <w:bottom w:val="none" w:sz="0" w:space="0" w:color="auto"/>
        <w:right w:val="none" w:sz="0" w:space="0" w:color="auto"/>
      </w:divBdr>
    </w:div>
    <w:div w:id="1378703535">
      <w:bodyDiv w:val="1"/>
      <w:marLeft w:val="0"/>
      <w:marRight w:val="0"/>
      <w:marTop w:val="0"/>
      <w:marBottom w:val="0"/>
      <w:divBdr>
        <w:top w:val="none" w:sz="0" w:space="0" w:color="auto"/>
        <w:left w:val="none" w:sz="0" w:space="0" w:color="auto"/>
        <w:bottom w:val="none" w:sz="0" w:space="0" w:color="auto"/>
        <w:right w:val="none" w:sz="0" w:space="0" w:color="auto"/>
      </w:divBdr>
    </w:div>
    <w:div w:id="1385106002">
      <w:bodyDiv w:val="1"/>
      <w:marLeft w:val="0"/>
      <w:marRight w:val="0"/>
      <w:marTop w:val="0"/>
      <w:marBottom w:val="0"/>
      <w:divBdr>
        <w:top w:val="none" w:sz="0" w:space="0" w:color="auto"/>
        <w:left w:val="none" w:sz="0" w:space="0" w:color="auto"/>
        <w:bottom w:val="none" w:sz="0" w:space="0" w:color="auto"/>
        <w:right w:val="none" w:sz="0" w:space="0" w:color="auto"/>
      </w:divBdr>
    </w:div>
    <w:div w:id="1401441005">
      <w:bodyDiv w:val="1"/>
      <w:marLeft w:val="0"/>
      <w:marRight w:val="0"/>
      <w:marTop w:val="0"/>
      <w:marBottom w:val="0"/>
      <w:divBdr>
        <w:top w:val="none" w:sz="0" w:space="0" w:color="auto"/>
        <w:left w:val="none" w:sz="0" w:space="0" w:color="auto"/>
        <w:bottom w:val="none" w:sz="0" w:space="0" w:color="auto"/>
        <w:right w:val="none" w:sz="0" w:space="0" w:color="auto"/>
      </w:divBdr>
    </w:div>
    <w:div w:id="1405030771">
      <w:bodyDiv w:val="1"/>
      <w:marLeft w:val="0"/>
      <w:marRight w:val="0"/>
      <w:marTop w:val="0"/>
      <w:marBottom w:val="0"/>
      <w:divBdr>
        <w:top w:val="none" w:sz="0" w:space="0" w:color="auto"/>
        <w:left w:val="none" w:sz="0" w:space="0" w:color="auto"/>
        <w:bottom w:val="none" w:sz="0" w:space="0" w:color="auto"/>
        <w:right w:val="none" w:sz="0" w:space="0" w:color="auto"/>
      </w:divBdr>
    </w:div>
    <w:div w:id="1480343065">
      <w:bodyDiv w:val="1"/>
      <w:marLeft w:val="0"/>
      <w:marRight w:val="0"/>
      <w:marTop w:val="0"/>
      <w:marBottom w:val="0"/>
      <w:divBdr>
        <w:top w:val="none" w:sz="0" w:space="0" w:color="auto"/>
        <w:left w:val="none" w:sz="0" w:space="0" w:color="auto"/>
        <w:bottom w:val="none" w:sz="0" w:space="0" w:color="auto"/>
        <w:right w:val="none" w:sz="0" w:space="0" w:color="auto"/>
      </w:divBdr>
    </w:div>
    <w:div w:id="1564949318">
      <w:bodyDiv w:val="1"/>
      <w:marLeft w:val="0"/>
      <w:marRight w:val="0"/>
      <w:marTop w:val="0"/>
      <w:marBottom w:val="0"/>
      <w:divBdr>
        <w:top w:val="none" w:sz="0" w:space="0" w:color="auto"/>
        <w:left w:val="none" w:sz="0" w:space="0" w:color="auto"/>
        <w:bottom w:val="none" w:sz="0" w:space="0" w:color="auto"/>
        <w:right w:val="none" w:sz="0" w:space="0" w:color="auto"/>
      </w:divBdr>
    </w:div>
    <w:div w:id="1638145415">
      <w:bodyDiv w:val="1"/>
      <w:marLeft w:val="0"/>
      <w:marRight w:val="0"/>
      <w:marTop w:val="0"/>
      <w:marBottom w:val="0"/>
      <w:divBdr>
        <w:top w:val="none" w:sz="0" w:space="0" w:color="auto"/>
        <w:left w:val="none" w:sz="0" w:space="0" w:color="auto"/>
        <w:bottom w:val="none" w:sz="0" w:space="0" w:color="auto"/>
        <w:right w:val="none" w:sz="0" w:space="0" w:color="auto"/>
      </w:divBdr>
    </w:div>
    <w:div w:id="1648320718">
      <w:bodyDiv w:val="1"/>
      <w:marLeft w:val="0"/>
      <w:marRight w:val="0"/>
      <w:marTop w:val="0"/>
      <w:marBottom w:val="0"/>
      <w:divBdr>
        <w:top w:val="none" w:sz="0" w:space="0" w:color="auto"/>
        <w:left w:val="none" w:sz="0" w:space="0" w:color="auto"/>
        <w:bottom w:val="none" w:sz="0" w:space="0" w:color="auto"/>
        <w:right w:val="none" w:sz="0" w:space="0" w:color="auto"/>
      </w:divBdr>
    </w:div>
    <w:div w:id="1771700646">
      <w:bodyDiv w:val="1"/>
      <w:marLeft w:val="0"/>
      <w:marRight w:val="0"/>
      <w:marTop w:val="0"/>
      <w:marBottom w:val="0"/>
      <w:divBdr>
        <w:top w:val="none" w:sz="0" w:space="0" w:color="auto"/>
        <w:left w:val="none" w:sz="0" w:space="0" w:color="auto"/>
        <w:bottom w:val="none" w:sz="0" w:space="0" w:color="auto"/>
        <w:right w:val="none" w:sz="0" w:space="0" w:color="auto"/>
      </w:divBdr>
    </w:div>
    <w:div w:id="1772814457">
      <w:bodyDiv w:val="1"/>
      <w:marLeft w:val="0"/>
      <w:marRight w:val="0"/>
      <w:marTop w:val="0"/>
      <w:marBottom w:val="0"/>
      <w:divBdr>
        <w:top w:val="none" w:sz="0" w:space="0" w:color="auto"/>
        <w:left w:val="none" w:sz="0" w:space="0" w:color="auto"/>
        <w:bottom w:val="none" w:sz="0" w:space="0" w:color="auto"/>
        <w:right w:val="none" w:sz="0" w:space="0" w:color="auto"/>
      </w:divBdr>
    </w:div>
    <w:div w:id="1817264299">
      <w:bodyDiv w:val="1"/>
      <w:marLeft w:val="0"/>
      <w:marRight w:val="0"/>
      <w:marTop w:val="0"/>
      <w:marBottom w:val="0"/>
      <w:divBdr>
        <w:top w:val="none" w:sz="0" w:space="0" w:color="auto"/>
        <w:left w:val="none" w:sz="0" w:space="0" w:color="auto"/>
        <w:bottom w:val="none" w:sz="0" w:space="0" w:color="auto"/>
        <w:right w:val="none" w:sz="0" w:space="0" w:color="auto"/>
      </w:divBdr>
      <w:divsChild>
        <w:div w:id="1824081627">
          <w:marLeft w:val="0"/>
          <w:marRight w:val="0"/>
          <w:marTop w:val="0"/>
          <w:marBottom w:val="0"/>
          <w:divBdr>
            <w:top w:val="none" w:sz="0" w:space="0" w:color="auto"/>
            <w:left w:val="none" w:sz="0" w:space="0" w:color="auto"/>
            <w:bottom w:val="none" w:sz="0" w:space="0" w:color="auto"/>
            <w:right w:val="none" w:sz="0" w:space="0" w:color="auto"/>
          </w:divBdr>
          <w:divsChild>
            <w:div w:id="106319273">
              <w:marLeft w:val="0"/>
              <w:marRight w:val="0"/>
              <w:marTop w:val="0"/>
              <w:marBottom w:val="0"/>
              <w:divBdr>
                <w:top w:val="none" w:sz="0" w:space="0" w:color="auto"/>
                <w:left w:val="none" w:sz="0" w:space="0" w:color="auto"/>
                <w:bottom w:val="none" w:sz="0" w:space="0" w:color="auto"/>
                <w:right w:val="none" w:sz="0" w:space="0" w:color="auto"/>
              </w:divBdr>
              <w:divsChild>
                <w:div w:id="570430055">
                  <w:marLeft w:val="0"/>
                  <w:marRight w:val="0"/>
                  <w:marTop w:val="0"/>
                  <w:marBottom w:val="0"/>
                  <w:divBdr>
                    <w:top w:val="none" w:sz="0" w:space="0" w:color="auto"/>
                    <w:left w:val="none" w:sz="0" w:space="0" w:color="auto"/>
                    <w:bottom w:val="none" w:sz="0" w:space="0" w:color="auto"/>
                    <w:right w:val="none" w:sz="0" w:space="0" w:color="auto"/>
                  </w:divBdr>
                  <w:divsChild>
                    <w:div w:id="216405328">
                      <w:marLeft w:val="0"/>
                      <w:marRight w:val="0"/>
                      <w:marTop w:val="0"/>
                      <w:marBottom w:val="0"/>
                      <w:divBdr>
                        <w:top w:val="none" w:sz="0" w:space="0" w:color="auto"/>
                        <w:left w:val="none" w:sz="0" w:space="0" w:color="auto"/>
                        <w:bottom w:val="none" w:sz="0" w:space="0" w:color="auto"/>
                        <w:right w:val="none" w:sz="0" w:space="0" w:color="auto"/>
                      </w:divBdr>
                      <w:divsChild>
                        <w:div w:id="1282765972">
                          <w:marLeft w:val="0"/>
                          <w:marRight w:val="0"/>
                          <w:marTop w:val="0"/>
                          <w:marBottom w:val="0"/>
                          <w:divBdr>
                            <w:top w:val="none" w:sz="0" w:space="0" w:color="auto"/>
                            <w:left w:val="none" w:sz="0" w:space="0" w:color="auto"/>
                            <w:bottom w:val="none" w:sz="0" w:space="0" w:color="auto"/>
                            <w:right w:val="none" w:sz="0" w:space="0" w:color="auto"/>
                          </w:divBdr>
                          <w:divsChild>
                            <w:div w:id="112603345">
                              <w:marLeft w:val="0"/>
                              <w:marRight w:val="0"/>
                              <w:marTop w:val="0"/>
                              <w:marBottom w:val="0"/>
                              <w:divBdr>
                                <w:top w:val="none" w:sz="0" w:space="0" w:color="auto"/>
                                <w:left w:val="none" w:sz="0" w:space="0" w:color="auto"/>
                                <w:bottom w:val="none" w:sz="0" w:space="0" w:color="auto"/>
                                <w:right w:val="none" w:sz="0" w:space="0" w:color="auto"/>
                              </w:divBdr>
                              <w:divsChild>
                                <w:div w:id="443498567">
                                  <w:marLeft w:val="0"/>
                                  <w:marRight w:val="0"/>
                                  <w:marTop w:val="0"/>
                                  <w:marBottom w:val="0"/>
                                  <w:divBdr>
                                    <w:top w:val="none" w:sz="0" w:space="0" w:color="auto"/>
                                    <w:left w:val="none" w:sz="0" w:space="0" w:color="auto"/>
                                    <w:bottom w:val="none" w:sz="0" w:space="0" w:color="auto"/>
                                    <w:right w:val="none" w:sz="0" w:space="0" w:color="auto"/>
                                  </w:divBdr>
                                  <w:divsChild>
                                    <w:div w:id="1428039833">
                                      <w:marLeft w:val="60"/>
                                      <w:marRight w:val="0"/>
                                      <w:marTop w:val="0"/>
                                      <w:marBottom w:val="0"/>
                                      <w:divBdr>
                                        <w:top w:val="none" w:sz="0" w:space="0" w:color="auto"/>
                                        <w:left w:val="none" w:sz="0" w:space="0" w:color="auto"/>
                                        <w:bottom w:val="none" w:sz="0" w:space="0" w:color="auto"/>
                                        <w:right w:val="none" w:sz="0" w:space="0" w:color="auto"/>
                                      </w:divBdr>
                                      <w:divsChild>
                                        <w:div w:id="1640572779">
                                          <w:marLeft w:val="0"/>
                                          <w:marRight w:val="0"/>
                                          <w:marTop w:val="0"/>
                                          <w:marBottom w:val="0"/>
                                          <w:divBdr>
                                            <w:top w:val="none" w:sz="0" w:space="0" w:color="auto"/>
                                            <w:left w:val="none" w:sz="0" w:space="0" w:color="auto"/>
                                            <w:bottom w:val="none" w:sz="0" w:space="0" w:color="auto"/>
                                            <w:right w:val="none" w:sz="0" w:space="0" w:color="auto"/>
                                          </w:divBdr>
                                          <w:divsChild>
                                            <w:div w:id="1523779360">
                                              <w:marLeft w:val="0"/>
                                              <w:marRight w:val="0"/>
                                              <w:marTop w:val="0"/>
                                              <w:marBottom w:val="120"/>
                                              <w:divBdr>
                                                <w:top w:val="single" w:sz="6" w:space="0" w:color="F5F5F5"/>
                                                <w:left w:val="single" w:sz="6" w:space="0" w:color="F5F5F5"/>
                                                <w:bottom w:val="single" w:sz="6" w:space="0" w:color="F5F5F5"/>
                                                <w:right w:val="single" w:sz="6" w:space="0" w:color="F5F5F5"/>
                                              </w:divBdr>
                                              <w:divsChild>
                                                <w:div w:id="1321232491">
                                                  <w:marLeft w:val="0"/>
                                                  <w:marRight w:val="0"/>
                                                  <w:marTop w:val="0"/>
                                                  <w:marBottom w:val="0"/>
                                                  <w:divBdr>
                                                    <w:top w:val="none" w:sz="0" w:space="0" w:color="auto"/>
                                                    <w:left w:val="none" w:sz="0" w:space="0" w:color="auto"/>
                                                    <w:bottom w:val="none" w:sz="0" w:space="0" w:color="auto"/>
                                                    <w:right w:val="none" w:sz="0" w:space="0" w:color="auto"/>
                                                  </w:divBdr>
                                                  <w:divsChild>
                                                    <w:div w:id="565452621">
                                                      <w:marLeft w:val="0"/>
                                                      <w:marRight w:val="0"/>
                                                      <w:marTop w:val="0"/>
                                                      <w:marBottom w:val="0"/>
                                                      <w:divBdr>
                                                        <w:top w:val="none" w:sz="0" w:space="0" w:color="auto"/>
                                                        <w:left w:val="none" w:sz="0" w:space="0" w:color="auto"/>
                                                        <w:bottom w:val="none" w:sz="0" w:space="0" w:color="auto"/>
                                                        <w:right w:val="none" w:sz="0" w:space="0" w:color="auto"/>
                                                      </w:divBdr>
                                                    </w:div>
                                                  </w:divsChild>
                                                </w:div>
                                                <w:div w:id="1551696091">
                                                  <w:marLeft w:val="0"/>
                                                  <w:marRight w:val="0"/>
                                                  <w:marTop w:val="0"/>
                                                  <w:marBottom w:val="0"/>
                                                  <w:divBdr>
                                                    <w:top w:val="none" w:sz="0" w:space="0" w:color="auto"/>
                                                    <w:left w:val="none" w:sz="0" w:space="0" w:color="auto"/>
                                                    <w:bottom w:val="none" w:sz="0" w:space="0" w:color="auto"/>
                                                    <w:right w:val="none" w:sz="0" w:space="0" w:color="auto"/>
                                                  </w:divBdr>
                                                  <w:divsChild>
                                                    <w:div w:id="185579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1311948">
      <w:bodyDiv w:val="1"/>
      <w:marLeft w:val="0"/>
      <w:marRight w:val="0"/>
      <w:marTop w:val="0"/>
      <w:marBottom w:val="0"/>
      <w:divBdr>
        <w:top w:val="none" w:sz="0" w:space="0" w:color="auto"/>
        <w:left w:val="none" w:sz="0" w:space="0" w:color="auto"/>
        <w:bottom w:val="none" w:sz="0" w:space="0" w:color="auto"/>
        <w:right w:val="none" w:sz="0" w:space="0" w:color="auto"/>
      </w:divBdr>
    </w:div>
    <w:div w:id="1825470873">
      <w:bodyDiv w:val="1"/>
      <w:marLeft w:val="0"/>
      <w:marRight w:val="0"/>
      <w:marTop w:val="0"/>
      <w:marBottom w:val="0"/>
      <w:divBdr>
        <w:top w:val="none" w:sz="0" w:space="0" w:color="auto"/>
        <w:left w:val="none" w:sz="0" w:space="0" w:color="auto"/>
        <w:bottom w:val="none" w:sz="0" w:space="0" w:color="auto"/>
        <w:right w:val="none" w:sz="0" w:space="0" w:color="auto"/>
      </w:divBdr>
    </w:div>
    <w:div w:id="1856187489">
      <w:bodyDiv w:val="1"/>
      <w:marLeft w:val="0"/>
      <w:marRight w:val="0"/>
      <w:marTop w:val="0"/>
      <w:marBottom w:val="0"/>
      <w:divBdr>
        <w:top w:val="none" w:sz="0" w:space="0" w:color="auto"/>
        <w:left w:val="none" w:sz="0" w:space="0" w:color="auto"/>
        <w:bottom w:val="none" w:sz="0" w:space="0" w:color="auto"/>
        <w:right w:val="none" w:sz="0" w:space="0" w:color="auto"/>
      </w:divBdr>
      <w:divsChild>
        <w:div w:id="300235129">
          <w:marLeft w:val="0"/>
          <w:marRight w:val="0"/>
          <w:marTop w:val="0"/>
          <w:marBottom w:val="0"/>
          <w:divBdr>
            <w:top w:val="none" w:sz="0" w:space="0" w:color="auto"/>
            <w:left w:val="none" w:sz="0" w:space="0" w:color="auto"/>
            <w:bottom w:val="none" w:sz="0" w:space="0" w:color="auto"/>
            <w:right w:val="none" w:sz="0" w:space="0" w:color="auto"/>
          </w:divBdr>
          <w:divsChild>
            <w:div w:id="525141159">
              <w:marLeft w:val="0"/>
              <w:marRight w:val="0"/>
              <w:marTop w:val="0"/>
              <w:marBottom w:val="0"/>
              <w:divBdr>
                <w:top w:val="none" w:sz="0" w:space="0" w:color="auto"/>
                <w:left w:val="none" w:sz="0" w:space="0" w:color="auto"/>
                <w:bottom w:val="none" w:sz="0" w:space="0" w:color="auto"/>
                <w:right w:val="none" w:sz="0" w:space="0" w:color="auto"/>
              </w:divBdr>
              <w:divsChild>
                <w:div w:id="1765415568">
                  <w:marLeft w:val="0"/>
                  <w:marRight w:val="0"/>
                  <w:marTop w:val="0"/>
                  <w:marBottom w:val="0"/>
                  <w:divBdr>
                    <w:top w:val="none" w:sz="0" w:space="0" w:color="auto"/>
                    <w:left w:val="none" w:sz="0" w:space="0" w:color="auto"/>
                    <w:bottom w:val="none" w:sz="0" w:space="0" w:color="auto"/>
                    <w:right w:val="none" w:sz="0" w:space="0" w:color="auto"/>
                  </w:divBdr>
                  <w:divsChild>
                    <w:div w:id="1839072466">
                      <w:marLeft w:val="0"/>
                      <w:marRight w:val="0"/>
                      <w:marTop w:val="0"/>
                      <w:marBottom w:val="0"/>
                      <w:divBdr>
                        <w:top w:val="none" w:sz="0" w:space="0" w:color="auto"/>
                        <w:left w:val="none" w:sz="0" w:space="0" w:color="auto"/>
                        <w:bottom w:val="none" w:sz="0" w:space="0" w:color="auto"/>
                        <w:right w:val="none" w:sz="0" w:space="0" w:color="auto"/>
                      </w:divBdr>
                      <w:divsChild>
                        <w:div w:id="549220846">
                          <w:marLeft w:val="0"/>
                          <w:marRight w:val="0"/>
                          <w:marTop w:val="0"/>
                          <w:marBottom w:val="0"/>
                          <w:divBdr>
                            <w:top w:val="none" w:sz="0" w:space="0" w:color="auto"/>
                            <w:left w:val="none" w:sz="0" w:space="0" w:color="auto"/>
                            <w:bottom w:val="none" w:sz="0" w:space="0" w:color="auto"/>
                            <w:right w:val="none" w:sz="0" w:space="0" w:color="auto"/>
                          </w:divBdr>
                          <w:divsChild>
                            <w:div w:id="1640454051">
                              <w:marLeft w:val="0"/>
                              <w:marRight w:val="0"/>
                              <w:marTop w:val="0"/>
                              <w:marBottom w:val="0"/>
                              <w:divBdr>
                                <w:top w:val="none" w:sz="0" w:space="0" w:color="auto"/>
                                <w:left w:val="none" w:sz="0" w:space="0" w:color="auto"/>
                                <w:bottom w:val="none" w:sz="0" w:space="0" w:color="auto"/>
                                <w:right w:val="none" w:sz="0" w:space="0" w:color="auto"/>
                              </w:divBdr>
                              <w:divsChild>
                                <w:div w:id="1551041001">
                                  <w:marLeft w:val="0"/>
                                  <w:marRight w:val="0"/>
                                  <w:marTop w:val="0"/>
                                  <w:marBottom w:val="0"/>
                                  <w:divBdr>
                                    <w:top w:val="none" w:sz="0" w:space="0" w:color="auto"/>
                                    <w:left w:val="none" w:sz="0" w:space="0" w:color="auto"/>
                                    <w:bottom w:val="none" w:sz="0" w:space="0" w:color="auto"/>
                                    <w:right w:val="none" w:sz="0" w:space="0" w:color="auto"/>
                                  </w:divBdr>
                                  <w:divsChild>
                                    <w:div w:id="712193544">
                                      <w:marLeft w:val="60"/>
                                      <w:marRight w:val="0"/>
                                      <w:marTop w:val="0"/>
                                      <w:marBottom w:val="0"/>
                                      <w:divBdr>
                                        <w:top w:val="none" w:sz="0" w:space="0" w:color="auto"/>
                                        <w:left w:val="none" w:sz="0" w:space="0" w:color="auto"/>
                                        <w:bottom w:val="none" w:sz="0" w:space="0" w:color="auto"/>
                                        <w:right w:val="none" w:sz="0" w:space="0" w:color="auto"/>
                                      </w:divBdr>
                                      <w:divsChild>
                                        <w:div w:id="259802325">
                                          <w:marLeft w:val="0"/>
                                          <w:marRight w:val="0"/>
                                          <w:marTop w:val="0"/>
                                          <w:marBottom w:val="0"/>
                                          <w:divBdr>
                                            <w:top w:val="none" w:sz="0" w:space="0" w:color="auto"/>
                                            <w:left w:val="none" w:sz="0" w:space="0" w:color="auto"/>
                                            <w:bottom w:val="none" w:sz="0" w:space="0" w:color="auto"/>
                                            <w:right w:val="none" w:sz="0" w:space="0" w:color="auto"/>
                                          </w:divBdr>
                                          <w:divsChild>
                                            <w:div w:id="1084570909">
                                              <w:marLeft w:val="0"/>
                                              <w:marRight w:val="0"/>
                                              <w:marTop w:val="0"/>
                                              <w:marBottom w:val="120"/>
                                              <w:divBdr>
                                                <w:top w:val="single" w:sz="6" w:space="0" w:color="F5F5F5"/>
                                                <w:left w:val="single" w:sz="6" w:space="0" w:color="F5F5F5"/>
                                                <w:bottom w:val="single" w:sz="6" w:space="0" w:color="F5F5F5"/>
                                                <w:right w:val="single" w:sz="6" w:space="0" w:color="F5F5F5"/>
                                              </w:divBdr>
                                              <w:divsChild>
                                                <w:div w:id="542255739">
                                                  <w:marLeft w:val="0"/>
                                                  <w:marRight w:val="0"/>
                                                  <w:marTop w:val="0"/>
                                                  <w:marBottom w:val="0"/>
                                                  <w:divBdr>
                                                    <w:top w:val="none" w:sz="0" w:space="0" w:color="auto"/>
                                                    <w:left w:val="none" w:sz="0" w:space="0" w:color="auto"/>
                                                    <w:bottom w:val="none" w:sz="0" w:space="0" w:color="auto"/>
                                                    <w:right w:val="none" w:sz="0" w:space="0" w:color="auto"/>
                                                  </w:divBdr>
                                                  <w:divsChild>
                                                    <w:div w:id="1097484754">
                                                      <w:marLeft w:val="0"/>
                                                      <w:marRight w:val="0"/>
                                                      <w:marTop w:val="0"/>
                                                      <w:marBottom w:val="0"/>
                                                      <w:divBdr>
                                                        <w:top w:val="none" w:sz="0" w:space="0" w:color="auto"/>
                                                        <w:left w:val="none" w:sz="0" w:space="0" w:color="auto"/>
                                                        <w:bottom w:val="none" w:sz="0" w:space="0" w:color="auto"/>
                                                        <w:right w:val="none" w:sz="0" w:space="0" w:color="auto"/>
                                                      </w:divBdr>
                                                    </w:div>
                                                  </w:divsChild>
                                                </w:div>
                                                <w:div w:id="710344856">
                                                  <w:marLeft w:val="0"/>
                                                  <w:marRight w:val="0"/>
                                                  <w:marTop w:val="0"/>
                                                  <w:marBottom w:val="0"/>
                                                  <w:divBdr>
                                                    <w:top w:val="none" w:sz="0" w:space="0" w:color="auto"/>
                                                    <w:left w:val="none" w:sz="0" w:space="0" w:color="auto"/>
                                                    <w:bottom w:val="none" w:sz="0" w:space="0" w:color="auto"/>
                                                    <w:right w:val="none" w:sz="0" w:space="0" w:color="auto"/>
                                                  </w:divBdr>
                                                  <w:divsChild>
                                                    <w:div w:id="46635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8326102">
      <w:bodyDiv w:val="1"/>
      <w:marLeft w:val="0"/>
      <w:marRight w:val="0"/>
      <w:marTop w:val="0"/>
      <w:marBottom w:val="0"/>
      <w:divBdr>
        <w:top w:val="none" w:sz="0" w:space="0" w:color="auto"/>
        <w:left w:val="none" w:sz="0" w:space="0" w:color="auto"/>
        <w:bottom w:val="none" w:sz="0" w:space="0" w:color="auto"/>
        <w:right w:val="none" w:sz="0" w:space="0" w:color="auto"/>
      </w:divBdr>
    </w:div>
    <w:div w:id="1931817172">
      <w:bodyDiv w:val="1"/>
      <w:marLeft w:val="0"/>
      <w:marRight w:val="0"/>
      <w:marTop w:val="0"/>
      <w:marBottom w:val="0"/>
      <w:divBdr>
        <w:top w:val="none" w:sz="0" w:space="0" w:color="auto"/>
        <w:left w:val="none" w:sz="0" w:space="0" w:color="auto"/>
        <w:bottom w:val="none" w:sz="0" w:space="0" w:color="auto"/>
        <w:right w:val="none" w:sz="0" w:space="0" w:color="auto"/>
      </w:divBdr>
    </w:div>
    <w:div w:id="1949771428">
      <w:bodyDiv w:val="1"/>
      <w:marLeft w:val="0"/>
      <w:marRight w:val="0"/>
      <w:marTop w:val="0"/>
      <w:marBottom w:val="0"/>
      <w:divBdr>
        <w:top w:val="none" w:sz="0" w:space="0" w:color="auto"/>
        <w:left w:val="none" w:sz="0" w:space="0" w:color="auto"/>
        <w:bottom w:val="none" w:sz="0" w:space="0" w:color="auto"/>
        <w:right w:val="none" w:sz="0" w:space="0" w:color="auto"/>
      </w:divBdr>
    </w:div>
    <w:div w:id="2029406049">
      <w:bodyDiv w:val="1"/>
      <w:marLeft w:val="0"/>
      <w:marRight w:val="0"/>
      <w:marTop w:val="0"/>
      <w:marBottom w:val="0"/>
      <w:divBdr>
        <w:top w:val="none" w:sz="0" w:space="0" w:color="auto"/>
        <w:left w:val="none" w:sz="0" w:space="0" w:color="auto"/>
        <w:bottom w:val="none" w:sz="0" w:space="0" w:color="auto"/>
        <w:right w:val="none" w:sz="0" w:space="0" w:color="auto"/>
      </w:divBdr>
      <w:divsChild>
        <w:div w:id="1432704159">
          <w:marLeft w:val="0"/>
          <w:marRight w:val="0"/>
          <w:marTop w:val="0"/>
          <w:marBottom w:val="300"/>
          <w:divBdr>
            <w:top w:val="none" w:sz="0" w:space="0" w:color="auto"/>
            <w:left w:val="none" w:sz="0" w:space="0" w:color="auto"/>
            <w:bottom w:val="none" w:sz="0" w:space="0" w:color="auto"/>
            <w:right w:val="none" w:sz="0" w:space="0" w:color="auto"/>
          </w:divBdr>
        </w:div>
      </w:divsChild>
    </w:div>
    <w:div w:id="2070761909">
      <w:bodyDiv w:val="1"/>
      <w:marLeft w:val="0"/>
      <w:marRight w:val="0"/>
      <w:marTop w:val="0"/>
      <w:marBottom w:val="0"/>
      <w:divBdr>
        <w:top w:val="none" w:sz="0" w:space="0" w:color="auto"/>
        <w:left w:val="none" w:sz="0" w:space="0" w:color="auto"/>
        <w:bottom w:val="none" w:sz="0" w:space="0" w:color="auto"/>
        <w:right w:val="none" w:sz="0" w:space="0" w:color="auto"/>
      </w:divBdr>
    </w:div>
    <w:div w:id="2078164830">
      <w:bodyDiv w:val="1"/>
      <w:marLeft w:val="0"/>
      <w:marRight w:val="0"/>
      <w:marTop w:val="0"/>
      <w:marBottom w:val="0"/>
      <w:divBdr>
        <w:top w:val="none" w:sz="0" w:space="0" w:color="auto"/>
        <w:left w:val="none" w:sz="0" w:space="0" w:color="auto"/>
        <w:bottom w:val="none" w:sz="0" w:space="0" w:color="auto"/>
        <w:right w:val="none" w:sz="0" w:space="0" w:color="auto"/>
      </w:divBdr>
    </w:div>
    <w:div w:id="2110344583">
      <w:bodyDiv w:val="1"/>
      <w:marLeft w:val="0"/>
      <w:marRight w:val="0"/>
      <w:marTop w:val="0"/>
      <w:marBottom w:val="0"/>
      <w:divBdr>
        <w:top w:val="none" w:sz="0" w:space="0" w:color="auto"/>
        <w:left w:val="none" w:sz="0" w:space="0" w:color="auto"/>
        <w:bottom w:val="none" w:sz="0" w:space="0" w:color="auto"/>
        <w:right w:val="none" w:sz="0" w:space="0" w:color="auto"/>
      </w:divBdr>
    </w:div>
    <w:div w:id="2143885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4.xml"/><Relationship Id="rId47" Type="http://schemas.openxmlformats.org/officeDocument/2006/relationships/diagramLayout" Target="diagrams/layout1.xml"/><Relationship Id="rId63" Type="http://schemas.openxmlformats.org/officeDocument/2006/relationships/hyperlink" Target="http://new.transgaz.ro/sites/default/files/Downloads/2016.0629_-_prezentare_proiect_brua_-_lb_enengl_-_final.pdf" TargetMode="External"/><Relationship Id="rId68" Type="http://schemas.openxmlformats.org/officeDocument/2006/relationships/chart" Target="charts/chart42.xml"/><Relationship Id="rId84" Type="http://schemas.openxmlformats.org/officeDocument/2006/relationships/image" Target="media/image12.jpeg"/><Relationship Id="rId89" Type="http://schemas.openxmlformats.org/officeDocument/2006/relationships/chart" Target="charts/chart50.xml"/><Relationship Id="rId16" Type="http://schemas.openxmlformats.org/officeDocument/2006/relationships/image" Target="media/image6.emf"/><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chart" Target="charts/chart140.xml"/><Relationship Id="rId37" Type="http://schemas.openxmlformats.org/officeDocument/2006/relationships/chart" Target="charts/chart19.xml"/><Relationship Id="rId53" Type="http://schemas.openxmlformats.org/officeDocument/2006/relationships/hyperlink" Target="http://www.transgaz.ro" TargetMode="External"/><Relationship Id="rId58" Type="http://schemas.openxmlformats.org/officeDocument/2006/relationships/chart" Target="charts/chart33.xml"/><Relationship Id="rId74" Type="http://schemas.openxmlformats.org/officeDocument/2006/relationships/chart" Target="charts/chart48.xml"/><Relationship Id="rId79" Type="http://schemas.openxmlformats.org/officeDocument/2006/relationships/diagramColors" Target="diagrams/colors2.xml"/><Relationship Id="rId102" Type="http://schemas.openxmlformats.org/officeDocument/2006/relationships/chart" Target="charts/chart59.xml"/><Relationship Id="rId5" Type="http://schemas.openxmlformats.org/officeDocument/2006/relationships/styles" Target="styles.xml"/><Relationship Id="rId90" Type="http://schemas.openxmlformats.org/officeDocument/2006/relationships/chart" Target="charts/chart51.xml"/><Relationship Id="rId95" Type="http://schemas.openxmlformats.org/officeDocument/2006/relationships/hyperlink" Target="http://www.transgaz.ro" TargetMode="Externa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chart" Target="charts/chart25.xml"/><Relationship Id="rId48" Type="http://schemas.openxmlformats.org/officeDocument/2006/relationships/diagramQuickStyle" Target="diagrams/quickStyle1.xml"/><Relationship Id="rId64" Type="http://schemas.openxmlformats.org/officeDocument/2006/relationships/chart" Target="charts/chart38.xml"/><Relationship Id="rId69" Type="http://schemas.openxmlformats.org/officeDocument/2006/relationships/chart" Target="charts/chart43.xml"/><Relationship Id="rId80" Type="http://schemas.microsoft.com/office/2007/relationships/diagramDrawing" Target="diagrams/drawing2.xml"/><Relationship Id="rId85" Type="http://schemas.openxmlformats.org/officeDocument/2006/relationships/image" Target="media/image13.png"/><Relationship Id="rId12" Type="http://schemas.openxmlformats.org/officeDocument/2006/relationships/image" Target="media/image3.jpeg"/><Relationship Id="rId17" Type="http://schemas.openxmlformats.org/officeDocument/2006/relationships/image" Target="media/image7.emf"/><Relationship Id="rId33" Type="http://schemas.openxmlformats.org/officeDocument/2006/relationships/chart" Target="charts/chart15.xml"/><Relationship Id="rId38" Type="http://schemas.openxmlformats.org/officeDocument/2006/relationships/chart" Target="charts/chart20.xml"/><Relationship Id="rId59" Type="http://schemas.openxmlformats.org/officeDocument/2006/relationships/chart" Target="charts/chart34.xml"/><Relationship Id="rId103" Type="http://schemas.openxmlformats.org/officeDocument/2006/relationships/header" Target="header1.xml"/><Relationship Id="rId108"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chart" Target="charts/chart23.xml"/><Relationship Id="rId54" Type="http://schemas.openxmlformats.org/officeDocument/2006/relationships/chart" Target="charts/chart30.xml"/><Relationship Id="rId62" Type="http://schemas.openxmlformats.org/officeDocument/2006/relationships/chart" Target="charts/chart37.xml"/><Relationship Id="rId70" Type="http://schemas.openxmlformats.org/officeDocument/2006/relationships/chart" Target="charts/chart44.xml"/><Relationship Id="rId75" Type="http://schemas.openxmlformats.org/officeDocument/2006/relationships/chart" Target="charts/chart49.xml"/><Relationship Id="rId83" Type="http://schemas.openxmlformats.org/officeDocument/2006/relationships/image" Target="media/image11.png"/><Relationship Id="rId88" Type="http://schemas.openxmlformats.org/officeDocument/2006/relationships/image" Target="media/image16.jpeg"/><Relationship Id="rId91" Type="http://schemas.openxmlformats.org/officeDocument/2006/relationships/chart" Target="charts/chart52.xml"/><Relationship Id="rId96" Type="http://schemas.openxmlformats.org/officeDocument/2006/relationships/hyperlink" Target="http://www.transgaz.ro/responsabilitate-social&#259;"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8.xml"/><Relationship Id="rId49" Type="http://schemas.openxmlformats.org/officeDocument/2006/relationships/diagramColors" Target="diagrams/colors1.xml"/><Relationship Id="rId57" Type="http://schemas.openxmlformats.org/officeDocument/2006/relationships/chart" Target="charts/chart32.xml"/><Relationship Id="rId106"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chart" Target="charts/chart14.xml"/><Relationship Id="rId44" Type="http://schemas.openxmlformats.org/officeDocument/2006/relationships/chart" Target="charts/chart26.xml"/><Relationship Id="rId52" Type="http://schemas.openxmlformats.org/officeDocument/2006/relationships/chart" Target="charts/chart29.xml"/><Relationship Id="rId60" Type="http://schemas.openxmlformats.org/officeDocument/2006/relationships/chart" Target="charts/chart35.xml"/><Relationship Id="rId65" Type="http://schemas.openxmlformats.org/officeDocument/2006/relationships/chart" Target="charts/chart39.xml"/><Relationship Id="rId73" Type="http://schemas.openxmlformats.org/officeDocument/2006/relationships/chart" Target="charts/chart47.xml"/><Relationship Id="rId78" Type="http://schemas.openxmlformats.org/officeDocument/2006/relationships/diagramQuickStyle" Target="diagrams/quickStyle2.xml"/><Relationship Id="rId81" Type="http://schemas.openxmlformats.org/officeDocument/2006/relationships/image" Target="media/image9.jpeg"/><Relationship Id="rId86" Type="http://schemas.openxmlformats.org/officeDocument/2006/relationships/image" Target="media/image14.jpeg"/><Relationship Id="rId94" Type="http://schemas.openxmlformats.org/officeDocument/2006/relationships/hyperlink" Target="http://www.transgaz.ro/Despre" TargetMode="External"/><Relationship Id="rId99" Type="http://schemas.openxmlformats.org/officeDocument/2006/relationships/chart" Target="charts/chart56.xml"/><Relationship Id="rId101" Type="http://schemas.openxmlformats.org/officeDocument/2006/relationships/chart" Target="charts/chart58.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chart" Target="charts/chart1.xml"/><Relationship Id="rId39" Type="http://schemas.openxmlformats.org/officeDocument/2006/relationships/chart" Target="charts/chart21.xml"/><Relationship Id="rId34" Type="http://schemas.openxmlformats.org/officeDocument/2006/relationships/chart" Target="charts/chart16.xml"/><Relationship Id="rId50" Type="http://schemas.microsoft.com/office/2007/relationships/diagramDrawing" Target="diagrams/drawing1.xml"/><Relationship Id="rId55" Type="http://schemas.openxmlformats.org/officeDocument/2006/relationships/image" Target="media/image8.emf"/><Relationship Id="rId76" Type="http://schemas.openxmlformats.org/officeDocument/2006/relationships/diagramData" Target="diagrams/data2.xml"/><Relationship Id="rId97" Type="http://schemas.openxmlformats.org/officeDocument/2006/relationships/hyperlink" Target="http://www.transgaz.ro" TargetMode="External"/><Relationship Id="rId104"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chart" Target="charts/chart45.xml"/><Relationship Id="rId92" Type="http://schemas.openxmlformats.org/officeDocument/2006/relationships/chart" Target="charts/chart53.xml"/><Relationship Id="rId2" Type="http://schemas.openxmlformats.org/officeDocument/2006/relationships/customXml" Target="../customXml/item2.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2.xml"/><Relationship Id="rId45" Type="http://schemas.openxmlformats.org/officeDocument/2006/relationships/chart" Target="charts/chart27.xml"/><Relationship Id="rId66" Type="http://schemas.openxmlformats.org/officeDocument/2006/relationships/chart" Target="charts/chart40.xml"/><Relationship Id="rId87" Type="http://schemas.openxmlformats.org/officeDocument/2006/relationships/image" Target="media/image15.png"/><Relationship Id="rId61" Type="http://schemas.openxmlformats.org/officeDocument/2006/relationships/chart" Target="charts/chart36.xml"/><Relationship Id="rId82" Type="http://schemas.openxmlformats.org/officeDocument/2006/relationships/image" Target="media/image10.jpeg"/><Relationship Id="rId19" Type="http://schemas.openxmlformats.org/officeDocument/2006/relationships/chart" Target="charts/chart2.xml"/><Relationship Id="rId14" Type="http://schemas.openxmlformats.org/officeDocument/2006/relationships/image" Target="media/image6.png"/><Relationship Id="rId30" Type="http://schemas.openxmlformats.org/officeDocument/2006/relationships/chart" Target="charts/chart13.xml"/><Relationship Id="rId35" Type="http://schemas.openxmlformats.org/officeDocument/2006/relationships/chart" Target="charts/chart17.xml"/><Relationship Id="rId56" Type="http://schemas.openxmlformats.org/officeDocument/2006/relationships/chart" Target="charts/chart31.xml"/><Relationship Id="rId77" Type="http://schemas.openxmlformats.org/officeDocument/2006/relationships/diagramLayout" Target="diagrams/layout2.xml"/><Relationship Id="rId100" Type="http://schemas.openxmlformats.org/officeDocument/2006/relationships/chart" Target="charts/chart57.xml"/><Relationship Id="rId105"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chart" Target="charts/chart28.xml"/><Relationship Id="rId72" Type="http://schemas.openxmlformats.org/officeDocument/2006/relationships/chart" Target="charts/chart46.xml"/><Relationship Id="rId93" Type="http://schemas.openxmlformats.org/officeDocument/2006/relationships/chart" Target="charts/chart54.xml"/><Relationship Id="rId98" Type="http://schemas.openxmlformats.org/officeDocument/2006/relationships/chart" Target="charts/chart55.xml"/><Relationship Id="rId3" Type="http://schemas.openxmlformats.org/officeDocument/2006/relationships/customXml" Target="../customXml/item3.xml"/><Relationship Id="rId25" Type="http://schemas.openxmlformats.org/officeDocument/2006/relationships/chart" Target="charts/chart8.xml"/><Relationship Id="rId46" Type="http://schemas.openxmlformats.org/officeDocument/2006/relationships/diagramData" Target="diagrams/data1.xml"/><Relationship Id="rId67" Type="http://schemas.openxmlformats.org/officeDocument/2006/relationships/chart" Target="charts/chart4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ghidiu\Desktop\Raport%20anual%20al%20administratorilor%202013.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40.xml.rels><?xml version="1.0" encoding="UTF-8" standalone="yes"?>
<Relationships xmlns="http://schemas.openxmlformats.org/package/2006/relationships"><Relationship Id="rId2" Type="http://schemas.openxmlformats.org/officeDocument/2006/relationships/package" Target="../embeddings/Microsoft_Excel_Worksheet110.xlsx"/><Relationship Id="rId1" Type="http://schemas.openxmlformats.org/officeDocument/2006/relationships/themeOverride" Target="../theme/themeOverride110.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4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4.xml"/></Relationships>
</file>

<file path=word/charts/_rels/chart4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5.xml"/></Relationships>
</file>

<file path=word/charts/_rels/chart4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6.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7.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8.xml"/></Relationships>
</file>

<file path=word/charts/_rels/chart4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9.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0.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1.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2.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NULL" TargetMode="External"/></Relationships>
</file>

<file path=word/charts/_rels/chart5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3.xml"/></Relationships>
</file>

<file path=word/charts/_rels/chart5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4.xml"/></Relationships>
</file>

<file path=word/charts/_rels/chart5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5.xml"/></Relationships>
</file>

<file path=word/charts/_rels/chart5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6.xml"/></Relationships>
</file>

<file path=word/charts/_rels/chart5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7.xml"/></Relationships>
</file>

<file path=word/charts/_rels/chart5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8.xml"/></Relationships>
</file>

<file path=word/charts/_rels/chart5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9.xml"/></Relationships>
</file>

<file path=word/charts/_rels/chart5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0.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51.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5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6.6757933667382488E-2"/>
          <c:w val="0.9606753812636164"/>
          <c:h val="0.64528752087807206"/>
        </c:manualLayout>
      </c:layout>
      <c:barChart>
        <c:barDir val="col"/>
        <c:grouping val="clustered"/>
        <c:varyColors val="0"/>
        <c:ser>
          <c:idx val="0"/>
          <c:order val="0"/>
          <c:tx>
            <c:strRef>
              <c:f>Sheet1!$M$86</c:f>
              <c:strCache>
                <c:ptCount val="1"/>
                <c:pt idx="0">
                  <c:v>2016</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Sheet1!$L$87:$L$89</c:f>
              <c:strCache>
                <c:ptCount val="3"/>
                <c:pt idx="0">
                  <c:v>Circulated gas</c:v>
                </c:pt>
                <c:pt idx="1">
                  <c:v>Transmitted gas</c:v>
                </c:pt>
                <c:pt idx="2">
                  <c:v>Technological consumption</c:v>
                </c:pt>
              </c:strCache>
            </c:strRef>
          </c:cat>
          <c:val>
            <c:numRef>
              <c:f>Sheet1!$M$87:$M$89</c:f>
              <c:numCache>
                <c:formatCode>#,##0</c:formatCode>
                <c:ptCount val="3"/>
                <c:pt idx="0">
                  <c:v>12201.156999999999</c:v>
                </c:pt>
                <c:pt idx="1">
                  <c:v>12074.677</c:v>
                </c:pt>
                <c:pt idx="2">
                  <c:v>108.874</c:v>
                </c:pt>
              </c:numCache>
            </c:numRef>
          </c:val>
        </c:ser>
        <c:ser>
          <c:idx val="1"/>
          <c:order val="1"/>
          <c:tx>
            <c:strRef>
              <c:f>Sheet1!$N$86</c:f>
              <c:strCache>
                <c:ptCount val="1"/>
                <c:pt idx="0">
                  <c:v>2015</c:v>
                </c:pt>
              </c:strCache>
            </c:strRef>
          </c:tx>
          <c:spPr>
            <a:solidFill>
              <a:srgbClr val="3366CC">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Sheet1!$L$87:$L$89</c:f>
              <c:strCache>
                <c:ptCount val="3"/>
                <c:pt idx="0">
                  <c:v>Circulated gas</c:v>
                </c:pt>
                <c:pt idx="1">
                  <c:v>Transmitted gas</c:v>
                </c:pt>
                <c:pt idx="2">
                  <c:v>Technological consumption</c:v>
                </c:pt>
              </c:strCache>
            </c:strRef>
          </c:cat>
          <c:val>
            <c:numRef>
              <c:f>Sheet1!$N$87:$N$89</c:f>
              <c:numCache>
                <c:formatCode>#,##0</c:formatCode>
                <c:ptCount val="3"/>
                <c:pt idx="0">
                  <c:v>12383.825000000001</c:v>
                </c:pt>
                <c:pt idx="1">
                  <c:v>12294.692999999999</c:v>
                </c:pt>
                <c:pt idx="2">
                  <c:v>88.102999999999994</c:v>
                </c:pt>
              </c:numCache>
            </c:numRef>
          </c:val>
        </c:ser>
        <c:ser>
          <c:idx val="2"/>
          <c:order val="2"/>
          <c:tx>
            <c:strRef>
              <c:f>Sheet1!$O$86</c:f>
              <c:strCache>
                <c:ptCount val="1"/>
                <c:pt idx="0">
                  <c:v>2014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Sheet1!$L$87:$L$89</c:f>
              <c:strCache>
                <c:ptCount val="3"/>
                <c:pt idx="0">
                  <c:v>Circulated gas</c:v>
                </c:pt>
                <c:pt idx="1">
                  <c:v>Transmitted gas</c:v>
                </c:pt>
                <c:pt idx="2">
                  <c:v>Technological consumption</c:v>
                </c:pt>
              </c:strCache>
            </c:strRef>
          </c:cat>
          <c:val>
            <c:numRef>
              <c:f>Sheet1!$O$87:$O$89</c:f>
              <c:numCache>
                <c:formatCode>#,##0</c:formatCode>
                <c:ptCount val="3"/>
                <c:pt idx="0">
                  <c:v>13082.74</c:v>
                </c:pt>
                <c:pt idx="1">
                  <c:v>11883.713</c:v>
                </c:pt>
                <c:pt idx="2">
                  <c:v>96.94</c:v>
                </c:pt>
              </c:numCache>
            </c:numRef>
          </c:val>
        </c:ser>
        <c:ser>
          <c:idx val="3"/>
          <c:order val="3"/>
          <c:tx>
            <c:strRef>
              <c:f>Sheet1!$P$86</c:f>
              <c:strCache>
                <c:ptCount val="1"/>
                <c:pt idx="0">
                  <c:v>2013</c:v>
                </c:pt>
              </c:strCache>
            </c:strRef>
          </c:tx>
          <c:spPr>
            <a:solidFill>
              <a:srgbClr val="BFBFBF">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Sheet1!$L$87:$L$89</c:f>
              <c:strCache>
                <c:ptCount val="3"/>
                <c:pt idx="0">
                  <c:v>Circulated gas</c:v>
                </c:pt>
                <c:pt idx="1">
                  <c:v>Transmitted gas</c:v>
                </c:pt>
                <c:pt idx="2">
                  <c:v>Technological consumption</c:v>
                </c:pt>
              </c:strCache>
            </c:strRef>
          </c:cat>
          <c:val>
            <c:numRef>
              <c:f>Sheet1!$P$87:$P$89</c:f>
              <c:numCache>
                <c:formatCode>#,##0</c:formatCode>
                <c:ptCount val="3"/>
                <c:pt idx="0">
                  <c:v>13696.258</c:v>
                </c:pt>
                <c:pt idx="1">
                  <c:v>11258.941000000001</c:v>
                </c:pt>
                <c:pt idx="2">
                  <c:v>160.13999999999999</c:v>
                </c:pt>
              </c:numCache>
            </c:numRef>
          </c:val>
        </c:ser>
        <c:dLbls>
          <c:showLegendKey val="0"/>
          <c:showVal val="1"/>
          <c:showCatName val="0"/>
          <c:showSerName val="0"/>
          <c:showPercent val="0"/>
          <c:showBubbleSize val="0"/>
        </c:dLbls>
        <c:gapWidth val="150"/>
        <c:overlap val="-25"/>
        <c:axId val="1756669776"/>
        <c:axId val="1756664336"/>
      </c:barChart>
      <c:catAx>
        <c:axId val="17566697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64336"/>
        <c:crosses val="autoZero"/>
        <c:auto val="1"/>
        <c:lblAlgn val="ctr"/>
        <c:lblOffset val="100"/>
        <c:noMultiLvlLbl val="0"/>
      </c:catAx>
      <c:valAx>
        <c:axId val="1756664336"/>
        <c:scaling>
          <c:orientation val="minMax"/>
        </c:scaling>
        <c:delete val="1"/>
        <c:axPos val="l"/>
        <c:numFmt formatCode="#,##0" sourceLinked="1"/>
        <c:majorTickMark val="none"/>
        <c:minorTickMark val="none"/>
        <c:tickLblPos val="nextTo"/>
        <c:crossAx val="1756669776"/>
        <c:crosses val="autoZero"/>
        <c:crossBetween val="between"/>
      </c:valAx>
      <c:spPr>
        <a:noFill/>
        <a:ln>
          <a:noFill/>
        </a:ln>
        <a:effectLst/>
      </c:spPr>
    </c:plotArea>
    <c:legend>
      <c:legendPos val="t"/>
      <c:layout>
        <c:manualLayout>
          <c:xMode val="edge"/>
          <c:yMode val="edge"/>
          <c:x val="0.28852452266996037"/>
          <c:y val="0.88848223340417154"/>
          <c:w val="0.4163415847528863"/>
          <c:h val="0.1115177665958285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282175633395619E-2"/>
          <c:y val="4.8276147299769347E-2"/>
          <c:w val="0.93888888888888888"/>
          <c:h val="0.70498841303373661"/>
        </c:manualLayout>
      </c:layout>
      <c:barChart>
        <c:barDir val="col"/>
        <c:grouping val="stacked"/>
        <c:varyColors val="0"/>
        <c:ser>
          <c:idx val="0"/>
          <c:order val="0"/>
          <c:tx>
            <c:strRef>
              <c:f>Sheet1!$B$163</c:f>
              <c:strCache>
                <c:ptCount val="1"/>
                <c:pt idx="0">
                  <c:v>PLANNED</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Sheet1!$C$162:$N$162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Sheet1!$C$163:$N$163</c:f>
              <c:numCache>
                <c:formatCode>#,##0</c:formatCode>
                <c:ptCount val="12"/>
                <c:pt idx="0">
                  <c:v>1477623</c:v>
                </c:pt>
                <c:pt idx="1">
                  <c:v>1295217</c:v>
                </c:pt>
                <c:pt idx="2">
                  <c:v>1125071</c:v>
                </c:pt>
                <c:pt idx="3">
                  <c:v>875963</c:v>
                </c:pt>
                <c:pt idx="4">
                  <c:v>713052</c:v>
                </c:pt>
                <c:pt idx="5">
                  <c:v>721271</c:v>
                </c:pt>
                <c:pt idx="6">
                  <c:v>810138</c:v>
                </c:pt>
                <c:pt idx="7">
                  <c:v>787015</c:v>
                </c:pt>
                <c:pt idx="8">
                  <c:v>776166</c:v>
                </c:pt>
                <c:pt idx="9">
                  <c:v>911399</c:v>
                </c:pt>
                <c:pt idx="10">
                  <c:v>1019619</c:v>
                </c:pt>
                <c:pt idx="11">
                  <c:v>1282807</c:v>
                </c:pt>
              </c:numCache>
            </c:numRef>
          </c:val>
        </c:ser>
        <c:ser>
          <c:idx val="1"/>
          <c:order val="1"/>
          <c:tx>
            <c:strRef>
              <c:f>Sheet1!$B$164</c:f>
              <c:strCache>
                <c:ptCount val="1"/>
                <c:pt idx="0">
                  <c:v>ACHIEVED</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Sheet1!$C$162:$N$162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Sheet1!$C$164:$N$164</c:f>
              <c:numCache>
                <c:formatCode>#,##0</c:formatCode>
                <c:ptCount val="12"/>
                <c:pt idx="0">
                  <c:v>1624019</c:v>
                </c:pt>
                <c:pt idx="1">
                  <c:v>1073166</c:v>
                </c:pt>
                <c:pt idx="2">
                  <c:v>1028315</c:v>
                </c:pt>
                <c:pt idx="3">
                  <c:v>756549</c:v>
                </c:pt>
                <c:pt idx="4">
                  <c:v>724148</c:v>
                </c:pt>
                <c:pt idx="5">
                  <c:v>666841</c:v>
                </c:pt>
                <c:pt idx="6">
                  <c:v>726243</c:v>
                </c:pt>
                <c:pt idx="7">
                  <c:v>766455</c:v>
                </c:pt>
                <c:pt idx="8">
                  <c:v>745646</c:v>
                </c:pt>
                <c:pt idx="9">
                  <c:v>1017550</c:v>
                </c:pt>
                <c:pt idx="10">
                  <c:v>1286697</c:v>
                </c:pt>
                <c:pt idx="11">
                  <c:v>1659046</c:v>
                </c:pt>
              </c:numCache>
            </c:numRef>
          </c:val>
        </c:ser>
        <c:dLbls>
          <c:showLegendKey val="0"/>
          <c:showVal val="1"/>
          <c:showCatName val="0"/>
          <c:showSerName val="0"/>
          <c:showPercent val="0"/>
          <c:showBubbleSize val="0"/>
        </c:dLbls>
        <c:gapWidth val="150"/>
        <c:overlap val="100"/>
        <c:axId val="1756676848"/>
        <c:axId val="1756680112"/>
      </c:barChart>
      <c:catAx>
        <c:axId val="17566768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80112"/>
        <c:crosses val="autoZero"/>
        <c:auto val="1"/>
        <c:lblAlgn val="ctr"/>
        <c:lblOffset val="100"/>
        <c:noMultiLvlLbl val="0"/>
      </c:catAx>
      <c:valAx>
        <c:axId val="1756680112"/>
        <c:scaling>
          <c:orientation val="minMax"/>
        </c:scaling>
        <c:delete val="1"/>
        <c:axPos val="l"/>
        <c:numFmt formatCode="#,##0" sourceLinked="1"/>
        <c:majorTickMark val="out"/>
        <c:minorTickMark val="none"/>
        <c:tickLblPos val="nextTo"/>
        <c:crossAx val="1756676848"/>
        <c:crosses val="autoZero"/>
        <c:crossBetween val="between"/>
        <c:dispUnits>
          <c:builtInUnit val="thousands"/>
          <c:dispUnitsLbl>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o-RO"/>
              </a:p>
            </c:txPr>
          </c:dispUnitsLbl>
        </c:dispUnits>
      </c:valAx>
      <c:spPr>
        <a:noFill/>
        <a:ln>
          <a:noFill/>
        </a:ln>
        <a:effectLst/>
      </c:spPr>
    </c:plotArea>
    <c:legend>
      <c:legendPos val="t"/>
      <c:layout>
        <c:manualLayout>
          <c:xMode val="edge"/>
          <c:yMode val="edge"/>
          <c:x val="0.33806080489938761"/>
          <c:y val="0.92129629629629628"/>
          <c:w val="0.32387817147856518"/>
          <c:h val="7.870364030583133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9.8221945721527953E-2"/>
          <c:w val="0.93888888888888888"/>
          <c:h val="0.64687765055389723"/>
        </c:manualLayout>
      </c:layout>
      <c:lineChart>
        <c:grouping val="standard"/>
        <c:varyColors val="0"/>
        <c:ser>
          <c:idx val="0"/>
          <c:order val="0"/>
          <c:tx>
            <c:strRef>
              <c:f>Sheet1!$B$173</c:f>
              <c:strCache>
                <c:ptCount val="1"/>
                <c:pt idx="0">
                  <c:v>PLANNED</c:v>
                </c:pt>
              </c:strCache>
            </c:strRef>
          </c:tx>
          <c:spPr>
            <a:ln w="28575" cap="rnd">
              <a:solidFill>
                <a:srgbClr val="057395"/>
              </a:solidFill>
              <a:round/>
            </a:ln>
            <a:effectLst/>
          </c:spPr>
          <c:marker>
            <c:symbol val="circle"/>
            <c:size val="5"/>
            <c:spPr>
              <a:solidFill>
                <a:srgbClr val="057395"/>
              </a:solidFill>
              <a:ln w="9525">
                <a:solidFill>
                  <a:srgbClr val="057395"/>
                </a:solidFill>
              </a:ln>
              <a:effectLst/>
            </c:spPr>
          </c:marker>
          <c:dPt>
            <c:idx val="3"/>
            <c:bubble3D val="0"/>
          </c:dPt>
          <c:dPt>
            <c:idx val="4"/>
            <c:bubble3D val="0"/>
          </c:dPt>
          <c:dPt>
            <c:idx val="5"/>
            <c:bubble3D val="0"/>
          </c:dPt>
          <c:dLbls>
            <c:dLbl>
              <c:idx val="3"/>
              <c:layout>
                <c:manualLayout>
                  <c:x val="-7.9129574678535736E-3"/>
                  <c:y val="1.492537313432826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4782354727914205E-2"/>
                  <c:y val="-3.699612175343751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2635186180362472E-2"/>
                  <c:y val="-5.4610412504407096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4369494614360223E-2"/>
                  <c:y val="-3.678144709523249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5.1914337799919413E-3"/>
                  <c:y val="3.0828516377649291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1869436201780416E-2"/>
                  <c:y val="-2.487562189054726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Sheet1!$C$172:$N$172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Sheet1!$C$173:$N$173</c:f>
              <c:numCache>
                <c:formatCode>#,##0</c:formatCode>
                <c:ptCount val="12"/>
                <c:pt idx="0">
                  <c:v>0</c:v>
                </c:pt>
                <c:pt idx="1">
                  <c:v>0</c:v>
                </c:pt>
                <c:pt idx="2">
                  <c:v>0</c:v>
                </c:pt>
                <c:pt idx="3">
                  <c:v>122966</c:v>
                </c:pt>
                <c:pt idx="4">
                  <c:v>271563</c:v>
                </c:pt>
                <c:pt idx="5">
                  <c:v>271563</c:v>
                </c:pt>
                <c:pt idx="6">
                  <c:v>271563</c:v>
                </c:pt>
                <c:pt idx="7">
                  <c:v>271563</c:v>
                </c:pt>
                <c:pt idx="8">
                  <c:v>271564</c:v>
                </c:pt>
                <c:pt idx="9">
                  <c:v>123053</c:v>
                </c:pt>
                <c:pt idx="10" formatCode="General">
                  <c:v>0</c:v>
                </c:pt>
                <c:pt idx="11" formatCode="General">
                  <c:v>0</c:v>
                </c:pt>
              </c:numCache>
            </c:numRef>
          </c:val>
          <c:smooth val="0"/>
        </c:ser>
        <c:ser>
          <c:idx val="1"/>
          <c:order val="1"/>
          <c:tx>
            <c:strRef>
              <c:f>Sheet1!$B$174</c:f>
              <c:strCache>
                <c:ptCount val="1"/>
                <c:pt idx="0">
                  <c:v>ACHIEVED</c:v>
                </c:pt>
              </c:strCache>
            </c:strRef>
          </c:tx>
          <c:spPr>
            <a:ln w="28575" cap="rnd">
              <a:solidFill>
                <a:srgbClr val="10CF9B">
                  <a:lumMod val="75000"/>
                </a:srgbClr>
              </a:solidFill>
              <a:round/>
            </a:ln>
            <a:effectLst/>
          </c:spPr>
          <c:marker>
            <c:symbol val="circle"/>
            <c:size val="5"/>
            <c:spPr>
              <a:solidFill>
                <a:srgbClr val="10CF9B">
                  <a:lumMod val="75000"/>
                </a:srgbClr>
              </a:solidFill>
              <a:ln w="9525">
                <a:solidFill>
                  <a:srgbClr val="10CF9B">
                    <a:lumMod val="75000"/>
                  </a:srgbClr>
                </a:solidFill>
              </a:ln>
              <a:effectLst/>
            </c:spPr>
          </c:marker>
          <c:dLbls>
            <c:dLbl>
              <c:idx val="3"/>
              <c:layout>
                <c:manualLayout>
                  <c:x val="-6.1111085149964529E-2"/>
                  <c:y val="-3.820817173972656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1693108094425881E-2"/>
                  <c:y val="5.070944490147682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165182987141444E-2"/>
                  <c:y val="4.464919497003168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3847675568743891E-2"/>
                  <c:y val="4.47761194029850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6595559086271413E-2"/>
                  <c:y val="-3.453833196223606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6.8682840367785533E-2"/>
                  <c:y val="5.844155844155844E-2"/>
                </c:manualLayout>
              </c:layout>
              <c:tx>
                <c:rich>
                  <a:bodyPr/>
                  <a:lstStyle/>
                  <a:p>
                    <a:r>
                      <a:rPr lang="en-US"/>
                      <a:t>222.599</a:t>
                    </a:r>
                  </a:p>
                </c:rich>
              </c:tx>
              <c:showLegendKey val="0"/>
              <c:showVal val="1"/>
              <c:showCatName val="0"/>
              <c:showSerName val="0"/>
              <c:showPercent val="0"/>
              <c:showBubbleSize val="0"/>
              <c:extLst>
                <c:ext xmlns:c15="http://schemas.microsoft.com/office/drawing/2012/chart" uri="{CE6537A1-D6FC-4f65-9D91-7224C49458BB}"/>
              </c:extLst>
            </c:dLbl>
            <c:dLbl>
              <c:idx val="10"/>
              <c:layout>
                <c:manualLayout>
                  <c:x val="-1.7804154302670624E-2"/>
                  <c:y val="-4.47761194029851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Sheet1!$C$172:$N$172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Sheet1!$C$174:$N$174</c:f>
              <c:numCache>
                <c:formatCode>#,##0</c:formatCode>
                <c:ptCount val="12"/>
                <c:pt idx="0">
                  <c:v>0</c:v>
                </c:pt>
                <c:pt idx="1">
                  <c:v>0</c:v>
                </c:pt>
                <c:pt idx="2">
                  <c:v>0</c:v>
                </c:pt>
                <c:pt idx="3">
                  <c:v>209359</c:v>
                </c:pt>
                <c:pt idx="4">
                  <c:v>223654</c:v>
                </c:pt>
                <c:pt idx="5">
                  <c:v>249440</c:v>
                </c:pt>
                <c:pt idx="6">
                  <c:v>243046</c:v>
                </c:pt>
                <c:pt idx="7">
                  <c:v>307748</c:v>
                </c:pt>
                <c:pt idx="8">
                  <c:v>223216</c:v>
                </c:pt>
                <c:pt idx="9">
                  <c:v>98528</c:v>
                </c:pt>
                <c:pt idx="10" formatCode="General">
                  <c:v>186</c:v>
                </c:pt>
                <c:pt idx="11" formatCode="General">
                  <c:v>0</c:v>
                </c:pt>
              </c:numCache>
            </c:numRef>
          </c:val>
          <c:smooth val="0"/>
        </c:ser>
        <c:dLbls>
          <c:showLegendKey val="0"/>
          <c:showVal val="1"/>
          <c:showCatName val="0"/>
          <c:showSerName val="0"/>
          <c:showPercent val="0"/>
          <c:showBubbleSize val="0"/>
        </c:dLbls>
        <c:marker val="1"/>
        <c:smooth val="0"/>
        <c:axId val="1756677936"/>
        <c:axId val="1756677392"/>
      </c:lineChart>
      <c:catAx>
        <c:axId val="175667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77392"/>
        <c:crosses val="autoZero"/>
        <c:auto val="1"/>
        <c:lblAlgn val="ctr"/>
        <c:lblOffset val="100"/>
        <c:noMultiLvlLbl val="0"/>
      </c:catAx>
      <c:valAx>
        <c:axId val="1756677392"/>
        <c:scaling>
          <c:orientation val="minMax"/>
        </c:scaling>
        <c:delete val="1"/>
        <c:axPos val="l"/>
        <c:numFmt formatCode="#,##0" sourceLinked="1"/>
        <c:majorTickMark val="none"/>
        <c:minorTickMark val="none"/>
        <c:tickLblPos val="nextTo"/>
        <c:crossAx val="1756677936"/>
        <c:crosses val="autoZero"/>
        <c:crossBetween val="between"/>
      </c:valAx>
      <c:spPr>
        <a:noFill/>
        <a:ln>
          <a:noFill/>
        </a:ln>
        <a:effectLst/>
      </c:spPr>
    </c:plotArea>
    <c:legend>
      <c:legendPos val="t"/>
      <c:layout>
        <c:manualLayout>
          <c:xMode val="edge"/>
          <c:yMode val="edge"/>
          <c:x val="0.29224387576552929"/>
          <c:y val="0.88476432998138488"/>
          <c:w val="0.40440091863517064"/>
          <c:h val="0.1152359486603172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Sheet1!$G$24</c:f>
              <c:strCache>
                <c:ptCount val="1"/>
                <c:pt idx="0">
                  <c:v>2016</c:v>
                </c:pt>
              </c:strCache>
            </c:strRef>
          </c:tx>
          <c:spPr>
            <a:solidFill>
              <a:schemeClr val="accent1"/>
            </a:solidFill>
            <a:ln>
              <a:noFill/>
            </a:ln>
            <a:effectLst/>
          </c:spPr>
          <c:invertIfNegative val="0"/>
          <c:dLbls>
            <c:dLbl>
              <c:idx val="0"/>
              <c:layout>
                <c:manualLayout>
                  <c:x val="-4.3901153131103424E-18"/>
                  <c:y val="-1.478742781425905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0894525522295796E-2"/>
                  <c:y val="-5.898107473407929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7.0631500075451683E-3"/>
                  <c:y val="-2.105263157894743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Sheet1!$F$25:$F$28</c:f>
              <c:strCache>
                <c:ptCount val="4"/>
                <c:pt idx="0">
                  <c:v>Revenue from the transmission activity</c:v>
                </c:pt>
                <c:pt idx="1">
                  <c:v>Revenue from the transmission activity international</c:v>
                </c:pt>
                <c:pt idx="2">
                  <c:v>Balancing revenue</c:v>
                </c:pt>
                <c:pt idx="3">
                  <c:v>Other operating revenue     </c:v>
                </c:pt>
              </c:strCache>
            </c:strRef>
          </c:cat>
          <c:val>
            <c:numRef>
              <c:f>Sheet1!$G$25:$G$28</c:f>
              <c:numCache>
                <c:formatCode>#,##0</c:formatCode>
                <c:ptCount val="4"/>
                <c:pt idx="0">
                  <c:v>1360355</c:v>
                </c:pt>
                <c:pt idx="1">
                  <c:v>328571</c:v>
                </c:pt>
                <c:pt idx="2">
                  <c:v>57404</c:v>
                </c:pt>
                <c:pt idx="3">
                  <c:v>126459</c:v>
                </c:pt>
              </c:numCache>
            </c:numRef>
          </c:val>
        </c:ser>
        <c:ser>
          <c:idx val="1"/>
          <c:order val="1"/>
          <c:tx>
            <c:strRef>
              <c:f>Sheet1!$H$24</c:f>
              <c:strCache>
                <c:ptCount val="1"/>
                <c:pt idx="0">
                  <c:v>2015</c:v>
                </c:pt>
              </c:strCache>
            </c:strRef>
          </c:tx>
          <c:spPr>
            <a:solidFill>
              <a:schemeClr val="accent1">
                <a:lumMod val="40000"/>
                <a:lumOff val="60000"/>
              </a:schemeClr>
            </a:solidFill>
            <a:ln>
              <a:solidFill>
                <a:schemeClr val="accent1">
                  <a:lumMod val="40000"/>
                  <a:lumOff val="60000"/>
                </a:schemeClr>
              </a:solidFill>
            </a:ln>
            <a:effectLst/>
          </c:spPr>
          <c:invertIfNegative val="0"/>
          <c:dLbls>
            <c:dLbl>
              <c:idx val="0"/>
              <c:layout>
                <c:manualLayout>
                  <c:x val="-8.7802306262206848E-18"/>
                  <c:y val="9.858285209506004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6467264872050518E-3"/>
                  <c:y val="-6.4326742272101015E-17"/>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Sheet1!$F$25:$F$28</c:f>
              <c:strCache>
                <c:ptCount val="4"/>
                <c:pt idx="0">
                  <c:v>Revenue from the transmission activity</c:v>
                </c:pt>
                <c:pt idx="1">
                  <c:v>Revenue from the transmission activity international</c:v>
                </c:pt>
                <c:pt idx="2">
                  <c:v>Balancing revenue</c:v>
                </c:pt>
                <c:pt idx="3">
                  <c:v>Other operating revenue     </c:v>
                </c:pt>
              </c:strCache>
            </c:strRef>
          </c:cat>
          <c:val>
            <c:numRef>
              <c:f>Sheet1!$H$25:$H$28</c:f>
              <c:numCache>
                <c:formatCode>#,##0</c:formatCode>
                <c:ptCount val="4"/>
                <c:pt idx="0">
                  <c:v>1259788</c:v>
                </c:pt>
                <c:pt idx="1">
                  <c:v>318752</c:v>
                </c:pt>
                <c:pt idx="2">
                  <c:v>0</c:v>
                </c:pt>
                <c:pt idx="3">
                  <c:v>84858</c:v>
                </c:pt>
              </c:numCache>
            </c:numRef>
          </c:val>
        </c:ser>
        <c:ser>
          <c:idx val="2"/>
          <c:order val="2"/>
          <c:tx>
            <c:strRef>
              <c:f>Sheet1!$I$24</c:f>
              <c:strCache>
                <c:ptCount val="1"/>
                <c:pt idx="0">
                  <c:v>2014</c:v>
                </c:pt>
              </c:strCache>
            </c:strRef>
          </c:tx>
          <c:spPr>
            <a:solidFill>
              <a:schemeClr val="accent3"/>
            </a:solidFill>
            <a:ln>
              <a:noFill/>
            </a:ln>
            <a:effectLst/>
          </c:spPr>
          <c:invertIfNegative val="0"/>
          <c:dLbls>
            <c:dLbl>
              <c:idx val="0"/>
              <c:layout>
                <c:manualLayout>
                  <c:x val="7.6628352490421105E-3"/>
                  <c:y val="-4.9291426047530246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5209140731785396E-2"/>
                  <c:y val="9.8582677165353679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389335543583361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Sheet1!$F$25:$F$28</c:f>
              <c:strCache>
                <c:ptCount val="4"/>
                <c:pt idx="0">
                  <c:v>Revenue from the transmission activity</c:v>
                </c:pt>
                <c:pt idx="1">
                  <c:v>Revenue from the transmission activity international</c:v>
                </c:pt>
                <c:pt idx="2">
                  <c:v>Balancing revenue</c:v>
                </c:pt>
                <c:pt idx="3">
                  <c:v>Other operating revenue     </c:v>
                </c:pt>
              </c:strCache>
            </c:strRef>
          </c:cat>
          <c:val>
            <c:numRef>
              <c:f>Sheet1!$I$25:$I$28</c:f>
              <c:numCache>
                <c:formatCode>#,##0</c:formatCode>
                <c:ptCount val="4"/>
                <c:pt idx="0">
                  <c:v>1340853</c:v>
                </c:pt>
                <c:pt idx="1">
                  <c:v>273760</c:v>
                </c:pt>
                <c:pt idx="2" formatCode="General">
                  <c:v>0</c:v>
                </c:pt>
                <c:pt idx="3">
                  <c:v>40706</c:v>
                </c:pt>
              </c:numCache>
            </c:numRef>
          </c:val>
        </c:ser>
        <c:ser>
          <c:idx val="3"/>
          <c:order val="3"/>
          <c:tx>
            <c:strRef>
              <c:f>Sheet1!$J$24</c:f>
              <c:strCache>
                <c:ptCount val="1"/>
                <c:pt idx="0">
                  <c:v>2013</c:v>
                </c:pt>
              </c:strCache>
            </c:strRef>
          </c:tx>
          <c:spPr>
            <a:solidFill>
              <a:schemeClr val="accent5">
                <a:lumMod val="60000"/>
                <a:lumOff val="40000"/>
              </a:schemeClr>
            </a:solidFill>
            <a:ln>
              <a:solidFill>
                <a:schemeClr val="accent5">
                  <a:lumMod val="60000"/>
                  <a:lumOff val="40000"/>
                </a:schemeClr>
              </a:solidFill>
            </a:ln>
            <a:effectLst/>
          </c:spPr>
          <c:invertIfNegative val="0"/>
          <c:dLbls>
            <c:dLbl>
              <c:idx val="0"/>
              <c:layout>
                <c:manualLayout>
                  <c:x val="1.7241379310344827E-2"/>
                  <c:y val="9.858285209506004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3.9397119228491255E-2"/>
                  <c:y val="2.807017543859642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2572178477690288E-2"/>
                  <c:y val="4.210526315789473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Sheet1!$F$25:$F$28</c:f>
              <c:strCache>
                <c:ptCount val="4"/>
                <c:pt idx="0">
                  <c:v>Revenue from the transmission activity</c:v>
                </c:pt>
                <c:pt idx="1">
                  <c:v>Revenue from the transmission activity international</c:v>
                </c:pt>
                <c:pt idx="2">
                  <c:v>Balancing revenue</c:v>
                </c:pt>
                <c:pt idx="3">
                  <c:v>Other operating revenue     </c:v>
                </c:pt>
              </c:strCache>
            </c:strRef>
          </c:cat>
          <c:val>
            <c:numRef>
              <c:f>Sheet1!$J$25:$J$28</c:f>
              <c:numCache>
                <c:formatCode>#,##0</c:formatCode>
                <c:ptCount val="4"/>
                <c:pt idx="0">
                  <c:v>1210480</c:v>
                </c:pt>
                <c:pt idx="1">
                  <c:v>268537</c:v>
                </c:pt>
                <c:pt idx="2" formatCode="General">
                  <c:v>0</c:v>
                </c:pt>
                <c:pt idx="3">
                  <c:v>37623</c:v>
                </c:pt>
              </c:numCache>
            </c:numRef>
          </c:val>
        </c:ser>
        <c:dLbls>
          <c:dLblPos val="outEnd"/>
          <c:showLegendKey val="0"/>
          <c:showVal val="1"/>
          <c:showCatName val="0"/>
          <c:showSerName val="0"/>
          <c:showPercent val="0"/>
          <c:showBubbleSize val="0"/>
        </c:dLbls>
        <c:gapWidth val="219"/>
        <c:overlap val="-27"/>
        <c:axId val="1756678480"/>
        <c:axId val="1756681200"/>
      </c:barChart>
      <c:catAx>
        <c:axId val="17566784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81200"/>
        <c:crosses val="autoZero"/>
        <c:auto val="1"/>
        <c:lblAlgn val="ctr"/>
        <c:lblOffset val="100"/>
        <c:noMultiLvlLbl val="0"/>
      </c:catAx>
      <c:valAx>
        <c:axId val="1756681200"/>
        <c:scaling>
          <c:orientation val="minMax"/>
        </c:scaling>
        <c:delete val="1"/>
        <c:axPos val="l"/>
        <c:numFmt formatCode="#,##0" sourceLinked="1"/>
        <c:majorTickMark val="out"/>
        <c:minorTickMark val="none"/>
        <c:tickLblPos val="nextTo"/>
        <c:crossAx val="175667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7724603965880138E-2"/>
          <c:y val="9.90990990990991E-2"/>
          <c:w val="0.95823719709454924"/>
          <c:h val="0.52510392282045826"/>
        </c:manualLayout>
      </c:layout>
      <c:barChart>
        <c:barDir val="col"/>
        <c:grouping val="clustered"/>
        <c:varyColors val="0"/>
        <c:ser>
          <c:idx val="0"/>
          <c:order val="0"/>
          <c:tx>
            <c:strRef>
              <c:f>Sheet1!$F$32</c:f>
              <c:strCache>
                <c:ptCount val="1"/>
                <c:pt idx="0">
                  <c:v>Revenue from the transmission activity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Sheet1!$G$31:$J$31</c:f>
              <c:numCache>
                <c:formatCode>General</c:formatCode>
                <c:ptCount val="4"/>
                <c:pt idx="0">
                  <c:v>2016</c:v>
                </c:pt>
                <c:pt idx="1">
                  <c:v>2015</c:v>
                </c:pt>
                <c:pt idx="2">
                  <c:v>2014</c:v>
                </c:pt>
                <c:pt idx="3">
                  <c:v>2013</c:v>
                </c:pt>
              </c:numCache>
            </c:numRef>
          </c:cat>
          <c:val>
            <c:numRef>
              <c:f>Sheet1!$G$32:$J$32</c:f>
              <c:numCache>
                <c:formatCode>0%</c:formatCode>
                <c:ptCount val="4"/>
                <c:pt idx="0">
                  <c:v>0.72637960089449527</c:v>
                </c:pt>
                <c:pt idx="1">
                  <c:v>0.7573581307660584</c:v>
                </c:pt>
                <c:pt idx="2">
                  <c:v>0.81002694948828591</c:v>
                </c:pt>
                <c:pt idx="3">
                  <c:v>0.79813271442135247</c:v>
                </c:pt>
              </c:numCache>
            </c:numRef>
          </c:val>
        </c:ser>
        <c:ser>
          <c:idx val="1"/>
          <c:order val="1"/>
          <c:tx>
            <c:strRef>
              <c:f>Sheet1!$F$33</c:f>
              <c:strCache>
                <c:ptCount val="1"/>
                <c:pt idx="0">
                  <c:v>Revenue from the international transmission activity </c:v>
                </c:pt>
              </c:strCache>
            </c:strRef>
          </c:tx>
          <c:spPr>
            <a:solidFill>
              <a:schemeClr val="accent1">
                <a:lumMod val="40000"/>
                <a:lumOff val="60000"/>
              </a:schemeClr>
            </a:solidFill>
            <a:ln>
              <a:solidFill>
                <a:schemeClr val="accent1">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Sheet1!$G$31:$J$31</c:f>
              <c:numCache>
                <c:formatCode>General</c:formatCode>
                <c:ptCount val="4"/>
                <c:pt idx="0">
                  <c:v>2016</c:v>
                </c:pt>
                <c:pt idx="1">
                  <c:v>2015</c:v>
                </c:pt>
                <c:pt idx="2">
                  <c:v>2014</c:v>
                </c:pt>
                <c:pt idx="3">
                  <c:v>2013</c:v>
                </c:pt>
              </c:numCache>
            </c:numRef>
          </c:cat>
          <c:val>
            <c:numRef>
              <c:f>Sheet1!$G$33:$J$33</c:f>
              <c:numCache>
                <c:formatCode>0%</c:formatCode>
                <c:ptCount val="4"/>
                <c:pt idx="0">
                  <c:v>0.17544484479823663</c:v>
                </c:pt>
                <c:pt idx="1">
                  <c:v>0.19162701890948527</c:v>
                </c:pt>
                <c:pt idx="2">
                  <c:v>0.1653820200215185</c:v>
                </c:pt>
                <c:pt idx="3">
                  <c:v>0.1770604757885853</c:v>
                </c:pt>
              </c:numCache>
            </c:numRef>
          </c:val>
        </c:ser>
        <c:ser>
          <c:idx val="2"/>
          <c:order val="2"/>
          <c:tx>
            <c:strRef>
              <c:f>Sheet1!$F$34</c:f>
              <c:strCache>
                <c:ptCount val="1"/>
                <c:pt idx="0">
                  <c:v>Balancing revenue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Sheet1!$G$31:$J$31</c:f>
              <c:numCache>
                <c:formatCode>General</c:formatCode>
                <c:ptCount val="4"/>
                <c:pt idx="0">
                  <c:v>2016</c:v>
                </c:pt>
                <c:pt idx="1">
                  <c:v>2015</c:v>
                </c:pt>
                <c:pt idx="2">
                  <c:v>2014</c:v>
                </c:pt>
                <c:pt idx="3">
                  <c:v>2013</c:v>
                </c:pt>
              </c:numCache>
            </c:numRef>
          </c:cat>
          <c:val>
            <c:numRef>
              <c:f>Sheet1!$G$34:$J$34</c:f>
              <c:numCache>
                <c:formatCode>0%</c:formatCode>
                <c:ptCount val="4"/>
                <c:pt idx="0">
                  <c:v>3.0651627413246989E-2</c:v>
                </c:pt>
                <c:pt idx="1">
                  <c:v>0</c:v>
                </c:pt>
                <c:pt idx="2">
                  <c:v>0</c:v>
                </c:pt>
                <c:pt idx="3">
                  <c:v>0</c:v>
                </c:pt>
              </c:numCache>
            </c:numRef>
          </c:val>
        </c:ser>
        <c:ser>
          <c:idx val="3"/>
          <c:order val="3"/>
          <c:tx>
            <c:strRef>
              <c:f>Sheet1!$F$35</c:f>
              <c:strCache>
                <c:ptCount val="1"/>
                <c:pt idx="0">
                  <c:v>Other operating revenue</c:v>
                </c:pt>
              </c:strCache>
            </c:strRef>
          </c:tx>
          <c:spPr>
            <a:solidFill>
              <a:schemeClr val="accent5">
                <a:lumMod val="60000"/>
                <a:lumOff val="40000"/>
              </a:schemeClr>
            </a:solidFill>
            <a:ln>
              <a:solidFill>
                <a:schemeClr val="accent5">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Sheet1!$G$31:$J$31</c:f>
              <c:numCache>
                <c:formatCode>General</c:formatCode>
                <c:ptCount val="4"/>
                <c:pt idx="0">
                  <c:v>2016</c:v>
                </c:pt>
                <c:pt idx="1">
                  <c:v>2015</c:v>
                </c:pt>
                <c:pt idx="2">
                  <c:v>2014</c:v>
                </c:pt>
                <c:pt idx="3">
                  <c:v>2013</c:v>
                </c:pt>
              </c:numCache>
            </c:numRef>
          </c:cat>
          <c:val>
            <c:numRef>
              <c:f>Sheet1!$G$35:$J$35</c:f>
              <c:numCache>
                <c:formatCode>0%</c:formatCode>
                <c:ptCount val="4"/>
                <c:pt idx="0">
                  <c:v>6.7524460857288707E-2</c:v>
                </c:pt>
                <c:pt idx="1">
                  <c:v>5.1014850324456323E-2</c:v>
                </c:pt>
                <c:pt idx="2">
                  <c:v>2.4591030490195544E-2</c:v>
                </c:pt>
                <c:pt idx="3">
                  <c:v>2.4806809790062244E-2</c:v>
                </c:pt>
              </c:numCache>
            </c:numRef>
          </c:val>
        </c:ser>
        <c:dLbls>
          <c:dLblPos val="outEnd"/>
          <c:showLegendKey val="0"/>
          <c:showVal val="1"/>
          <c:showCatName val="0"/>
          <c:showSerName val="0"/>
          <c:showPercent val="0"/>
          <c:showBubbleSize val="0"/>
        </c:dLbls>
        <c:gapWidth val="219"/>
        <c:overlap val="-27"/>
        <c:axId val="1756682288"/>
        <c:axId val="1756689904"/>
      </c:barChart>
      <c:catAx>
        <c:axId val="1756682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89904"/>
        <c:crosses val="autoZero"/>
        <c:auto val="1"/>
        <c:lblAlgn val="ctr"/>
        <c:lblOffset val="100"/>
        <c:noMultiLvlLbl val="0"/>
      </c:catAx>
      <c:valAx>
        <c:axId val="1756689904"/>
        <c:scaling>
          <c:orientation val="minMax"/>
        </c:scaling>
        <c:delete val="1"/>
        <c:axPos val="l"/>
        <c:numFmt formatCode="0%" sourceLinked="1"/>
        <c:majorTickMark val="none"/>
        <c:minorTickMark val="none"/>
        <c:tickLblPos val="nextTo"/>
        <c:crossAx val="1756682288"/>
        <c:crosses val="autoZero"/>
        <c:crossBetween val="between"/>
      </c:valAx>
      <c:spPr>
        <a:noFill/>
        <a:ln>
          <a:noFill/>
        </a:ln>
        <a:effectLst/>
      </c:spPr>
    </c:plotArea>
    <c:legend>
      <c:legendPos val="b"/>
      <c:layout>
        <c:manualLayout>
          <c:xMode val="edge"/>
          <c:yMode val="edge"/>
          <c:x val="0"/>
          <c:y val="0.74774349152301922"/>
          <c:w val="0.98030527839055015"/>
          <c:h val="0.198202454422926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o-RO" sz="1400"/>
              <a:t>Net</a:t>
            </a:r>
            <a:r>
              <a:rPr lang="ro-RO" sz="1400" baseline="0"/>
              <a:t> profit</a:t>
            </a:r>
            <a:endParaRPr lang="ro-RO" sz="1400"/>
          </a:p>
        </c:rich>
      </c:tx>
      <c:overlay val="0"/>
      <c:spPr>
        <a:noFill/>
        <a:ln>
          <a:noFill/>
        </a:ln>
        <a:effectLst/>
      </c:spPr>
    </c:title>
    <c:autoTitleDeleted val="0"/>
    <c:plotArea>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Sheet1!$B$2</c:f>
              <c:numCache>
                <c:formatCode>#,##0</c:formatCode>
                <c:ptCount val="1"/>
                <c:pt idx="0">
                  <c:v>331408.30214999977</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Sheet1!$C$2</c:f>
              <c:numCache>
                <c:formatCode>#,##0</c:formatCode>
                <c:ptCount val="1"/>
                <c:pt idx="0">
                  <c:v>502516.06233043846</c:v>
                </c:pt>
              </c:numCache>
            </c:numRef>
          </c:val>
        </c:ser>
        <c:ser>
          <c:idx val="2"/>
          <c:order val="2"/>
          <c:tx>
            <c:strRef>
              <c:f>Sheet1!$D$1</c:f>
              <c:strCache>
                <c:ptCount val="1"/>
                <c:pt idx="0">
                  <c:v>2015</c:v>
                </c:pt>
              </c:strCache>
            </c:strRef>
          </c:tx>
          <c:spPr>
            <a:solidFill>
              <a:schemeClr val="accent3"/>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Sheet1!$D$2</c:f>
              <c:numCache>
                <c:formatCode>#,##0</c:formatCode>
                <c:ptCount val="1"/>
                <c:pt idx="0">
                  <c:v>488729.00181194657</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c:f>
              <c:strCache>
                <c:ptCount val="1"/>
                <c:pt idx="0">
                  <c:v>Net profit</c:v>
                </c:pt>
              </c:strCache>
            </c:strRef>
          </c:cat>
          <c:val>
            <c:numRef>
              <c:f>Sheet1!$E$2</c:f>
              <c:numCache>
                <c:formatCode>#,##0</c:formatCode>
                <c:ptCount val="1"/>
                <c:pt idx="0">
                  <c:v>594565</c:v>
                </c:pt>
              </c:numCache>
            </c:numRef>
          </c:val>
        </c:ser>
        <c:dLbls>
          <c:dLblPos val="outEnd"/>
          <c:showLegendKey val="0"/>
          <c:showVal val="1"/>
          <c:showCatName val="0"/>
          <c:showSerName val="0"/>
          <c:showPercent val="0"/>
          <c:showBubbleSize val="0"/>
        </c:dLbls>
        <c:gapWidth val="219"/>
        <c:overlap val="-27"/>
        <c:axId val="36483472"/>
        <c:axId val="36479120"/>
      </c:barChart>
      <c:catAx>
        <c:axId val="3648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36479120"/>
        <c:crosses val="autoZero"/>
        <c:auto val="1"/>
        <c:lblAlgn val="ctr"/>
        <c:lblOffset val="100"/>
        <c:noMultiLvlLbl val="0"/>
      </c:catAx>
      <c:valAx>
        <c:axId val="3647912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36483472"/>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o-RO" sz="1400"/>
              <a:t>Net</a:t>
            </a:r>
            <a:r>
              <a:rPr lang="ro-RO" sz="1400" baseline="0"/>
              <a:t> profit</a:t>
            </a:r>
            <a:endParaRPr lang="ro-RO" sz="1400"/>
          </a:p>
        </c:rich>
      </c:tx>
      <c:overlay val="0"/>
      <c:spPr>
        <a:noFill/>
        <a:ln>
          <a:noFill/>
        </a:ln>
        <a:effectLst/>
      </c:spPr>
    </c:title>
    <c:autoTitleDeleted val="0"/>
    <c:plotArea>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Sheet1!$B$2</c:f>
              <c:numCache>
                <c:formatCode>#,##0</c:formatCode>
                <c:ptCount val="1"/>
                <c:pt idx="0">
                  <c:v>331408.30214999977</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Sheet1!$C$2</c:f>
              <c:numCache>
                <c:formatCode>#,##0</c:formatCode>
                <c:ptCount val="1"/>
                <c:pt idx="0">
                  <c:v>502516.06233043846</c:v>
                </c:pt>
              </c:numCache>
            </c:numRef>
          </c:val>
        </c:ser>
        <c:ser>
          <c:idx val="2"/>
          <c:order val="2"/>
          <c:tx>
            <c:strRef>
              <c:f>Sheet1!$D$1</c:f>
              <c:strCache>
                <c:ptCount val="1"/>
                <c:pt idx="0">
                  <c:v>2015</c:v>
                </c:pt>
              </c:strCache>
            </c:strRef>
          </c:tx>
          <c:spPr>
            <a:solidFill>
              <a:schemeClr val="accent3"/>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Net profit</c:v>
                </c:pt>
              </c:strCache>
            </c:strRef>
          </c:cat>
          <c:val>
            <c:numRef>
              <c:f>Sheet1!$D$2</c:f>
              <c:numCache>
                <c:formatCode>#,##0</c:formatCode>
                <c:ptCount val="1"/>
                <c:pt idx="0">
                  <c:v>488729.00181194657</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c:f>
              <c:strCache>
                <c:ptCount val="1"/>
                <c:pt idx="0">
                  <c:v>Net profit</c:v>
                </c:pt>
              </c:strCache>
            </c:strRef>
          </c:cat>
          <c:val>
            <c:numRef>
              <c:f>Sheet1!$E$2</c:f>
              <c:numCache>
                <c:formatCode>#,##0</c:formatCode>
                <c:ptCount val="1"/>
                <c:pt idx="0">
                  <c:v>594565</c:v>
                </c:pt>
              </c:numCache>
            </c:numRef>
          </c:val>
        </c:ser>
        <c:dLbls>
          <c:dLblPos val="outEnd"/>
          <c:showLegendKey val="0"/>
          <c:showVal val="1"/>
          <c:showCatName val="0"/>
          <c:showSerName val="0"/>
          <c:showPercent val="0"/>
          <c:showBubbleSize val="0"/>
        </c:dLbls>
        <c:gapWidth val="219"/>
        <c:overlap val="-27"/>
        <c:axId val="-1114993456"/>
        <c:axId val="-1115001072"/>
      </c:barChart>
      <c:catAx>
        <c:axId val="-111499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115001072"/>
        <c:crosses val="autoZero"/>
        <c:auto val="1"/>
        <c:lblAlgn val="ctr"/>
        <c:lblOffset val="100"/>
        <c:noMultiLvlLbl val="0"/>
      </c:catAx>
      <c:valAx>
        <c:axId val="-1115001072"/>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11499345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600"/>
            </a:pPr>
            <a:r>
              <a:rPr lang="ro-RO" sz="1600"/>
              <a:t>Turnover</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Turnover</c:v>
                </c:pt>
              </c:strCache>
            </c:strRef>
          </c:cat>
          <c:val>
            <c:numRef>
              <c:f>Sheet1!$B$2</c:f>
              <c:numCache>
                <c:formatCode>#,##0</c:formatCode>
                <c:ptCount val="1"/>
                <c:pt idx="0">
                  <c:v>1484714.0770800002</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Turnover</c:v>
                </c:pt>
              </c:strCache>
            </c:strRef>
          </c:cat>
          <c:val>
            <c:numRef>
              <c:f>Sheet1!$C$2</c:f>
              <c:numCache>
                <c:formatCode>#,##0</c:formatCode>
                <c:ptCount val="1"/>
                <c:pt idx="0">
                  <c:v>1618089.0400799999</c:v>
                </c:pt>
              </c:numCache>
            </c:numRef>
          </c:val>
        </c:ser>
        <c:ser>
          <c:idx val="2"/>
          <c:order val="2"/>
          <c:tx>
            <c:strRef>
              <c:f>Sheet1!$D$1</c:f>
              <c:strCache>
                <c:ptCount val="1"/>
                <c:pt idx="0">
                  <c:v>2015</c:v>
                </c:pt>
              </c:strCache>
            </c:strRef>
          </c:tx>
          <c:spPr>
            <a:solidFill>
              <a:schemeClr val="accent3"/>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c:f>
              <c:strCache>
                <c:ptCount val="1"/>
                <c:pt idx="0">
                  <c:v>Turnover</c:v>
                </c:pt>
              </c:strCache>
            </c:strRef>
          </c:cat>
          <c:val>
            <c:numRef>
              <c:f>Sheet1!$D$2</c:f>
              <c:numCache>
                <c:formatCode>#,##0</c:formatCode>
                <c:ptCount val="1"/>
                <c:pt idx="0">
                  <c:v>1581469.9444699998</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c:f>
              <c:strCache>
                <c:ptCount val="1"/>
                <c:pt idx="0">
                  <c:v>Turnover</c:v>
                </c:pt>
              </c:strCache>
            </c:strRef>
          </c:cat>
          <c:val>
            <c:numRef>
              <c:f>Sheet1!$E$2</c:f>
              <c:numCache>
                <c:formatCode>#,##0</c:formatCode>
                <c:ptCount val="1"/>
                <c:pt idx="0">
                  <c:v>1750203</c:v>
                </c:pt>
              </c:numCache>
            </c:numRef>
          </c:val>
        </c:ser>
        <c:dLbls>
          <c:dLblPos val="outEnd"/>
          <c:showLegendKey val="0"/>
          <c:showVal val="1"/>
          <c:showCatName val="0"/>
          <c:showSerName val="0"/>
          <c:showPercent val="0"/>
          <c:showBubbleSize val="0"/>
        </c:dLbls>
        <c:gapWidth val="219"/>
        <c:overlap val="-27"/>
        <c:axId val="1756683376"/>
        <c:axId val="1756685552"/>
      </c:barChart>
      <c:catAx>
        <c:axId val="175668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756685552"/>
        <c:crosses val="autoZero"/>
        <c:auto val="1"/>
        <c:lblAlgn val="ctr"/>
        <c:lblOffset val="100"/>
        <c:noMultiLvlLbl val="0"/>
      </c:catAx>
      <c:valAx>
        <c:axId val="1756685552"/>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756683376"/>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777777777777776E-2"/>
          <c:y val="5.8360081704114386E-2"/>
          <c:w val="0.94907407407407407"/>
          <c:h val="0.58358559346748318"/>
        </c:manualLayout>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dLbl>
              <c:idx val="0"/>
              <c:layout>
                <c:manualLayout>
                  <c:x val="-2.5462962962962962E-2"/>
                  <c:y val="1.75080245112343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0833333333333332E-2"/>
                  <c:y val="2.917982709788391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0833333333333332E-2"/>
                  <c:y val="1.750789625873030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Operating income before the construction activity acc. to IFRIC12 - RON thousand</c:v>
                </c:pt>
                <c:pt idx="1">
                  <c:v>Operating costs before the construction activity acc. to IFRIC12 - RON thousand</c:v>
                </c:pt>
                <c:pt idx="2">
                  <c:v>Operating profit  - RON thousand</c:v>
                </c:pt>
              </c:strCache>
            </c:strRef>
          </c:cat>
          <c:val>
            <c:numRef>
              <c:f>Sheet1!$B$2:$B$4</c:f>
              <c:numCache>
                <c:formatCode>#,##0</c:formatCode>
                <c:ptCount val="3"/>
                <c:pt idx="0">
                  <c:v>1516640.3026999999</c:v>
                </c:pt>
                <c:pt idx="1">
                  <c:v>981646.79357999994</c:v>
                </c:pt>
                <c:pt idx="2">
                  <c:v>534993.50911999994</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dLbl>
              <c:idx val="0"/>
              <c:layout>
                <c:manualLayout>
                  <c:x val="0"/>
                  <c:y val="2.325672232319076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3148148148148997E-3"/>
                  <c:y val="1.742070376796117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9.2591681248177307E-3"/>
                  <c:y val="-7.6204457493660753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8.2476851851851843E-2"/>
                      <c:h val="8.161680402730515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Operating income before the construction activity acc. to IFRIC12 - RON thousand</c:v>
                </c:pt>
                <c:pt idx="1">
                  <c:v>Operating costs before the construction activity acc. to IFRIC12 - RON thousand</c:v>
                </c:pt>
                <c:pt idx="2">
                  <c:v>Operating profit  - RON thousand</c:v>
                </c:pt>
              </c:strCache>
            </c:strRef>
          </c:cat>
          <c:val>
            <c:numRef>
              <c:f>Sheet1!$C$2:$C$4</c:f>
              <c:numCache>
                <c:formatCode>#,##0</c:formatCode>
                <c:ptCount val="3"/>
                <c:pt idx="0">
                  <c:v>1655319.0357846033</c:v>
                </c:pt>
                <c:pt idx="1">
                  <c:v>1063750.6511741646</c:v>
                </c:pt>
                <c:pt idx="2">
                  <c:v>591568.38461043872</c:v>
                </c:pt>
              </c:numCache>
            </c:numRef>
          </c:val>
        </c:ser>
        <c:ser>
          <c:idx val="2"/>
          <c:order val="2"/>
          <c:tx>
            <c:strRef>
              <c:f>Sheet1!$D$1</c:f>
              <c:strCache>
                <c:ptCount val="1"/>
                <c:pt idx="0">
                  <c:v>2015</c:v>
                </c:pt>
              </c:strCache>
            </c:strRef>
          </c:tx>
          <c:spPr>
            <a:solidFill>
              <a:schemeClr val="accent3"/>
            </a:solidFill>
            <a:ln>
              <a:noFill/>
            </a:ln>
            <a:effectLst/>
          </c:spPr>
          <c:invertIfNegative val="0"/>
          <c:dLbls>
            <c:dLbl>
              <c:idx val="0"/>
              <c:layout>
                <c:manualLayout>
                  <c:x val="2.546296296296292E-2"/>
                  <c:y val="0"/>
                </c:manualLayout>
              </c:layout>
              <c:tx>
                <c:rich>
                  <a:bodyPr/>
                  <a:lstStyle/>
                  <a:p>
                    <a:r>
                      <a:rPr lang="en-US"/>
                      <a:t>1.663.398</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8518518518518434E-2"/>
                  <c:y val="-9.2299479514213259E-3"/>
                </c:manualLayout>
              </c:layout>
              <c:tx>
                <c:rich>
                  <a:bodyPr/>
                  <a:lstStyle/>
                  <a:p>
                    <a:r>
                      <a:rPr lang="en-US"/>
                      <a:t>1.077.219</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4.6296296296296294E-3"/>
                  <c:y val="1.750802451123431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Operating income before the construction activity acc. to IFRIC12 - RON thousand</c:v>
                </c:pt>
                <c:pt idx="1">
                  <c:v>Operating costs before the construction activity acc. to IFRIC12 - RON thousand</c:v>
                </c:pt>
                <c:pt idx="2">
                  <c:v>Operating profit  - RON thousand</c:v>
                </c:pt>
              </c:strCache>
            </c:strRef>
          </c:cat>
          <c:val>
            <c:numRef>
              <c:f>Sheet1!$D$2:$D$4</c:f>
              <c:numCache>
                <c:formatCode>#,##0</c:formatCode>
                <c:ptCount val="3"/>
                <c:pt idx="0">
                  <c:v>1663398</c:v>
                </c:pt>
                <c:pt idx="1">
                  <c:v>1077219</c:v>
                </c:pt>
                <c:pt idx="2">
                  <c:v>586178.63040954666</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dLbl>
              <c:idx val="0"/>
              <c:layout>
                <c:manualLayout>
                  <c:x val="6.9444444444444406E-2"/>
                  <c:y val="7.5329566854990581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3.935185185185177E-2"/>
                  <c:y val="-1.50659133709981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9.2592592592592587E-3"/>
                  <c:y val="-7.5329566854990581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Operating income before the construction activity acc. to IFRIC12 - RON thousand</c:v>
                </c:pt>
                <c:pt idx="1">
                  <c:v>Operating costs before the construction activity acc. to IFRIC12 - RON thousand</c:v>
                </c:pt>
                <c:pt idx="2">
                  <c:v>Operating profit  - RON thousand</c:v>
                </c:pt>
              </c:strCache>
            </c:strRef>
          </c:cat>
          <c:val>
            <c:numRef>
              <c:f>Sheet1!$E$2:$E$4</c:f>
              <c:numCache>
                <c:formatCode>#,##0</c:formatCode>
                <c:ptCount val="3"/>
                <c:pt idx="0">
                  <c:v>1872788</c:v>
                </c:pt>
                <c:pt idx="1">
                  <c:v>1181361</c:v>
                </c:pt>
                <c:pt idx="2">
                  <c:v>691427</c:v>
                </c:pt>
              </c:numCache>
            </c:numRef>
          </c:val>
        </c:ser>
        <c:dLbls>
          <c:dLblPos val="outEnd"/>
          <c:showLegendKey val="0"/>
          <c:showVal val="1"/>
          <c:showCatName val="0"/>
          <c:showSerName val="0"/>
          <c:showPercent val="0"/>
          <c:showBubbleSize val="0"/>
        </c:dLbls>
        <c:gapWidth val="219"/>
        <c:overlap val="-27"/>
        <c:axId val="1756684464"/>
        <c:axId val="1756686640"/>
      </c:barChart>
      <c:catAx>
        <c:axId val="175668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86640"/>
        <c:crosses val="autoZero"/>
        <c:auto val="1"/>
        <c:lblAlgn val="ctr"/>
        <c:lblOffset val="100"/>
        <c:noMultiLvlLbl val="0"/>
      </c:catAx>
      <c:valAx>
        <c:axId val="175668664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756684464"/>
        <c:crosses val="autoZero"/>
        <c:crossBetween val="between"/>
      </c:valAx>
      <c:spPr>
        <a:noFill/>
        <a:ln>
          <a:noFill/>
        </a:ln>
        <a:effectLst/>
      </c:spPr>
    </c:plotArea>
    <c:legend>
      <c:legendPos val="b"/>
      <c:layout>
        <c:manualLayout>
          <c:xMode val="edge"/>
          <c:yMode val="edge"/>
          <c:x val="0.69067639982502194"/>
          <c:y val="0.81172742296101896"/>
          <c:w val="0.30932360017497812"/>
          <c:h val="0.138889860989598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603045133224573E-2"/>
          <c:y val="0.15611448395490027"/>
          <c:w val="0.86486887344628416"/>
          <c:h val="0.54468012727459347"/>
        </c:manualLayout>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dLbl>
              <c:idx val="0"/>
              <c:layout>
                <c:manualLayout>
                  <c:x val="-2.6586905948820207E-2"/>
                  <c:y val="2.15053763440860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2597809076682699E-3"/>
                  <c:y val="2.807017543859646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4.1731872717788209E-3"/>
                  <c:y val="1.403508771929824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income befor the construction activity acc. to IFRIC12 - RON thousand</c:v>
                </c:pt>
                <c:pt idx="1">
                  <c:v>Operating costs befor the construction activity acc. to IFRIC12 - RON thousand</c:v>
                </c:pt>
                <c:pt idx="2">
                  <c:v>Gross profit  - RON thousand</c:v>
                </c:pt>
                <c:pt idx="3">
                  <c:v>Net profit  - RON thousand</c:v>
                </c:pt>
              </c:strCache>
            </c:strRef>
          </c:cat>
          <c:val>
            <c:numRef>
              <c:f>Sheet1!$B$2:$B$5</c:f>
              <c:numCache>
                <c:formatCode>#,##0</c:formatCode>
                <c:ptCount val="4"/>
                <c:pt idx="0">
                  <c:v>1516640</c:v>
                </c:pt>
                <c:pt idx="1">
                  <c:v>981647</c:v>
                </c:pt>
                <c:pt idx="2">
                  <c:v>426757.89214999974</c:v>
                </c:pt>
                <c:pt idx="3">
                  <c:v>331408.30214999977</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dLbl>
              <c:idx val="2"/>
              <c:layout>
                <c:manualLayout>
                  <c:x val="-5.7210454327012708E-3"/>
                  <c:y val="-4.301091310954555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4.210526315789473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income befor the construction activity acc. to IFRIC12 - RON thousand</c:v>
                </c:pt>
                <c:pt idx="1">
                  <c:v>Operating costs befor the construction activity acc. to IFRIC12 - RON thousand</c:v>
                </c:pt>
                <c:pt idx="2">
                  <c:v>Gross profit  - RON thousand</c:v>
                </c:pt>
                <c:pt idx="3">
                  <c:v>Net profit  - RON thousand</c:v>
                </c:pt>
              </c:strCache>
            </c:strRef>
          </c:cat>
          <c:val>
            <c:numRef>
              <c:f>Sheet1!$C$2:$C$5</c:f>
              <c:numCache>
                <c:formatCode>#,##0</c:formatCode>
                <c:ptCount val="4"/>
                <c:pt idx="0">
                  <c:v>1655319</c:v>
                </c:pt>
                <c:pt idx="1">
                  <c:v>1063751</c:v>
                </c:pt>
                <c:pt idx="2">
                  <c:v>610587.21136043849</c:v>
                </c:pt>
                <c:pt idx="3">
                  <c:v>502516.06233043846</c:v>
                </c:pt>
              </c:numCache>
            </c:numRef>
          </c:val>
        </c:ser>
        <c:ser>
          <c:idx val="2"/>
          <c:order val="2"/>
          <c:tx>
            <c:strRef>
              <c:f>Sheet1!$D$1</c:f>
              <c:strCache>
                <c:ptCount val="1"/>
                <c:pt idx="0">
                  <c:v>2015</c:v>
                </c:pt>
              </c:strCache>
            </c:strRef>
          </c:tx>
          <c:spPr>
            <a:solidFill>
              <a:schemeClr val="accent3"/>
            </a:solidFill>
            <a:ln>
              <a:noFill/>
            </a:ln>
            <a:effectLst/>
          </c:spPr>
          <c:invertIfNegative val="0"/>
          <c:dLbls>
            <c:dLbl>
              <c:idx val="0"/>
              <c:layout>
                <c:manualLayout>
                  <c:x val="5.2049831799194117E-3"/>
                  <c:y val="-5.734769995855781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3293452974410104E-2"/>
                  <c:y val="-4.301075268817204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105263157894736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7.0175438596491229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income befor the construction activity acc. to IFRIC12 - RON thousand</c:v>
                </c:pt>
                <c:pt idx="1">
                  <c:v>Operating costs befor the construction activity acc. to IFRIC12 - RON thousand</c:v>
                </c:pt>
                <c:pt idx="2">
                  <c:v>Gross profit  - RON thousand</c:v>
                </c:pt>
                <c:pt idx="3">
                  <c:v>Net profit  - RON thousand</c:v>
                </c:pt>
              </c:strCache>
            </c:strRef>
          </c:cat>
          <c:val>
            <c:numRef>
              <c:f>Sheet1!$D$2:$D$5</c:f>
              <c:numCache>
                <c:formatCode>#,##0</c:formatCode>
                <c:ptCount val="4"/>
                <c:pt idx="0">
                  <c:v>1663398</c:v>
                </c:pt>
                <c:pt idx="1">
                  <c:v>1077219</c:v>
                </c:pt>
                <c:pt idx="2">
                  <c:v>607100.67471954646</c:v>
                </c:pt>
                <c:pt idx="3">
                  <c:v>488729.00181194657</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dLbl>
              <c:idx val="0"/>
              <c:layout>
                <c:manualLayout>
                  <c:x val="5.6338028169014086E-2"/>
                  <c:y val="-3.508771929824561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6692749087115284E-2"/>
                  <c:y val="-9.12280701754386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508771929824564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6.3157894736842135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Operating income befor the construction activity acc. to IFRIC12 - RON thousand</c:v>
                </c:pt>
                <c:pt idx="1">
                  <c:v>Operating costs befor the construction activity acc. to IFRIC12 - RON thousand</c:v>
                </c:pt>
                <c:pt idx="2">
                  <c:v>Gross profit  - RON thousand</c:v>
                </c:pt>
                <c:pt idx="3">
                  <c:v>Net profit  - RON thousand</c:v>
                </c:pt>
              </c:strCache>
            </c:strRef>
          </c:cat>
          <c:val>
            <c:numRef>
              <c:f>Sheet1!$E$2:$E$5</c:f>
              <c:numCache>
                <c:formatCode>#,##0</c:formatCode>
                <c:ptCount val="4"/>
                <c:pt idx="0">
                  <c:v>1872788</c:v>
                </c:pt>
                <c:pt idx="1">
                  <c:v>1181361</c:v>
                </c:pt>
                <c:pt idx="2">
                  <c:v>713975</c:v>
                </c:pt>
                <c:pt idx="3">
                  <c:v>594565</c:v>
                </c:pt>
              </c:numCache>
            </c:numRef>
          </c:val>
        </c:ser>
        <c:dLbls>
          <c:dLblPos val="outEnd"/>
          <c:showLegendKey val="0"/>
          <c:showVal val="1"/>
          <c:showCatName val="0"/>
          <c:showSerName val="0"/>
          <c:showPercent val="0"/>
          <c:showBubbleSize val="0"/>
        </c:dLbls>
        <c:gapWidth val="219"/>
        <c:overlap val="-27"/>
        <c:axId val="1756693168"/>
        <c:axId val="1756705136"/>
      </c:barChart>
      <c:catAx>
        <c:axId val="175669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705136"/>
        <c:crosses val="autoZero"/>
        <c:auto val="1"/>
        <c:lblAlgn val="ctr"/>
        <c:lblOffset val="100"/>
        <c:noMultiLvlLbl val="0"/>
      </c:catAx>
      <c:valAx>
        <c:axId val="1756705136"/>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756693168"/>
        <c:crosses val="autoZero"/>
        <c:crossBetween val="between"/>
      </c:valAx>
      <c:spPr>
        <a:noFill/>
        <a:ln>
          <a:noFill/>
        </a:ln>
        <a:effectLst/>
      </c:spPr>
    </c:plotArea>
    <c:legend>
      <c:legendPos val="r"/>
      <c:layout>
        <c:manualLayout>
          <c:xMode val="edge"/>
          <c:yMode val="edge"/>
          <c:x val="0.1101108527828801"/>
          <c:y val="0.88025725426992918"/>
          <c:w val="0.88988922046844599"/>
          <c:h val="0.119742532183477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0833333333333332E-2"/>
          <c:y val="0.11027568922305764"/>
          <c:w val="0.95370370370370372"/>
          <c:h val="0.57759832652497389"/>
        </c:manualLayout>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Investment costs</c:v>
                </c:pt>
                <c:pt idx="1">
                  <c:v>Rehabilitation costs</c:v>
                </c:pt>
              </c:strCache>
            </c:strRef>
          </c:cat>
          <c:val>
            <c:numRef>
              <c:f>Sheet1!$B$2:$B$3</c:f>
              <c:numCache>
                <c:formatCode>#,##0</c:formatCode>
                <c:ptCount val="2"/>
                <c:pt idx="0" formatCode="#,##0.0">
                  <c:v>203763</c:v>
                </c:pt>
                <c:pt idx="1">
                  <c:v>61175.945540000008</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Investment costs</c:v>
                </c:pt>
                <c:pt idx="1">
                  <c:v>Rehabilitation costs</c:v>
                </c:pt>
              </c:strCache>
            </c:strRef>
          </c:cat>
          <c:val>
            <c:numRef>
              <c:f>Sheet1!$C$2:$C$3</c:f>
              <c:numCache>
                <c:formatCode>#,##0</c:formatCode>
                <c:ptCount val="2"/>
                <c:pt idx="0">
                  <c:v>151776.48053999996</c:v>
                </c:pt>
                <c:pt idx="1">
                  <c:v>51752.32187152886</c:v>
                </c:pt>
              </c:numCache>
            </c:numRef>
          </c:val>
        </c:ser>
        <c:ser>
          <c:idx val="2"/>
          <c:order val="2"/>
          <c:tx>
            <c:strRef>
              <c:f>Sheet1!$D$1</c:f>
              <c:strCache>
                <c:ptCount val="1"/>
                <c:pt idx="0">
                  <c:v>2015</c:v>
                </c:pt>
              </c:strCache>
            </c:strRef>
          </c:tx>
          <c:spPr>
            <a:solidFill>
              <a:schemeClr val="accent3"/>
            </a:solidFill>
            <a:ln>
              <a:noFill/>
            </a:ln>
            <a:effectLst/>
          </c:spPr>
          <c:invertIfNegative val="0"/>
          <c:dLbls>
            <c:dLbl>
              <c:idx val="0"/>
              <c:tx>
                <c:rich>
                  <a:bodyPr/>
                  <a:lstStyle/>
                  <a:p>
                    <a:r>
                      <a:rPr lang="en-US"/>
                      <a:t>239.554</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20.020</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Investment costs</c:v>
                </c:pt>
                <c:pt idx="1">
                  <c:v>Rehabilitation costs</c:v>
                </c:pt>
              </c:strCache>
            </c:strRef>
          </c:cat>
          <c:val>
            <c:numRef>
              <c:f>Sheet1!$D$2:$D$3</c:f>
              <c:numCache>
                <c:formatCode>#,##0</c:formatCode>
                <c:ptCount val="2"/>
                <c:pt idx="0">
                  <c:v>239554</c:v>
                </c:pt>
                <c:pt idx="1">
                  <c:v>20020</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Investment costs</c:v>
                </c:pt>
                <c:pt idx="1">
                  <c:v>Rehabilitation costs</c:v>
                </c:pt>
              </c:strCache>
            </c:strRef>
          </c:cat>
          <c:val>
            <c:numRef>
              <c:f>Sheet1!$E$2:$E$3</c:f>
              <c:numCache>
                <c:formatCode>#,##0</c:formatCode>
                <c:ptCount val="2"/>
                <c:pt idx="0">
                  <c:v>140179</c:v>
                </c:pt>
                <c:pt idx="1">
                  <c:v>16547</c:v>
                </c:pt>
              </c:numCache>
            </c:numRef>
          </c:val>
        </c:ser>
        <c:dLbls>
          <c:dLblPos val="outEnd"/>
          <c:showLegendKey val="0"/>
          <c:showVal val="1"/>
          <c:showCatName val="0"/>
          <c:showSerName val="0"/>
          <c:showPercent val="0"/>
          <c:showBubbleSize val="0"/>
        </c:dLbls>
        <c:gapWidth val="219"/>
        <c:overlap val="-27"/>
        <c:axId val="1756701328"/>
        <c:axId val="1756701872"/>
      </c:barChart>
      <c:catAx>
        <c:axId val="175670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756701872"/>
        <c:crosses val="autoZero"/>
        <c:auto val="1"/>
        <c:lblAlgn val="ctr"/>
        <c:lblOffset val="100"/>
        <c:noMultiLvlLbl val="0"/>
      </c:catAx>
      <c:valAx>
        <c:axId val="1756701872"/>
        <c:scaling>
          <c:orientation val="minMax"/>
        </c:scaling>
        <c:delete val="1"/>
        <c:axPos val="l"/>
        <c:majorGridlines>
          <c:spPr>
            <a:ln w="9525" cap="flat" cmpd="sng" algn="ctr">
              <a:noFill/>
              <a:round/>
            </a:ln>
            <a:effectLst/>
          </c:spPr>
        </c:majorGridlines>
        <c:numFmt formatCode="#,##0.0" sourceLinked="1"/>
        <c:majorTickMark val="none"/>
        <c:minorTickMark val="none"/>
        <c:tickLblPos val="nextTo"/>
        <c:crossAx val="1756701328"/>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407407407407406E-2"/>
          <c:y val="9.713024282560706E-2"/>
          <c:w val="0.94907407407407407"/>
          <c:h val="0.36123967947715147"/>
        </c:manualLayout>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dLbl>
              <c:idx val="0"/>
              <c:layout>
                <c:manualLayout>
                  <c:x val="-1.6161616161616172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61616161616162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766004415011039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EBITDA in total sales</c:v>
                </c:pt>
                <c:pt idx="1">
                  <c:v>EBITDA in equity</c:v>
                </c:pt>
                <c:pt idx="2">
                  <c:v>Gross profit rate</c:v>
                </c:pt>
                <c:pt idx="3">
                  <c:v>Capital rate of returne</c:v>
                </c:pt>
              </c:strCache>
            </c:strRef>
          </c:cat>
          <c:val>
            <c:numRef>
              <c:f>Sheet1!$B$2:$B$5</c:f>
              <c:numCache>
                <c:formatCode>General</c:formatCode>
                <c:ptCount val="4"/>
                <c:pt idx="0">
                  <c:v>48.22</c:v>
                </c:pt>
                <c:pt idx="1">
                  <c:v>23.49</c:v>
                </c:pt>
                <c:pt idx="2">
                  <c:v>28.74</c:v>
                </c:pt>
                <c:pt idx="3">
                  <c:v>10.87</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dLbl>
              <c:idx val="0"/>
              <c:layout>
                <c:manualLayout>
                  <c:x val="-1.8518304593483625E-17"/>
                  <c:y val="8.8300220750551876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0404040404040404E-3"/>
                  <c:y val="-2.0235233496190717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0606060606061343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EBITDA in total sales</c:v>
                </c:pt>
                <c:pt idx="1">
                  <c:v>EBITDA in equity</c:v>
                </c:pt>
                <c:pt idx="2">
                  <c:v>Gross profit rate</c:v>
                </c:pt>
                <c:pt idx="3">
                  <c:v>Capital rate of returne</c:v>
                </c:pt>
              </c:strCache>
            </c:strRef>
          </c:cat>
          <c:val>
            <c:numRef>
              <c:f>Sheet1!$C$2:$C$5</c:f>
              <c:numCache>
                <c:formatCode>General</c:formatCode>
                <c:ptCount val="4"/>
                <c:pt idx="0">
                  <c:v>48.01</c:v>
                </c:pt>
                <c:pt idx="1">
                  <c:v>23.35</c:v>
                </c:pt>
                <c:pt idx="2">
                  <c:v>37.74</c:v>
                </c:pt>
                <c:pt idx="3">
                  <c:v>15.1</c:v>
                </c:pt>
              </c:numCache>
            </c:numRef>
          </c:val>
        </c:ser>
        <c:ser>
          <c:idx val="2"/>
          <c:order val="2"/>
          <c:tx>
            <c:strRef>
              <c:f>Sheet1!$D$1</c:f>
              <c:strCache>
                <c:ptCount val="1"/>
                <c:pt idx="0">
                  <c:v>2015</c:v>
                </c:pt>
              </c:strCache>
            </c:strRef>
          </c:tx>
          <c:spPr>
            <a:solidFill>
              <a:schemeClr val="accent3"/>
            </a:solidFill>
            <a:ln>
              <a:noFill/>
            </a:ln>
            <a:effectLst/>
          </c:spPr>
          <c:invertIfNegative val="0"/>
          <c:dLbls>
            <c:dLbl>
              <c:idx val="0"/>
              <c:layout>
                <c:manualLayout>
                  <c:x val="4.0404040404040586E-3"/>
                  <c:y val="-2.8455797104018195E-18"/>
                </c:manualLayout>
              </c:layout>
              <c:tx>
                <c:rich>
                  <a:bodyPr/>
                  <a:lstStyle/>
                  <a:p>
                    <a:r>
                      <a:rPr lang="en-US"/>
                      <a:t>49,29</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6490066225165521E-2"/>
                </c:manualLayout>
              </c:layout>
              <c:tx>
                <c:rich>
                  <a:bodyPr/>
                  <a:lstStyle/>
                  <a:p>
                    <a:r>
                      <a:rPr lang="en-US"/>
                      <a:t>21,84</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7660044150110375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EBITDA in total sales</c:v>
                </c:pt>
                <c:pt idx="1">
                  <c:v>EBITDA in equity</c:v>
                </c:pt>
                <c:pt idx="2">
                  <c:v>Gross profit rate</c:v>
                </c:pt>
                <c:pt idx="3">
                  <c:v>Capital rate of returne</c:v>
                </c:pt>
              </c:strCache>
            </c:strRef>
          </c:cat>
          <c:val>
            <c:numRef>
              <c:f>Sheet1!$D$2:$D$5</c:f>
              <c:numCache>
                <c:formatCode>General</c:formatCode>
                <c:ptCount val="4"/>
                <c:pt idx="0">
                  <c:v>49.11</c:v>
                </c:pt>
                <c:pt idx="1">
                  <c:v>21.76</c:v>
                </c:pt>
                <c:pt idx="2">
                  <c:v>38.39</c:v>
                </c:pt>
                <c:pt idx="3">
                  <c:v>13.69</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dLbl>
              <c:idx val="0"/>
              <c:layout>
                <c:manualLayout>
                  <c:x val="1.616161616161612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649006622516556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0606060606059869E-3"/>
                  <c:y val="-8.8300220750551876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2121212121211974E-2"/>
                  <c:y val="-2.649006622516558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Sheet1!$A$2:$A$5</c:f>
              <c:strCache>
                <c:ptCount val="4"/>
                <c:pt idx="0">
                  <c:v>EBITDA in total sales</c:v>
                </c:pt>
                <c:pt idx="1">
                  <c:v>EBITDA in equity</c:v>
                </c:pt>
                <c:pt idx="2">
                  <c:v>Gross profit rate</c:v>
                </c:pt>
                <c:pt idx="3">
                  <c:v>Capital rate of returne</c:v>
                </c:pt>
              </c:strCache>
            </c:strRef>
          </c:cat>
          <c:val>
            <c:numRef>
              <c:f>Sheet1!$E$2:$E$5</c:f>
              <c:numCache>
                <c:formatCode>General</c:formatCode>
                <c:ptCount val="4"/>
                <c:pt idx="0">
                  <c:v>51.43</c:v>
                </c:pt>
                <c:pt idx="1">
                  <c:v>23.45</c:v>
                </c:pt>
                <c:pt idx="2">
                  <c:v>40.79</c:v>
                </c:pt>
                <c:pt idx="3">
                  <c:v>15.49</c:v>
                </c:pt>
              </c:numCache>
            </c:numRef>
          </c:val>
        </c:ser>
        <c:dLbls>
          <c:dLblPos val="outEnd"/>
          <c:showLegendKey val="0"/>
          <c:showVal val="1"/>
          <c:showCatName val="0"/>
          <c:showSerName val="0"/>
          <c:showPercent val="0"/>
          <c:showBubbleSize val="0"/>
        </c:dLbls>
        <c:gapWidth val="219"/>
        <c:overlap val="-27"/>
        <c:axId val="1756699696"/>
        <c:axId val="1756691536"/>
      </c:barChart>
      <c:catAx>
        <c:axId val="175669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756691536"/>
        <c:crosses val="autoZero"/>
        <c:auto val="1"/>
        <c:lblAlgn val="ctr"/>
        <c:lblOffset val="100"/>
        <c:noMultiLvlLbl val="0"/>
      </c:catAx>
      <c:valAx>
        <c:axId val="1756691536"/>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756699696"/>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o-RO"/>
              <a:t>yoy 2016 vs 2015</a:t>
            </a:r>
          </a:p>
        </c:rich>
      </c:tx>
      <c:layout>
        <c:manualLayout>
          <c:xMode val="edge"/>
          <c:yMode val="edge"/>
          <c:x val="0.40949300087489071"/>
          <c:y val="0.84722222222222221"/>
        </c:manualLayout>
      </c:layout>
      <c:overlay val="0"/>
      <c:spPr>
        <a:noFill/>
        <a:ln>
          <a:noFill/>
        </a:ln>
        <a:effectLst/>
      </c:spPr>
    </c:title>
    <c:autoTitleDeleted val="0"/>
    <c:plotArea>
      <c:layout>
        <c:manualLayout>
          <c:layoutTarget val="inner"/>
          <c:xMode val="edge"/>
          <c:yMode val="edge"/>
          <c:x val="3.0555555555555555E-2"/>
          <c:y val="7.2061272105950244E-2"/>
          <c:w val="0.93888888888888888"/>
          <c:h val="0.71543873380352319"/>
        </c:manualLayout>
      </c:layout>
      <c:barChart>
        <c:barDir val="col"/>
        <c:grouping val="clustered"/>
        <c:varyColors val="0"/>
        <c:ser>
          <c:idx val="0"/>
          <c:order val="0"/>
          <c:spPr>
            <a:solidFill>
              <a:schemeClr val="accent5">
                <a:lumMod val="40000"/>
                <a:lumOff val="60000"/>
              </a:schemeClr>
            </a:solidFill>
            <a:ln>
              <a:noFill/>
            </a:ln>
            <a:effectLst/>
          </c:spPr>
          <c:invertIfNegative val="0"/>
          <c:dLbls>
            <c:dLbl>
              <c:idx val="0"/>
              <c:layout>
                <c:manualLayout>
                  <c:x val="5.2777777777777778E-2"/>
                  <c:y val="-5.963659099111662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444444444337E-2"/>
                  <c:y val="-5.963659099111669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Word]Sheet1'!$L$97:$L$99</c:f>
              <c:strCache>
                <c:ptCount val="3"/>
                <c:pt idx="0">
                  <c:v>Circulated gas -thousand cm</c:v>
                </c:pt>
                <c:pt idx="1">
                  <c:v>Transmitted gas-thousand cm</c:v>
                </c:pt>
                <c:pt idx="2">
                  <c:v>Technological consumption -thousand cm</c:v>
                </c:pt>
              </c:strCache>
            </c:strRef>
          </c:cat>
          <c:val>
            <c:numRef>
              <c:f>'[Chart 2 in Microsoft Word]Sheet1'!$M$97:$M$99</c:f>
              <c:numCache>
                <c:formatCode>0%</c:formatCode>
                <c:ptCount val="3"/>
                <c:pt idx="0">
                  <c:v>-1.4750531439195913E-2</c:v>
                </c:pt>
                <c:pt idx="1">
                  <c:v>-1.7895200799239119E-2</c:v>
                </c:pt>
                <c:pt idx="2">
                  <c:v>0.23575814671464079</c:v>
                </c:pt>
              </c:numCache>
            </c:numRef>
          </c:val>
        </c:ser>
        <c:dLbls>
          <c:showLegendKey val="0"/>
          <c:showVal val="1"/>
          <c:showCatName val="0"/>
          <c:showSerName val="0"/>
          <c:showPercent val="0"/>
          <c:showBubbleSize val="0"/>
        </c:dLbls>
        <c:gapWidth val="150"/>
        <c:overlap val="-25"/>
        <c:axId val="1756668144"/>
        <c:axId val="1756667600"/>
      </c:barChart>
      <c:catAx>
        <c:axId val="17566681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67600"/>
        <c:crosses val="autoZero"/>
        <c:auto val="1"/>
        <c:lblAlgn val="ctr"/>
        <c:lblOffset val="100"/>
        <c:noMultiLvlLbl val="0"/>
      </c:catAx>
      <c:valAx>
        <c:axId val="1756667600"/>
        <c:scaling>
          <c:orientation val="minMax"/>
        </c:scaling>
        <c:delete val="1"/>
        <c:axPos val="l"/>
        <c:numFmt formatCode="0%" sourceLinked="1"/>
        <c:majorTickMark val="none"/>
        <c:minorTickMark val="none"/>
        <c:tickLblPos val="nextTo"/>
        <c:crossAx val="17566681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2013</c:v>
                </c:pt>
              </c:strCache>
            </c:strRef>
          </c:tx>
          <c:spPr>
            <a:solidFill>
              <a:schemeClr val="accent1"/>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Current liquidity indicator</c:v>
                </c:pt>
                <c:pt idx="1">
                  <c:v>Immediate liquidity indicator</c:v>
                </c:pt>
              </c:strCache>
            </c:strRef>
          </c:cat>
          <c:val>
            <c:numRef>
              <c:f>Sheet1!$B$2:$B$3</c:f>
              <c:numCache>
                <c:formatCode>General</c:formatCode>
                <c:ptCount val="2"/>
                <c:pt idx="0">
                  <c:v>2.17</c:v>
                </c:pt>
                <c:pt idx="1">
                  <c:v>2.06</c:v>
                </c:pt>
              </c:numCache>
            </c:numRef>
          </c:val>
        </c:ser>
        <c:ser>
          <c:idx val="1"/>
          <c:order val="1"/>
          <c:tx>
            <c:strRef>
              <c:f>Sheet1!$C$1</c:f>
              <c:strCache>
                <c:ptCount val="1"/>
                <c:pt idx="0">
                  <c:v>2014</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Current liquidity indicator</c:v>
                </c:pt>
                <c:pt idx="1">
                  <c:v>Immediate liquidity indicator</c:v>
                </c:pt>
              </c:strCache>
            </c:strRef>
          </c:cat>
          <c:val>
            <c:numRef>
              <c:f>Sheet1!$C$2:$C$3</c:f>
              <c:numCache>
                <c:formatCode>General</c:formatCode>
                <c:ptCount val="2"/>
                <c:pt idx="0">
                  <c:v>3.09</c:v>
                </c:pt>
                <c:pt idx="1">
                  <c:v>2.98</c:v>
                </c:pt>
              </c:numCache>
            </c:numRef>
          </c:val>
        </c:ser>
        <c:ser>
          <c:idx val="2"/>
          <c:order val="2"/>
          <c:tx>
            <c:strRef>
              <c:f>Sheet1!$D$1</c:f>
              <c:strCache>
                <c:ptCount val="1"/>
                <c:pt idx="0">
                  <c:v>2015</c:v>
                </c:pt>
              </c:strCache>
            </c:strRef>
          </c:tx>
          <c:spPr>
            <a:solidFill>
              <a:schemeClr val="accent3"/>
            </a:solidFill>
            <a:ln>
              <a:noFill/>
            </a:ln>
            <a:effectLst/>
          </c:spPr>
          <c:invertIfNegative val="0"/>
          <c:dLbls>
            <c:dLbl>
              <c:idx val="0"/>
              <c:tx>
                <c:rich>
                  <a:bodyPr/>
                  <a:lstStyle/>
                  <a:p>
                    <a:r>
                      <a:rPr lang="en-US"/>
                      <a:t>4,10</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3,83</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Current liquidity indicator</c:v>
                </c:pt>
                <c:pt idx="1">
                  <c:v>Immediate liquidity indicator</c:v>
                </c:pt>
              </c:strCache>
            </c:strRef>
          </c:cat>
          <c:val>
            <c:numRef>
              <c:f>Sheet1!$D$2:$D$3</c:f>
              <c:numCache>
                <c:formatCode>General</c:formatCode>
                <c:ptCount val="2"/>
                <c:pt idx="0">
                  <c:v>4.12</c:v>
                </c:pt>
                <c:pt idx="1">
                  <c:v>3.86</c:v>
                </c:pt>
              </c:numCache>
            </c:numRef>
          </c:val>
        </c:ser>
        <c:ser>
          <c:idx val="3"/>
          <c:order val="3"/>
          <c:tx>
            <c:strRef>
              <c:f>Sheet1!$E$1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Current liquidity indicator</c:v>
                </c:pt>
                <c:pt idx="1">
                  <c:v>Immediate liquidity indicator</c:v>
                </c:pt>
              </c:strCache>
            </c:strRef>
          </c:cat>
          <c:val>
            <c:numRef>
              <c:f>Sheet1!$E$2:$E$3</c:f>
              <c:numCache>
                <c:formatCode>General</c:formatCode>
                <c:ptCount val="2"/>
                <c:pt idx="0">
                  <c:v>5.0999999999999996</c:v>
                </c:pt>
                <c:pt idx="1">
                  <c:v>4.82</c:v>
                </c:pt>
              </c:numCache>
            </c:numRef>
          </c:val>
        </c:ser>
        <c:dLbls>
          <c:dLblPos val="outEnd"/>
          <c:showLegendKey val="0"/>
          <c:showVal val="1"/>
          <c:showCatName val="0"/>
          <c:showSerName val="0"/>
          <c:showPercent val="0"/>
          <c:showBubbleSize val="0"/>
        </c:dLbls>
        <c:gapWidth val="219"/>
        <c:overlap val="-27"/>
        <c:axId val="1756702416"/>
        <c:axId val="1756694800"/>
      </c:barChart>
      <c:catAx>
        <c:axId val="175670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756694800"/>
        <c:crosses val="autoZero"/>
        <c:auto val="1"/>
        <c:lblAlgn val="ctr"/>
        <c:lblOffset val="100"/>
        <c:noMultiLvlLbl val="0"/>
      </c:catAx>
      <c:valAx>
        <c:axId val="1756694800"/>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1756702416"/>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155754957350171E-2"/>
          <c:y val="0.1437908496732026"/>
          <c:w val="0.95380525091392487"/>
          <c:h val="0.61832329782306628"/>
        </c:manualLayout>
      </c:layout>
      <c:barChart>
        <c:barDir val="col"/>
        <c:grouping val="clustered"/>
        <c:varyColors val="0"/>
        <c:ser>
          <c:idx val="0"/>
          <c:order val="0"/>
          <c:tx>
            <c:strRef>
              <c:f>Sheet2!$C$4</c:f>
              <c:strCache>
                <c:ptCount val="1"/>
                <c:pt idx="0">
                  <c:v>Rata de acoperire a dobânzii</c:v>
                </c:pt>
              </c:strCache>
            </c:strRef>
          </c:tx>
          <c:spPr>
            <a:solidFill>
              <a:schemeClr val="accent1"/>
            </a:solidFill>
            <a:ln>
              <a:noFill/>
            </a:ln>
            <a:effectLst/>
          </c:spPr>
          <c:invertIfNegative val="0"/>
          <c:dPt>
            <c:idx val="1"/>
            <c:invertIfNegative val="0"/>
            <c:bubble3D val="0"/>
            <c:spPr>
              <a:solidFill>
                <a:schemeClr val="accent5">
                  <a:lumMod val="75000"/>
                </a:schemeClr>
              </a:solidFill>
              <a:ln>
                <a:solidFill>
                  <a:schemeClr val="accent5">
                    <a:lumMod val="75000"/>
                  </a:schemeClr>
                </a:solidFill>
              </a:ln>
              <a:effectLst/>
            </c:spPr>
          </c:dPt>
          <c:dPt>
            <c:idx val="2"/>
            <c:invertIfNegative val="0"/>
            <c:bubble3D val="0"/>
            <c:spPr>
              <a:solidFill>
                <a:schemeClr val="bg2">
                  <a:lumMod val="75000"/>
                </a:schemeClr>
              </a:solidFill>
              <a:ln>
                <a:solidFill>
                  <a:schemeClr val="bg2">
                    <a:lumMod val="75000"/>
                  </a:schemeClr>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Sheet2!$D$3:$G$3</c:f>
              <c:numCache>
                <c:formatCode>General</c:formatCode>
                <c:ptCount val="4"/>
                <c:pt idx="0">
                  <c:v>2013</c:v>
                </c:pt>
                <c:pt idx="1">
                  <c:v>2014</c:v>
                </c:pt>
                <c:pt idx="2">
                  <c:v>2015</c:v>
                </c:pt>
                <c:pt idx="3">
                  <c:v>2016</c:v>
                </c:pt>
              </c:numCache>
            </c:numRef>
          </c:cat>
          <c:val>
            <c:numRef>
              <c:f>Sheet2!$D$4:$G$4</c:f>
              <c:numCache>
                <c:formatCode>General</c:formatCode>
                <c:ptCount val="4"/>
                <c:pt idx="0">
                  <c:v>187.73</c:v>
                </c:pt>
                <c:pt idx="1">
                  <c:v>616.54</c:v>
                </c:pt>
                <c:pt idx="2" formatCode="#,##0.00">
                  <c:v>1903.61</c:v>
                </c:pt>
                <c:pt idx="3">
                  <c:v>0</c:v>
                </c:pt>
              </c:numCache>
            </c:numRef>
          </c:val>
        </c:ser>
        <c:dLbls>
          <c:dLblPos val="outEnd"/>
          <c:showLegendKey val="0"/>
          <c:showVal val="1"/>
          <c:showCatName val="0"/>
          <c:showSerName val="0"/>
          <c:showPercent val="0"/>
          <c:showBubbleSize val="0"/>
        </c:dLbls>
        <c:gapWidth val="219"/>
        <c:overlap val="-27"/>
        <c:axId val="1756704592"/>
        <c:axId val="1756695344"/>
      </c:barChart>
      <c:catAx>
        <c:axId val="175670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95344"/>
        <c:crosses val="autoZero"/>
        <c:auto val="1"/>
        <c:lblAlgn val="ctr"/>
        <c:lblOffset val="100"/>
        <c:noMultiLvlLbl val="0"/>
      </c:catAx>
      <c:valAx>
        <c:axId val="1756695344"/>
        <c:scaling>
          <c:orientation val="minMax"/>
        </c:scaling>
        <c:delete val="1"/>
        <c:axPos val="l"/>
        <c:numFmt formatCode="General" sourceLinked="1"/>
        <c:majorTickMark val="none"/>
        <c:minorTickMark val="none"/>
        <c:tickLblPos val="nextTo"/>
        <c:crossAx val="1756704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6">
                  <a:lumMod val="40000"/>
                  <a:lumOff val="60000"/>
                </a:schemeClr>
              </a:solidFill>
              <a:ln>
                <a:solidFill>
                  <a:schemeClr val="accent6">
                    <a:lumMod val="40000"/>
                    <a:lumOff val="60000"/>
                  </a:schemeClr>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Word]Sheet2'!$C$6:$C$7</c:f>
              <c:strCache>
                <c:ptCount val="2"/>
                <c:pt idx="0">
                  <c:v>2016 planned (RON thousand)</c:v>
                </c:pt>
                <c:pt idx="1">
                  <c:v>2016 achieved (RON thousand)</c:v>
                </c:pt>
              </c:strCache>
            </c:strRef>
          </c:cat>
          <c:val>
            <c:numRef>
              <c:f>'[Chart in Microsoft Word]Sheet2'!$D$6:$D$7</c:f>
              <c:numCache>
                <c:formatCode>#,##0</c:formatCode>
                <c:ptCount val="2"/>
                <c:pt idx="0">
                  <c:v>93848</c:v>
                </c:pt>
                <c:pt idx="1">
                  <c:v>19102</c:v>
                </c:pt>
              </c:numCache>
            </c:numRef>
          </c:val>
        </c:ser>
        <c:dLbls>
          <c:dLblPos val="outEnd"/>
          <c:showLegendKey val="0"/>
          <c:showVal val="1"/>
          <c:showCatName val="0"/>
          <c:showSerName val="0"/>
          <c:showPercent val="0"/>
          <c:showBubbleSize val="0"/>
        </c:dLbls>
        <c:gapWidth val="219"/>
        <c:overlap val="-27"/>
        <c:axId val="1756706768"/>
        <c:axId val="1756696432"/>
      </c:barChart>
      <c:catAx>
        <c:axId val="175670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96432"/>
        <c:crosses val="autoZero"/>
        <c:auto val="1"/>
        <c:lblAlgn val="ctr"/>
        <c:lblOffset val="100"/>
        <c:noMultiLvlLbl val="0"/>
      </c:catAx>
      <c:valAx>
        <c:axId val="1756696432"/>
        <c:scaling>
          <c:orientation val="minMax"/>
        </c:scaling>
        <c:delete val="1"/>
        <c:axPos val="l"/>
        <c:numFmt formatCode="#,##0" sourceLinked="1"/>
        <c:majorTickMark val="none"/>
        <c:minorTickMark val="none"/>
        <c:tickLblPos val="nextTo"/>
        <c:crossAx val="1756706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2 in Microsoft Word]Sheet3'!$D$6</c:f>
              <c:strCache>
                <c:ptCount val="1"/>
                <c:pt idx="0">
                  <c:v>2016 planned (RON thousand)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Word]Sheet3'!$C$7:$C$8</c:f>
              <c:strCache>
                <c:ptCount val="2"/>
                <c:pt idx="0">
                  <c:v>A. NTS repair and rehabilitation works (RON thousand)</c:v>
                </c:pt>
                <c:pt idx="1">
                  <c:v>B. NTS maintenance services (RON thousand)</c:v>
                </c:pt>
              </c:strCache>
            </c:strRef>
          </c:cat>
          <c:val>
            <c:numRef>
              <c:f>'[Chart 2 in Microsoft Word]Sheet3'!$D$7:$D$8</c:f>
              <c:numCache>
                <c:formatCode>#,##0</c:formatCode>
                <c:ptCount val="2"/>
                <c:pt idx="0">
                  <c:v>61850</c:v>
                </c:pt>
                <c:pt idx="1">
                  <c:v>31998</c:v>
                </c:pt>
              </c:numCache>
            </c:numRef>
          </c:val>
        </c:ser>
        <c:ser>
          <c:idx val="1"/>
          <c:order val="1"/>
          <c:tx>
            <c:strRef>
              <c:f>'[Chart 2 in Microsoft Word]Sheet3'!$E$6</c:f>
              <c:strCache>
                <c:ptCount val="1"/>
                <c:pt idx="0">
                  <c:v>2016 achieved (RON thousand)</c:v>
                </c:pt>
              </c:strCache>
            </c:strRef>
          </c:tx>
          <c:spPr>
            <a:solidFill>
              <a:schemeClr val="accent6">
                <a:lumMod val="40000"/>
                <a:lumOff val="60000"/>
              </a:schemeClr>
            </a:solidFill>
            <a:ln>
              <a:solidFill>
                <a:schemeClr val="accent6">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Word]Sheet3'!$C$7:$C$8</c:f>
              <c:strCache>
                <c:ptCount val="2"/>
                <c:pt idx="0">
                  <c:v>A. NTS repair and rehabilitation works (RON thousand)</c:v>
                </c:pt>
                <c:pt idx="1">
                  <c:v>B. NTS maintenance services (RON thousand)</c:v>
                </c:pt>
              </c:strCache>
            </c:strRef>
          </c:cat>
          <c:val>
            <c:numRef>
              <c:f>'[Chart 2 in Microsoft Word]Sheet3'!$E$7:$E$8</c:f>
              <c:numCache>
                <c:formatCode>#,##0</c:formatCode>
                <c:ptCount val="2"/>
                <c:pt idx="0">
                  <c:v>8497</c:v>
                </c:pt>
                <c:pt idx="1">
                  <c:v>10605</c:v>
                </c:pt>
              </c:numCache>
            </c:numRef>
          </c:val>
        </c:ser>
        <c:dLbls>
          <c:dLblPos val="outEnd"/>
          <c:showLegendKey val="0"/>
          <c:showVal val="1"/>
          <c:showCatName val="0"/>
          <c:showSerName val="0"/>
          <c:showPercent val="0"/>
          <c:showBubbleSize val="0"/>
        </c:dLbls>
        <c:gapWidth val="219"/>
        <c:overlap val="-27"/>
        <c:axId val="1756698064"/>
        <c:axId val="1756692624"/>
      </c:barChart>
      <c:catAx>
        <c:axId val="1756698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92624"/>
        <c:crosses val="autoZero"/>
        <c:auto val="1"/>
        <c:lblAlgn val="ctr"/>
        <c:lblOffset val="100"/>
        <c:noMultiLvlLbl val="0"/>
      </c:catAx>
      <c:valAx>
        <c:axId val="1756692624"/>
        <c:scaling>
          <c:orientation val="minMax"/>
        </c:scaling>
        <c:delete val="1"/>
        <c:axPos val="l"/>
        <c:numFmt formatCode="#,##0" sourceLinked="1"/>
        <c:majorTickMark val="none"/>
        <c:minorTickMark val="none"/>
        <c:tickLblPos val="nextTo"/>
        <c:crossAx val="1756698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6">
                  <a:lumMod val="20000"/>
                  <a:lumOff val="80000"/>
                </a:schemeClr>
              </a:solidFill>
              <a:ln>
                <a:solidFill>
                  <a:schemeClr val="accent6">
                    <a:lumMod val="20000"/>
                    <a:lumOff val="80000"/>
                  </a:schemeClr>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PMDI!$C$6:$C$7</c:f>
              <c:strCache>
                <c:ptCount val="2"/>
                <c:pt idx="0">
                  <c:v>Planned 2016 (thousand RON)</c:v>
                </c:pt>
                <c:pt idx="1">
                  <c:v>Achieved 2016 (thousand RON)</c:v>
                </c:pt>
              </c:strCache>
            </c:strRef>
          </c:cat>
          <c:val>
            <c:numRef>
              <c:f>PMDI!$D$6:$D$7</c:f>
              <c:numCache>
                <c:formatCode>#,##0</c:formatCode>
                <c:ptCount val="2"/>
                <c:pt idx="0">
                  <c:v>721902</c:v>
                </c:pt>
                <c:pt idx="1">
                  <c:v>119822</c:v>
                </c:pt>
              </c:numCache>
            </c:numRef>
          </c:val>
        </c:ser>
        <c:dLbls>
          <c:dLblPos val="outEnd"/>
          <c:showLegendKey val="0"/>
          <c:showVal val="1"/>
          <c:showCatName val="0"/>
          <c:showSerName val="0"/>
          <c:showPercent val="0"/>
          <c:showBubbleSize val="0"/>
        </c:dLbls>
        <c:gapWidth val="219"/>
        <c:overlap val="-27"/>
        <c:axId val="1756704048"/>
        <c:axId val="1756699152"/>
      </c:barChart>
      <c:catAx>
        <c:axId val="175670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99152"/>
        <c:crosses val="autoZero"/>
        <c:auto val="1"/>
        <c:lblAlgn val="ctr"/>
        <c:lblOffset val="100"/>
        <c:noMultiLvlLbl val="0"/>
      </c:catAx>
      <c:valAx>
        <c:axId val="1756699152"/>
        <c:scaling>
          <c:orientation val="minMax"/>
        </c:scaling>
        <c:delete val="1"/>
        <c:axPos val="l"/>
        <c:numFmt formatCode="#,##0" sourceLinked="1"/>
        <c:majorTickMark val="none"/>
        <c:minorTickMark val="none"/>
        <c:tickLblPos val="nextTo"/>
        <c:crossAx val="1756704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2 in Microsoft Word]PMDI'!$D$22</c:f>
              <c:strCache>
                <c:ptCount val="1"/>
                <c:pt idx="0">
                  <c:v>Planned 2016 (RON thousand)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Word]PMDI'!$C$23:$C$25</c:f>
              <c:strCache>
                <c:ptCount val="3"/>
                <c:pt idx="0">
                  <c:v>Chp A. NTS modernization and development works</c:v>
                </c:pt>
                <c:pt idx="1">
                  <c:v>Chap B. Own assets modernization and development works</c:v>
                </c:pt>
                <c:pt idx="2">
                  <c:v>Chap C. NTS access works</c:v>
                </c:pt>
              </c:strCache>
            </c:strRef>
          </c:cat>
          <c:val>
            <c:numRef>
              <c:f>'[Chart 2 in Microsoft Word]PMDI'!$D$23:$D$25</c:f>
              <c:numCache>
                <c:formatCode>#,##0</c:formatCode>
                <c:ptCount val="3"/>
                <c:pt idx="0">
                  <c:v>642362</c:v>
                </c:pt>
                <c:pt idx="1">
                  <c:v>73540</c:v>
                </c:pt>
                <c:pt idx="2">
                  <c:v>6000</c:v>
                </c:pt>
              </c:numCache>
            </c:numRef>
          </c:val>
        </c:ser>
        <c:ser>
          <c:idx val="1"/>
          <c:order val="1"/>
          <c:tx>
            <c:strRef>
              <c:f>'[Chart 2 in Microsoft Word]PMDI'!$E$22</c:f>
              <c:strCache>
                <c:ptCount val="1"/>
                <c:pt idx="0">
                  <c:v>Achieved 2016 (RON thousand)</c:v>
                </c:pt>
              </c:strCache>
            </c:strRef>
          </c:tx>
          <c:spPr>
            <a:solidFill>
              <a:schemeClr val="accent6">
                <a:lumMod val="20000"/>
                <a:lumOff val="80000"/>
              </a:schemeClr>
            </a:solidFill>
            <a:ln>
              <a:solidFill>
                <a:schemeClr val="accent6">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Word]PMDI'!$C$23:$C$25</c:f>
              <c:strCache>
                <c:ptCount val="3"/>
                <c:pt idx="0">
                  <c:v>Chp A. NTS modernization and development works</c:v>
                </c:pt>
                <c:pt idx="1">
                  <c:v>Chap B. Own assets modernization and development works</c:v>
                </c:pt>
                <c:pt idx="2">
                  <c:v>Chap C. NTS access works</c:v>
                </c:pt>
              </c:strCache>
            </c:strRef>
          </c:cat>
          <c:val>
            <c:numRef>
              <c:f>'[Chart 2 in Microsoft Word]PMDI'!$E$23:$E$25</c:f>
              <c:numCache>
                <c:formatCode>#,##0</c:formatCode>
                <c:ptCount val="3"/>
                <c:pt idx="0">
                  <c:v>90987</c:v>
                </c:pt>
                <c:pt idx="1">
                  <c:v>16933</c:v>
                </c:pt>
                <c:pt idx="2">
                  <c:v>7273</c:v>
                </c:pt>
              </c:numCache>
            </c:numRef>
          </c:val>
        </c:ser>
        <c:dLbls>
          <c:dLblPos val="outEnd"/>
          <c:showLegendKey val="0"/>
          <c:showVal val="1"/>
          <c:showCatName val="0"/>
          <c:showSerName val="0"/>
          <c:showPercent val="0"/>
          <c:showBubbleSize val="0"/>
        </c:dLbls>
        <c:gapWidth val="219"/>
        <c:overlap val="-27"/>
        <c:axId val="1756707856"/>
        <c:axId val="1756708400"/>
      </c:barChart>
      <c:catAx>
        <c:axId val="175670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708400"/>
        <c:crosses val="autoZero"/>
        <c:auto val="1"/>
        <c:lblAlgn val="ctr"/>
        <c:lblOffset val="100"/>
        <c:noMultiLvlLbl val="0"/>
      </c:catAx>
      <c:valAx>
        <c:axId val="1756708400"/>
        <c:scaling>
          <c:orientation val="minMax"/>
        </c:scaling>
        <c:delete val="1"/>
        <c:axPos val="l"/>
        <c:numFmt formatCode="#,##0" sourceLinked="1"/>
        <c:majorTickMark val="none"/>
        <c:minorTickMark val="none"/>
        <c:tickLblPos val="nextTo"/>
        <c:crossAx val="175670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0678040244969"/>
          <c:y val="0.10995915966935668"/>
          <c:w val="0.87749321959755033"/>
          <c:h val="0.52132428568380174"/>
        </c:manualLayout>
      </c:layout>
      <c:barChart>
        <c:barDir val="col"/>
        <c:grouping val="clustered"/>
        <c:varyColors val="0"/>
        <c:ser>
          <c:idx val="0"/>
          <c:order val="0"/>
          <c:tx>
            <c:strRef>
              <c:f>'[Chart in Microsoft Word]Sheet1'!$C$314</c:f>
              <c:strCache>
                <c:ptCount val="1"/>
                <c:pt idx="0">
                  <c:v>Obiectiv</c:v>
                </c:pt>
              </c:strCache>
            </c:strRef>
          </c:tx>
          <c:spPr>
            <a:gradFill flip="none" rotWithShape="1">
              <a:gsLst>
                <a:gs pos="0">
                  <a:schemeClr val="accent5">
                    <a:lumMod val="60000"/>
                    <a:lumOff val="40000"/>
                    <a:shade val="30000"/>
                    <a:satMod val="115000"/>
                  </a:schemeClr>
                </a:gs>
                <a:gs pos="50000">
                  <a:schemeClr val="accent5">
                    <a:lumMod val="60000"/>
                    <a:lumOff val="40000"/>
                    <a:shade val="67500"/>
                    <a:satMod val="115000"/>
                  </a:schemeClr>
                </a:gs>
                <a:gs pos="100000">
                  <a:schemeClr val="accent5">
                    <a:lumMod val="60000"/>
                    <a:lumOff val="40000"/>
                    <a:shade val="100000"/>
                    <a:satMod val="115000"/>
                  </a:schemeClr>
                </a:gs>
              </a:gsLst>
              <a:lin ang="2700000" scaled="1"/>
              <a:tileRect/>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Word]Sheet1'!$B$315:$B$324</c:f>
              <c:strCache>
                <c:ptCount val="10"/>
                <c:pt idx="0">
                  <c:v>National dispatching centers</c:v>
                </c:pt>
                <c:pt idx="1">
                  <c:v>Local dispatching centers</c:v>
                </c:pt>
                <c:pt idx="2">
                  <c:v>Metering regulation stations</c:v>
                </c:pt>
                <c:pt idx="3">
                  <c:v>Line valves</c:v>
                </c:pt>
                <c:pt idx="4">
                  <c:v>Technological nodes</c:v>
                </c:pt>
                <c:pt idx="5">
                  <c:v>Compressor stations</c:v>
                </c:pt>
                <c:pt idx="6">
                  <c:v>Tranzit stations</c:v>
                </c:pt>
                <c:pt idx="7">
                  <c:v>Import stations</c:v>
                </c:pt>
                <c:pt idx="8">
                  <c:v>Underground storages</c:v>
                </c:pt>
                <c:pt idx="9">
                  <c:v>Domestic porducers</c:v>
                </c:pt>
              </c:strCache>
            </c:strRef>
          </c:cat>
          <c:val>
            <c:numRef>
              <c:f>'[Chart in Microsoft Word]Sheet1'!$C$315:$C$324</c:f>
              <c:numCache>
                <c:formatCode>General</c:formatCode>
                <c:ptCount val="10"/>
                <c:pt idx="0">
                  <c:v>2</c:v>
                </c:pt>
                <c:pt idx="1">
                  <c:v>9</c:v>
                </c:pt>
                <c:pt idx="2">
                  <c:v>948</c:v>
                </c:pt>
                <c:pt idx="3">
                  <c:v>106</c:v>
                </c:pt>
                <c:pt idx="4">
                  <c:v>33</c:v>
                </c:pt>
                <c:pt idx="5">
                  <c:v>5</c:v>
                </c:pt>
                <c:pt idx="6">
                  <c:v>6</c:v>
                </c:pt>
                <c:pt idx="7">
                  <c:v>2</c:v>
                </c:pt>
                <c:pt idx="8">
                  <c:v>7</c:v>
                </c:pt>
                <c:pt idx="9">
                  <c:v>4</c:v>
                </c:pt>
              </c:numCache>
            </c:numRef>
          </c:val>
        </c:ser>
        <c:ser>
          <c:idx val="1"/>
          <c:order val="1"/>
          <c:tx>
            <c:strRef>
              <c:f>'[Chart in Microsoft Word]Sheet1'!$D$314</c:f>
              <c:strCache>
                <c:ptCount val="1"/>
                <c:pt idx="0">
                  <c:v>Implementat</c:v>
                </c:pt>
              </c:strCache>
            </c:strRef>
          </c:tx>
          <c:spPr>
            <a:gradFill flip="none" rotWithShape="1">
              <a:gsLst>
                <a:gs pos="0">
                  <a:schemeClr val="accent6">
                    <a:lumMod val="75000"/>
                    <a:tint val="66000"/>
                    <a:satMod val="160000"/>
                  </a:schemeClr>
                </a:gs>
                <a:gs pos="50000">
                  <a:schemeClr val="accent6">
                    <a:lumMod val="75000"/>
                    <a:tint val="44500"/>
                    <a:satMod val="160000"/>
                  </a:schemeClr>
                </a:gs>
                <a:gs pos="100000">
                  <a:schemeClr val="accent6">
                    <a:lumMod val="75000"/>
                    <a:tint val="23500"/>
                    <a:satMod val="160000"/>
                  </a:schemeClr>
                </a:gs>
              </a:gsLst>
              <a:lin ang="2700000" scaled="1"/>
              <a:tileRect/>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Word]Sheet1'!$B$315:$B$324</c:f>
              <c:strCache>
                <c:ptCount val="10"/>
                <c:pt idx="0">
                  <c:v>National dispatching centers</c:v>
                </c:pt>
                <c:pt idx="1">
                  <c:v>Local dispatching centers</c:v>
                </c:pt>
                <c:pt idx="2">
                  <c:v>Metering regulation stations</c:v>
                </c:pt>
                <c:pt idx="3">
                  <c:v>Line valves</c:v>
                </c:pt>
                <c:pt idx="4">
                  <c:v>Technological nodes</c:v>
                </c:pt>
                <c:pt idx="5">
                  <c:v>Compressor stations</c:v>
                </c:pt>
                <c:pt idx="6">
                  <c:v>Tranzit stations</c:v>
                </c:pt>
                <c:pt idx="7">
                  <c:v>Import stations</c:v>
                </c:pt>
                <c:pt idx="8">
                  <c:v>Underground storages</c:v>
                </c:pt>
                <c:pt idx="9">
                  <c:v>Domestic porducers</c:v>
                </c:pt>
              </c:strCache>
            </c:strRef>
          </c:cat>
          <c:val>
            <c:numRef>
              <c:f>'[Chart in Microsoft Word]Sheet1'!$D$315:$D$324</c:f>
              <c:numCache>
                <c:formatCode>#,##0</c:formatCode>
                <c:ptCount val="10"/>
                <c:pt idx="0">
                  <c:v>2</c:v>
                </c:pt>
                <c:pt idx="1">
                  <c:v>9</c:v>
                </c:pt>
                <c:pt idx="2" formatCode="General">
                  <c:v>948</c:v>
                </c:pt>
                <c:pt idx="3" formatCode="General">
                  <c:v>106</c:v>
                </c:pt>
                <c:pt idx="4" formatCode="General">
                  <c:v>33</c:v>
                </c:pt>
                <c:pt idx="5" formatCode="General">
                  <c:v>5</c:v>
                </c:pt>
                <c:pt idx="6" formatCode="General">
                  <c:v>6</c:v>
                </c:pt>
                <c:pt idx="7" formatCode="General">
                  <c:v>2</c:v>
                </c:pt>
                <c:pt idx="8" formatCode="General">
                  <c:v>7</c:v>
                </c:pt>
                <c:pt idx="9" formatCode="General">
                  <c:v>4</c:v>
                </c:pt>
              </c:numCache>
            </c:numRef>
          </c:val>
        </c:ser>
        <c:dLbls>
          <c:showLegendKey val="0"/>
          <c:showVal val="1"/>
          <c:showCatName val="0"/>
          <c:showSerName val="0"/>
          <c:showPercent val="0"/>
          <c:showBubbleSize val="0"/>
        </c:dLbls>
        <c:gapWidth val="150"/>
        <c:overlap val="-25"/>
        <c:axId val="1756708944"/>
        <c:axId val="1756718736"/>
      </c:barChart>
      <c:catAx>
        <c:axId val="17567089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718736"/>
        <c:crosses val="autoZero"/>
        <c:auto val="1"/>
        <c:lblAlgn val="ctr"/>
        <c:lblOffset val="100"/>
        <c:noMultiLvlLbl val="0"/>
      </c:catAx>
      <c:valAx>
        <c:axId val="1756718736"/>
        <c:scaling>
          <c:orientation val="minMax"/>
        </c:scaling>
        <c:delete val="1"/>
        <c:axPos val="l"/>
        <c:numFmt formatCode="General" sourceLinked="1"/>
        <c:majorTickMark val="none"/>
        <c:minorTickMark val="none"/>
        <c:tickLblPos val="nextTo"/>
        <c:crossAx val="1756708944"/>
        <c:crosses val="autoZero"/>
        <c:crossBetween val="between"/>
      </c:valAx>
      <c:spPr>
        <a:noFill/>
        <a:ln>
          <a:noFill/>
        </a:ln>
        <a:effectLst/>
      </c:spPr>
    </c:plotArea>
    <c:legend>
      <c:legendPos val="t"/>
      <c:layout>
        <c:manualLayout>
          <c:xMode val="edge"/>
          <c:yMode val="edge"/>
          <c:x val="0.31816666666666665"/>
          <c:y val="0.90179806362378978"/>
          <c:w val="0.32477777777777778"/>
          <c:h val="9.336164929591271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r>
              <a:rPr lang="ro-RO" sz="1050" b="1"/>
              <a:t>Re-furb</a:t>
            </a:r>
            <a:r>
              <a:rPr lang="en-US" sz="1050" b="1"/>
              <a:t>i</a:t>
            </a:r>
            <a:r>
              <a:rPr lang="ro-RO" sz="1050" b="1"/>
              <a:t>shed Technological</a:t>
            </a:r>
            <a:r>
              <a:rPr lang="ro-RO" sz="1050" b="1" baseline="0"/>
              <a:t> Nodes </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861869313482213E-2"/>
          <c:y val="0.22670706023098935"/>
          <c:w val="0.8742762613730356"/>
          <c:h val="0.61867201608464439"/>
        </c:manualLayout>
      </c:layout>
      <c:pie3DChart>
        <c:varyColors val="1"/>
        <c:ser>
          <c:idx val="0"/>
          <c:order val="0"/>
          <c:spPr>
            <a:ln>
              <a:noFill/>
            </a:ln>
          </c:spPr>
          <c:explosion val="5"/>
          <c:dPt>
            <c:idx val="0"/>
            <c:bubble3D val="0"/>
            <c:spPr>
              <a:solidFill>
                <a:schemeClr val="accent1"/>
              </a:solidFill>
              <a:ln w="25400">
                <a:noFill/>
              </a:ln>
              <a:effectLst/>
              <a:sp3d/>
            </c:spPr>
          </c:dPt>
          <c:dPt>
            <c:idx val="1"/>
            <c:bubble3D val="0"/>
            <c:spPr>
              <a:solidFill>
                <a:srgbClr val="FEE6CE"/>
              </a:solidFill>
              <a:ln w="25400">
                <a:noFill/>
              </a:ln>
              <a:effectLst/>
              <a:sp3d/>
            </c:spPr>
          </c:dPt>
          <c:dPt>
            <c:idx val="2"/>
            <c:bubble3D val="0"/>
            <c:spPr>
              <a:solidFill>
                <a:schemeClr val="bg2">
                  <a:lumMod val="90000"/>
                </a:schemeClr>
              </a:solidFill>
              <a:ln w="25400">
                <a:noFill/>
              </a:ln>
              <a:effectLst/>
              <a:sp3d/>
            </c:spPr>
          </c:dPt>
          <c:dPt>
            <c:idx val="3"/>
            <c:bubble3D val="0"/>
            <c:explosion val="4"/>
            <c:spPr>
              <a:solidFill>
                <a:schemeClr val="accent6">
                  <a:lumMod val="40000"/>
                  <a:lumOff val="60000"/>
                </a:schemeClr>
              </a:solidFill>
              <a:ln w="25400">
                <a:noFill/>
              </a:ln>
              <a:effectLst/>
              <a:sp3d/>
            </c:spPr>
          </c:dPt>
          <c:dLbls>
            <c:dLbl>
              <c:idx val="0"/>
              <c:tx>
                <c:rich>
                  <a:bodyPr/>
                  <a:lstStyle/>
                  <a:p>
                    <a:r>
                      <a:rPr lang="en-US"/>
                      <a:t>37%</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28%</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11%</a:t>
                    </a:r>
                  </a:p>
                </c:rich>
              </c:tx>
              <c:dLblPos val="bestFi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24%</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Sheet1!$N$314:$N$317</c:f>
              <c:strCache>
                <c:ptCount val="4"/>
                <c:pt idx="0">
                  <c:v>Automatizate</c:v>
                </c:pt>
                <c:pt idx="1">
                  <c:v>Neautomatizare</c:v>
                </c:pt>
                <c:pt idx="2">
                  <c:v>În execuție</c:v>
                </c:pt>
                <c:pt idx="3">
                  <c:v>În proiectare</c:v>
                </c:pt>
              </c:strCache>
            </c:strRef>
          </c:cat>
          <c:val>
            <c:numRef>
              <c:f>Sheet1!$O$314:$O$317</c:f>
              <c:numCache>
                <c:formatCode>0%</c:formatCode>
                <c:ptCount val="4"/>
                <c:pt idx="0">
                  <c:v>0.43</c:v>
                </c:pt>
                <c:pt idx="1">
                  <c:v>0.2</c:v>
                </c:pt>
                <c:pt idx="2" formatCode="0.00%">
                  <c:v>0.10000000000000003</c:v>
                </c:pt>
                <c:pt idx="3">
                  <c:v>0.27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391401701746531E-2"/>
          <c:y val="7.4450084602368863E-2"/>
          <c:w val="0.95219435736677116"/>
          <c:h val="0.67184299932051639"/>
        </c:manualLayout>
      </c:layout>
      <c:barChart>
        <c:barDir val="col"/>
        <c:grouping val="clustered"/>
        <c:varyColors val="0"/>
        <c:ser>
          <c:idx val="0"/>
          <c:order val="0"/>
          <c:tx>
            <c:strRef>
              <c:f>Sheet3!$C$5:$C$7</c:f>
              <c:strCache>
                <c:ptCount val="1"/>
                <c:pt idx="0">
                  <c:v>Planned share in 100% %</c:v>
                </c:pt>
              </c:strCache>
            </c:strRef>
          </c:tx>
          <c:spPr>
            <a:solidFill>
              <a:schemeClr val="accent1"/>
            </a:solidFill>
            <a:ln>
              <a:noFill/>
            </a:ln>
            <a:effectLst/>
          </c:spPr>
          <c:invertIfNegative val="0"/>
          <c:dLbls>
            <c:dLbl>
              <c:idx val="9"/>
              <c:layout>
                <c:manualLayout>
                  <c:x val="0"/>
                  <c:y val="6.7681895093061988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Sheet3!$B$8:$B$18</c:f>
              <c:strCache>
                <c:ptCount val="11"/>
                <c:pt idx="0">
                  <c:v>Commissioned - RON thousand</c:v>
                </c:pt>
                <c:pt idx="1">
                  <c:v>EBITDA – RON thousand</c:v>
                </c:pt>
                <c:pt idx="2">
                  <c:v>Work productivity – RON/pers</c:v>
                </c:pt>
                <c:pt idx="4">
                  <c:v>Overdue payments -RON thousand</c:v>
                </c:pt>
                <c:pt idx="6">
                  <c:v>Ovedue receivalbes – RON thousand</c:v>
                </c:pt>
                <c:pt idx="8">
                  <c:v>Technological consumption - %</c:v>
                </c:pt>
                <c:pt idx="9">
                  <c:v>Operating expens at 1000 RON operating income -RON</c:v>
                </c:pt>
                <c:pt idx="10">
                  <c:v>TOTAL</c:v>
                </c:pt>
              </c:strCache>
            </c:strRef>
          </c:cat>
          <c:val>
            <c:numRef>
              <c:f>Sheet3!$C$8:$C$18</c:f>
              <c:numCache>
                <c:formatCode>General</c:formatCode>
                <c:ptCount val="11"/>
                <c:pt idx="0">
                  <c:v>15</c:v>
                </c:pt>
                <c:pt idx="1">
                  <c:v>15</c:v>
                </c:pt>
                <c:pt idx="2">
                  <c:v>15</c:v>
                </c:pt>
                <c:pt idx="4">
                  <c:v>15</c:v>
                </c:pt>
                <c:pt idx="6">
                  <c:v>10</c:v>
                </c:pt>
                <c:pt idx="8">
                  <c:v>15</c:v>
                </c:pt>
                <c:pt idx="9">
                  <c:v>15</c:v>
                </c:pt>
                <c:pt idx="10">
                  <c:v>100</c:v>
                </c:pt>
              </c:numCache>
            </c:numRef>
          </c:val>
        </c:ser>
        <c:ser>
          <c:idx val="1"/>
          <c:order val="1"/>
          <c:tx>
            <c:strRef>
              <c:f>Sheet3!$D$5:$D$7</c:f>
              <c:strCache>
                <c:ptCount val="1"/>
                <c:pt idx="0">
                  <c:v>Achieved share 2016</c:v>
                </c:pt>
              </c:strCache>
            </c:strRef>
          </c:tx>
          <c:spPr>
            <a:solidFill>
              <a:schemeClr val="accent6">
                <a:lumMod val="40000"/>
                <a:lumOff val="60000"/>
              </a:schemeClr>
            </a:solidFill>
            <a:ln>
              <a:solidFill>
                <a:schemeClr val="accent6">
                  <a:lumMod val="40000"/>
                  <a:lumOff val="60000"/>
                </a:schemeClr>
              </a:solidFill>
            </a:ln>
            <a:effectLst/>
          </c:spPr>
          <c:invertIfNegative val="0"/>
          <c:dLbls>
            <c:dLbl>
              <c:idx val="0"/>
              <c:layout>
                <c:manualLayout>
                  <c:x val="2.2391401701746527E-3"/>
                  <c:y val="-3.384094754653136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717420510523979E-3"/>
                  <c:y val="-3.384094754653130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3434841021047918E-2"/>
                  <c:y val="-2.03045685279187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6.717420510523959E-3"/>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6.717420510523959E-3"/>
                  <c:y val="-3.045685279187817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extLst>
                <c:ext xmlns:c15="http://schemas.microsoft.com/office/drawing/2012/chart" uri="{CE6537A1-D6FC-4f65-9D91-7224C49458BB}">
                  <c15:layout>
                    <c:manualLayout>
                      <c:w val="5.9303539251950872E-2"/>
                      <c:h val="8.788520724249569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Sheet3!$B$8:$B$18</c:f>
              <c:strCache>
                <c:ptCount val="11"/>
                <c:pt idx="0">
                  <c:v>Commissioned - RON thousand</c:v>
                </c:pt>
                <c:pt idx="1">
                  <c:v>EBITDA – RON thousand</c:v>
                </c:pt>
                <c:pt idx="2">
                  <c:v>Work productivity – RON/pers</c:v>
                </c:pt>
                <c:pt idx="4">
                  <c:v>Overdue payments -RON thousand</c:v>
                </c:pt>
                <c:pt idx="6">
                  <c:v>Ovedue receivalbes – RON thousand</c:v>
                </c:pt>
                <c:pt idx="8">
                  <c:v>Technological consumption - %</c:v>
                </c:pt>
                <c:pt idx="9">
                  <c:v>Operating expens at 1000 RON operating income -RON</c:v>
                </c:pt>
                <c:pt idx="10">
                  <c:v>TOTAL</c:v>
                </c:pt>
              </c:strCache>
            </c:strRef>
          </c:cat>
          <c:val>
            <c:numRef>
              <c:f>Sheet3!$D$8:$D$18</c:f>
              <c:numCache>
                <c:formatCode>General</c:formatCode>
                <c:ptCount val="11"/>
                <c:pt idx="0">
                  <c:v>15.24</c:v>
                </c:pt>
                <c:pt idx="1">
                  <c:v>19.989999999999998</c:v>
                </c:pt>
                <c:pt idx="2">
                  <c:v>15.12</c:v>
                </c:pt>
                <c:pt idx="4">
                  <c:v>15</c:v>
                </c:pt>
                <c:pt idx="6">
                  <c:v>2.42</c:v>
                </c:pt>
                <c:pt idx="8">
                  <c:v>40.159999999999997</c:v>
                </c:pt>
                <c:pt idx="9">
                  <c:v>17.48</c:v>
                </c:pt>
                <c:pt idx="10">
                  <c:v>125.41</c:v>
                </c:pt>
              </c:numCache>
            </c:numRef>
          </c:val>
        </c:ser>
        <c:dLbls>
          <c:dLblPos val="outEnd"/>
          <c:showLegendKey val="0"/>
          <c:showVal val="1"/>
          <c:showCatName val="0"/>
          <c:showSerName val="0"/>
          <c:showPercent val="0"/>
          <c:showBubbleSize val="0"/>
        </c:dLbls>
        <c:gapWidth val="219"/>
        <c:overlap val="-27"/>
        <c:axId val="1756717648"/>
        <c:axId val="1756719280"/>
      </c:barChart>
      <c:catAx>
        <c:axId val="175671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ro-RO"/>
          </a:p>
        </c:txPr>
        <c:crossAx val="1756719280"/>
        <c:crosses val="autoZero"/>
        <c:auto val="1"/>
        <c:lblAlgn val="ctr"/>
        <c:lblOffset val="100"/>
        <c:noMultiLvlLbl val="0"/>
      </c:catAx>
      <c:valAx>
        <c:axId val="1756719280"/>
        <c:scaling>
          <c:orientation val="minMax"/>
        </c:scaling>
        <c:delete val="1"/>
        <c:axPos val="l"/>
        <c:numFmt formatCode="General" sourceLinked="1"/>
        <c:majorTickMark val="none"/>
        <c:minorTickMark val="none"/>
        <c:tickLblPos val="nextTo"/>
        <c:crossAx val="175671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392580500608153E-2"/>
          <c:y val="0.14321428571428574"/>
          <c:w val="0.91877408616605849"/>
          <c:h val="0.52496475549042387"/>
        </c:manualLayout>
      </c:layout>
      <c:barChart>
        <c:barDir val="col"/>
        <c:grouping val="clustered"/>
        <c:varyColors val="0"/>
        <c:ser>
          <c:idx val="0"/>
          <c:order val="0"/>
          <c:tx>
            <c:strRef>
              <c:f>Sheet1!$B$1</c:f>
              <c:strCache>
                <c:ptCount val="1"/>
                <c:pt idx="0">
                  <c:v>Achieved 2016</c:v>
                </c:pt>
              </c:strCache>
            </c:strRef>
          </c:tx>
          <c:spPr>
            <a:solidFill>
              <a:schemeClr val="accent1"/>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EBITDA</c:v>
                </c:pt>
                <c:pt idx="1">
                  <c:v>Operating expense without the amortization</c:v>
                </c:pt>
                <c:pt idx="2">
                  <c:v>Investment costs</c:v>
                </c:pt>
              </c:strCache>
            </c:strRef>
          </c:cat>
          <c:val>
            <c:numRef>
              <c:f>Sheet1!$B$2:$B$4</c:f>
              <c:numCache>
                <c:formatCode>#,##0</c:formatCode>
                <c:ptCount val="3"/>
                <c:pt idx="0">
                  <c:v>900091</c:v>
                </c:pt>
                <c:pt idx="1">
                  <c:v>972697</c:v>
                </c:pt>
                <c:pt idx="2">
                  <c:v>140179</c:v>
                </c:pt>
              </c:numCache>
            </c:numRef>
          </c:val>
        </c:ser>
        <c:ser>
          <c:idx val="1"/>
          <c:order val="1"/>
          <c:tx>
            <c:strRef>
              <c:f>Sheet1!$C$1</c:f>
              <c:strCache>
                <c:ptCount val="1"/>
                <c:pt idx="0">
                  <c:v>Management Plan 2016</c:v>
                </c:pt>
              </c:strCache>
            </c:strRef>
          </c:tx>
          <c:spPr>
            <a:solidFill>
              <a:schemeClr val="accent5">
                <a:lumMod val="75000"/>
              </a:schemeClr>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EBITDA</c:v>
                </c:pt>
                <c:pt idx="1">
                  <c:v>Operating expense without the amortization</c:v>
                </c:pt>
                <c:pt idx="2">
                  <c:v>Investment costs</c:v>
                </c:pt>
              </c:strCache>
            </c:strRef>
          </c:cat>
          <c:val>
            <c:numRef>
              <c:f>Sheet1!$C$2:$C$4</c:f>
              <c:numCache>
                <c:formatCode>#,##0</c:formatCode>
                <c:ptCount val="3"/>
                <c:pt idx="0">
                  <c:v>675539</c:v>
                </c:pt>
                <c:pt idx="1">
                  <c:v>1126733</c:v>
                </c:pt>
                <c:pt idx="2">
                  <c:v>369200</c:v>
                </c:pt>
              </c:numCache>
            </c:numRef>
          </c:val>
        </c:ser>
        <c:ser>
          <c:idx val="2"/>
          <c:order val="2"/>
          <c:tx>
            <c:strRef>
              <c:f>Sheet1!$D$1</c:f>
              <c:strCache>
                <c:ptCount val="1"/>
                <c:pt idx="0">
                  <c:v>Degree of achievement </c:v>
                </c:pt>
              </c:strCache>
            </c:strRef>
          </c:tx>
          <c:spPr>
            <a:solidFill>
              <a:schemeClr val="accent3"/>
            </a:solidFill>
            <a:ln>
              <a:noFill/>
            </a:ln>
            <a:effectLst/>
          </c:spPr>
          <c:invertIfNegative val="0"/>
          <c:dLbls>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EBITDA</c:v>
                </c:pt>
                <c:pt idx="1">
                  <c:v>Operating expense without the amortization</c:v>
                </c:pt>
                <c:pt idx="2">
                  <c:v>Investment costs</c:v>
                </c:pt>
              </c:strCache>
            </c:strRef>
          </c:cat>
          <c:val>
            <c:numRef>
              <c:f>Sheet1!$D$2:$D$4</c:f>
              <c:numCache>
                <c:formatCode>0%</c:formatCode>
                <c:ptCount val="3"/>
                <c:pt idx="0">
                  <c:v>1.3324041987213173</c:v>
                </c:pt>
                <c:pt idx="1">
                  <c:v>1.1583596947456403</c:v>
                </c:pt>
                <c:pt idx="2">
                  <c:v>0.37968309859154931</c:v>
                </c:pt>
              </c:numCache>
            </c:numRef>
          </c:val>
        </c:ser>
        <c:dLbls>
          <c:dLblPos val="outEnd"/>
          <c:showLegendKey val="0"/>
          <c:showVal val="1"/>
          <c:showCatName val="0"/>
          <c:showSerName val="0"/>
          <c:showPercent val="0"/>
          <c:showBubbleSize val="0"/>
        </c:dLbls>
        <c:gapWidth val="219"/>
        <c:overlap val="-27"/>
        <c:axId val="1756720368"/>
        <c:axId val="1756711120"/>
      </c:barChart>
      <c:catAx>
        <c:axId val="175672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756711120"/>
        <c:crosses val="autoZero"/>
        <c:auto val="1"/>
        <c:lblAlgn val="ctr"/>
        <c:lblOffset val="100"/>
        <c:noMultiLvlLbl val="0"/>
      </c:catAx>
      <c:valAx>
        <c:axId val="175671112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756720368"/>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no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ro-RO" sz="1000"/>
              <a:t>Share technological consumption /circulated gas </a:t>
            </a:r>
          </a:p>
        </c:rich>
      </c:tx>
      <c:layout>
        <c:manualLayout>
          <c:xMode val="edge"/>
          <c:yMode val="edge"/>
          <c:x val="0.31243733649496758"/>
          <c:y val="0.87521510570308791"/>
        </c:manualLayout>
      </c:layout>
      <c:overlay val="0"/>
      <c:spPr>
        <a:noFill/>
        <a:ln>
          <a:noFill/>
        </a:ln>
        <a:effectLst/>
      </c:spPr>
    </c:title>
    <c:autoTitleDeleted val="0"/>
    <c:plotArea>
      <c:layout>
        <c:manualLayout>
          <c:layoutTarget val="inner"/>
          <c:xMode val="edge"/>
          <c:yMode val="edge"/>
          <c:x val="4.1466551541941052E-2"/>
          <c:y val="5.5538143903534419E-2"/>
          <c:w val="0.94979994931075518"/>
          <c:h val="0.64350902587730496"/>
        </c:manualLayout>
      </c:layout>
      <c:lineChart>
        <c:grouping val="standard"/>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Sheet1!$L$105:$O$105</c:f>
              <c:numCache>
                <c:formatCode>0</c:formatCode>
                <c:ptCount val="4"/>
                <c:pt idx="0">
                  <c:v>2013</c:v>
                </c:pt>
                <c:pt idx="1">
                  <c:v>2014</c:v>
                </c:pt>
                <c:pt idx="2">
                  <c:v>2015</c:v>
                </c:pt>
                <c:pt idx="3">
                  <c:v>2016</c:v>
                </c:pt>
              </c:numCache>
            </c:numRef>
          </c:cat>
          <c:val>
            <c:numRef>
              <c:f>Sheet1!$L$106:$O$106</c:f>
              <c:numCache>
                <c:formatCode>0.00%</c:formatCode>
                <c:ptCount val="4"/>
                <c:pt idx="0">
                  <c:v>1.1692244699245589E-2</c:v>
                </c:pt>
                <c:pt idx="1">
                  <c:v>7.4097627866945301E-3</c:v>
                </c:pt>
                <c:pt idx="2">
                  <c:v>7.1143608699250835E-3</c:v>
                </c:pt>
                <c:pt idx="3">
                  <c:v>8.9232521145330718E-3</c:v>
                </c:pt>
              </c:numCache>
            </c:numRef>
          </c:val>
          <c:smooth val="0"/>
        </c:ser>
        <c:dLbls>
          <c:dLblPos val="t"/>
          <c:showLegendKey val="0"/>
          <c:showVal val="1"/>
          <c:showCatName val="0"/>
          <c:showSerName val="0"/>
          <c:showPercent val="0"/>
          <c:showBubbleSize val="0"/>
        </c:dLbls>
        <c:marker val="1"/>
        <c:smooth val="0"/>
        <c:axId val="1756669232"/>
        <c:axId val="1756670864"/>
      </c:lineChart>
      <c:catAx>
        <c:axId val="1756669232"/>
        <c:scaling>
          <c:orientation val="minMax"/>
        </c:scaling>
        <c:delete val="0"/>
        <c:axPos val="b"/>
        <c:numFmt formatCode="0"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70864"/>
        <c:crosses val="autoZero"/>
        <c:auto val="1"/>
        <c:lblAlgn val="ctr"/>
        <c:lblOffset val="100"/>
        <c:tickMarkSkip val="1"/>
        <c:noMultiLvlLbl val="0"/>
      </c:catAx>
      <c:valAx>
        <c:axId val="1756670864"/>
        <c:scaling>
          <c:orientation val="minMax"/>
        </c:scaling>
        <c:delete val="1"/>
        <c:axPos val="l"/>
        <c:numFmt formatCode="0.00%" sourceLinked="1"/>
        <c:majorTickMark val="none"/>
        <c:minorTickMark val="none"/>
        <c:tickLblPos val="nextTo"/>
        <c:crossAx val="1756669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400675317191775"/>
          <c:y val="0.14561578189823049"/>
          <c:w val="0.2707640856956689"/>
          <c:h val="0.52563169926339848"/>
        </c:manualLayout>
      </c:layout>
      <c:pieChart>
        <c:varyColors val="1"/>
        <c:ser>
          <c:idx val="0"/>
          <c:order val="0"/>
          <c:tx>
            <c:strRef>
              <c:f>Sheet1!$E$5:$E$6</c:f>
              <c:strCache>
                <c:ptCount val="2"/>
                <c:pt idx="0">
                  <c:v>%</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Lbls>
            <c:dLbl>
              <c:idx val="10"/>
              <c:layout>
                <c:manualLayout>
                  <c:x val="2.0295253790950551E-2"/>
                  <c:y val="1.4658538650410634E-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Sheet1!$D$7:$D$17</c:f>
              <c:strCache>
                <c:ptCount val="11"/>
                <c:pt idx="0">
                  <c:v>GDF SUEZ ENERGY (ENGIE)</c:v>
                </c:pt>
                <c:pt idx="1">
                  <c:v>E.ON ENERGIE ROMANIA </c:v>
                </c:pt>
                <c:pt idx="2">
                  <c:v>OMV PETROM GAS  BUCURESTI</c:v>
                </c:pt>
                <c:pt idx="3">
                  <c:v>ROMGAZ  SA. MEDIAS       </c:v>
                </c:pt>
                <c:pt idx="4">
                  <c:v>ELECTROCENTRALE  BUCURESTI</c:v>
                </c:pt>
                <c:pt idx="5">
                  <c:v>AZOMURES TG.MURES</c:v>
                </c:pt>
                <c:pt idx="6">
                  <c:v>C-GAZ &amp; ENERGY DISTRIBUTIE</c:v>
                </c:pt>
                <c:pt idx="7">
                  <c:v>CONEF GAZ BUCURESTI</c:v>
                </c:pt>
                <c:pt idx="8">
                  <c:v>WIEE ROMANIA SRL </c:v>
                </c:pt>
                <c:pt idx="9">
                  <c:v>CHEMGAS HOLDING </c:v>
                </c:pt>
                <c:pt idx="10">
                  <c:v>Alții</c:v>
                </c:pt>
              </c:strCache>
            </c:strRef>
          </c:cat>
          <c:val>
            <c:numRef>
              <c:f>Sheet1!$E$7:$E$17</c:f>
              <c:numCache>
                <c:formatCode>0%</c:formatCode>
                <c:ptCount val="11"/>
                <c:pt idx="0">
                  <c:v>0.29820000000000002</c:v>
                </c:pt>
                <c:pt idx="1">
                  <c:v>0.25019999999999998</c:v>
                </c:pt>
                <c:pt idx="2">
                  <c:v>0.1195</c:v>
                </c:pt>
                <c:pt idx="3">
                  <c:v>8.4000000000000005E-2</c:v>
                </c:pt>
                <c:pt idx="4">
                  <c:v>8.4000000000000005E-2</c:v>
                </c:pt>
                <c:pt idx="5">
                  <c:v>5.0599999999999999E-2</c:v>
                </c:pt>
                <c:pt idx="6">
                  <c:v>1.52E-2</c:v>
                </c:pt>
                <c:pt idx="7">
                  <c:v>1.4500000000000001E-2</c:v>
                </c:pt>
                <c:pt idx="8">
                  <c:v>9.4000000000000004E-3</c:v>
                </c:pt>
                <c:pt idx="9">
                  <c:v>7.0000000000000001E-3</c:v>
                </c:pt>
                <c:pt idx="10">
                  <c:v>6.7299999999999999E-2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462962962962962E-2"/>
          <c:y val="0.1527165932452276"/>
          <c:w val="0.94907407407407407"/>
          <c:h val="0.51213847167782445"/>
        </c:manualLayout>
      </c:layout>
      <c:barChart>
        <c:barDir val="col"/>
        <c:grouping val="clustered"/>
        <c:varyColors val="0"/>
        <c:ser>
          <c:idx val="0"/>
          <c:order val="0"/>
          <c:tx>
            <c:strRef>
              <c:f>Sheet1!$B$1</c:f>
              <c:strCache>
                <c:ptCount val="1"/>
                <c:pt idx="0">
                  <c:v>2014</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Operating income before the construction activity acc. to IFRIC12</c:v>
                </c:pt>
                <c:pt idx="1">
                  <c:v>Operating expense before the construction activity acc. to IFRIC12</c:v>
                </c:pt>
                <c:pt idx="2">
                  <c:v>Financial income</c:v>
                </c:pt>
                <c:pt idx="3">
                  <c:v>Financial cost</c:v>
                </c:pt>
                <c:pt idx="4">
                  <c:v>Gross profit</c:v>
                </c:pt>
                <c:pt idx="5">
                  <c:v>Net profit</c:v>
                </c:pt>
                <c:pt idx="6">
                  <c:v>Comprehensive resultfor the period</c:v>
                </c:pt>
              </c:strCache>
            </c:strRef>
          </c:cat>
          <c:val>
            <c:numRef>
              <c:f>Sheet1!$B$2:$B$8</c:f>
            </c:numRef>
          </c:val>
        </c:ser>
        <c:ser>
          <c:idx val="1"/>
          <c:order val="1"/>
          <c:tx>
            <c:strRef>
              <c:f>Sheet1!$C$1</c:f>
              <c:strCache>
                <c:ptCount val="1"/>
                <c:pt idx="0">
                  <c:v>2015</c:v>
                </c:pt>
              </c:strCache>
            </c:strRef>
          </c:tx>
          <c:spPr>
            <a:solidFill>
              <a:schemeClr val="accent5">
                <a:lumMod val="75000"/>
              </a:schemeClr>
            </a:solidFill>
            <a:ln>
              <a:noFill/>
            </a:ln>
            <a:effectLst/>
          </c:spPr>
          <c:invertIfNegative val="0"/>
          <c:dLbls>
            <c:dLbl>
              <c:idx val="0"/>
              <c:layout>
                <c:manualLayout>
                  <c:x val="-1.819983982364742E-2"/>
                  <c:y val="-4.9403324584426948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1060494326426904E-3"/>
                  <c:y val="1.825791776027996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3.9489021576267392E-5"/>
                  <c:y val="-2.22222222222222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9836493248011674E-3"/>
                  <c:y val="-1.977462817147856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2111869702087916E-2"/>
                  <c:y val="2.132038495188101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9.0396555415467331E-6"/>
                  <c:y val="1.533018372703412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2.42643385588886E-5"/>
                  <c:y val="1.368083989501312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Operating income before the construction activity acc. to IFRIC12</c:v>
                </c:pt>
                <c:pt idx="1">
                  <c:v>Operating expense before the construction activity acc. to IFRIC12</c:v>
                </c:pt>
                <c:pt idx="2">
                  <c:v>Financial income</c:v>
                </c:pt>
                <c:pt idx="3">
                  <c:v>Financial cost</c:v>
                </c:pt>
                <c:pt idx="4">
                  <c:v>Gross profit</c:v>
                </c:pt>
                <c:pt idx="5">
                  <c:v>Net profit</c:v>
                </c:pt>
                <c:pt idx="6">
                  <c:v>Comprehensive resultfor the period</c:v>
                </c:pt>
              </c:strCache>
            </c:strRef>
          </c:cat>
          <c:val>
            <c:numRef>
              <c:f>Sheet1!$C$2:$C$8</c:f>
              <c:numCache>
                <c:formatCode>#,##0</c:formatCode>
                <c:ptCount val="7"/>
                <c:pt idx="0">
                  <c:v>1663398</c:v>
                </c:pt>
                <c:pt idx="1">
                  <c:v>1077219</c:v>
                </c:pt>
                <c:pt idx="2">
                  <c:v>43237</c:v>
                </c:pt>
                <c:pt idx="3">
                  <c:v>22315</c:v>
                </c:pt>
                <c:pt idx="4">
                  <c:v>607101</c:v>
                </c:pt>
                <c:pt idx="5">
                  <c:v>488729.00181194633</c:v>
                </c:pt>
                <c:pt idx="6">
                  <c:v>498940.34481194633</c:v>
                </c:pt>
              </c:numCache>
            </c:numRef>
          </c:val>
        </c:ser>
        <c:ser>
          <c:idx val="2"/>
          <c:order val="2"/>
          <c:tx>
            <c:strRef>
              <c:f>Sheet1!$D$1</c:f>
              <c:strCache>
                <c:ptCount val="1"/>
                <c:pt idx="0">
                  <c:v>2016</c:v>
                </c:pt>
              </c:strCache>
            </c:strRef>
          </c:tx>
          <c:spPr>
            <a:solidFill>
              <a:srgbClr val="8064A2">
                <a:lumMod val="60000"/>
                <a:lumOff val="40000"/>
              </a:srgbClr>
            </a:solidFill>
            <a:ln>
              <a:solidFill>
                <a:srgbClr val="8064A2">
                  <a:lumMod val="60000"/>
                  <a:lumOff val="40000"/>
                </a:srgbClr>
              </a:solidFill>
            </a:ln>
          </c:spPr>
          <c:invertIfNegative val="0"/>
          <c:dLbls>
            <c:dLbl>
              <c:idx val="0"/>
              <c:layout>
                <c:manualLayout>
                  <c:x val="4.0281973816717019E-3"/>
                  <c:y val="-4.444444444444444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4098690835850957E-2"/>
                  <c:y val="-1.7777777777777819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9.3736153071500503E-2"/>
                      <c:h val="6.7577952755905515E-2"/>
                    </c:manualLayout>
                  </c15:layout>
                </c:ext>
              </c:extLst>
            </c:dLbl>
            <c:dLbl>
              <c:idx val="2"/>
              <c:layout>
                <c:manualLayout>
                  <c:x val="1.4098690835850957E-2"/>
                  <c:y val="8.888888888888807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6.0422960725075529E-3"/>
                  <c:y val="1.333333333333333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007049345417918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1.333333333333333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6.0422960725074054E-3"/>
                  <c:y val="-1.3333333333333334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Operating income before the construction activity acc. to IFRIC12</c:v>
                </c:pt>
                <c:pt idx="1">
                  <c:v>Operating expense before the construction activity acc. to IFRIC12</c:v>
                </c:pt>
                <c:pt idx="2">
                  <c:v>Financial income</c:v>
                </c:pt>
                <c:pt idx="3">
                  <c:v>Financial cost</c:v>
                </c:pt>
                <c:pt idx="4">
                  <c:v>Gross profit</c:v>
                </c:pt>
                <c:pt idx="5">
                  <c:v>Net profit</c:v>
                </c:pt>
                <c:pt idx="6">
                  <c:v>Comprehensive resultfor the period</c:v>
                </c:pt>
              </c:strCache>
            </c:strRef>
          </c:cat>
          <c:val>
            <c:numRef>
              <c:f>Sheet1!$D$2:$D$8</c:f>
              <c:numCache>
                <c:formatCode>#,##0</c:formatCode>
                <c:ptCount val="7"/>
                <c:pt idx="0">
                  <c:v>1872788</c:v>
                </c:pt>
                <c:pt idx="1">
                  <c:v>1181361</c:v>
                </c:pt>
                <c:pt idx="2">
                  <c:v>32231</c:v>
                </c:pt>
                <c:pt idx="3">
                  <c:v>9683</c:v>
                </c:pt>
                <c:pt idx="4">
                  <c:v>713975</c:v>
                </c:pt>
                <c:pt idx="5">
                  <c:v>594565</c:v>
                </c:pt>
                <c:pt idx="6">
                  <c:v>593539</c:v>
                </c:pt>
              </c:numCache>
            </c:numRef>
          </c:val>
        </c:ser>
        <c:dLbls>
          <c:dLblPos val="outEnd"/>
          <c:showLegendKey val="0"/>
          <c:showVal val="1"/>
          <c:showCatName val="0"/>
          <c:showSerName val="0"/>
          <c:showPercent val="0"/>
          <c:showBubbleSize val="0"/>
        </c:dLbls>
        <c:gapWidth val="219"/>
        <c:overlap val="-27"/>
        <c:axId val="1756714928"/>
        <c:axId val="1756712208"/>
      </c:barChart>
      <c:catAx>
        <c:axId val="1756714928"/>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sz="800"/>
            </a:pPr>
            <a:endParaRPr lang="ro-RO"/>
          </a:p>
        </c:txPr>
        <c:crossAx val="1756712208"/>
        <c:crosses val="autoZero"/>
        <c:auto val="1"/>
        <c:lblAlgn val="ctr"/>
        <c:lblOffset val="100"/>
        <c:noMultiLvlLbl val="0"/>
      </c:catAx>
      <c:valAx>
        <c:axId val="1756712208"/>
        <c:scaling>
          <c:orientation val="minMax"/>
        </c:scaling>
        <c:delete val="1"/>
        <c:axPos val="l"/>
        <c:majorGridlines>
          <c:spPr>
            <a:ln w="9525" cap="flat" cmpd="sng" algn="ctr">
              <a:noFill/>
              <a:round/>
            </a:ln>
            <a:effectLst/>
          </c:spPr>
        </c:majorGridlines>
        <c:numFmt formatCode="#,##0" sourceLinked="1"/>
        <c:majorTickMark val="out"/>
        <c:minorTickMark val="none"/>
        <c:tickLblPos val="nextTo"/>
        <c:crossAx val="1756714928"/>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794456525436812E-2"/>
          <c:y val="0.1111111111111111"/>
          <c:w val="0.94715852442671988"/>
          <c:h val="0.41996364617729237"/>
        </c:manualLayout>
      </c:layout>
      <c:barChart>
        <c:barDir val="col"/>
        <c:grouping val="clustered"/>
        <c:varyColors val="0"/>
        <c:ser>
          <c:idx val="0"/>
          <c:order val="0"/>
          <c:tx>
            <c:strRef>
              <c:f>Sheet1!$B$1</c:f>
              <c:strCache>
                <c:ptCount val="1"/>
                <c:pt idx="0">
                  <c:v>2016 vs 2015</c:v>
                </c:pt>
              </c:strCache>
            </c:strRef>
          </c:tx>
          <c:spPr>
            <a:solidFill>
              <a:schemeClr val="accent1"/>
            </a:solidFill>
            <a:ln>
              <a:noFill/>
            </a:ln>
            <a:effectLst/>
          </c:spPr>
          <c:invertIfNegative val="0"/>
          <c:dLbls>
            <c:dLbl>
              <c:idx val="0"/>
              <c:layout>
                <c:manualLayout>
                  <c:x val="-1.0960992787168008E-3"/>
                  <c:y val="-9.1360807721615443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3265671053331696E-2"/>
                      <c:h val="0.1409782194564389"/>
                    </c:manualLayout>
                  </c15:layout>
                </c:ext>
              </c:extLst>
            </c:dLbl>
            <c:dLbl>
              <c:idx val="2"/>
              <c:layout>
                <c:manualLayout>
                  <c:x val="0"/>
                  <c:y val="-9.4694564389128776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Gross profit</c:v>
                </c:pt>
                <c:pt idx="1">
                  <c:v>Net profit</c:v>
                </c:pt>
                <c:pt idx="2">
                  <c:v>Comprehensive result for the period</c:v>
                </c:pt>
              </c:strCache>
            </c:strRef>
          </c:cat>
          <c:val>
            <c:numRef>
              <c:f>Sheet1!$B$2:$B$4</c:f>
              <c:numCache>
                <c:formatCode>0%</c:formatCode>
                <c:ptCount val="3"/>
                <c:pt idx="0">
                  <c:v>0.17604053121803065</c:v>
                </c:pt>
                <c:pt idx="1">
                  <c:v>0.21655354561663054</c:v>
                </c:pt>
                <c:pt idx="2">
                  <c:v>0.18959912977914928</c:v>
                </c:pt>
              </c:numCache>
            </c:numRef>
          </c:val>
        </c:ser>
        <c:dLbls>
          <c:showLegendKey val="0"/>
          <c:showVal val="0"/>
          <c:showCatName val="0"/>
          <c:showSerName val="0"/>
          <c:showPercent val="0"/>
          <c:showBubbleSize val="0"/>
        </c:dLbls>
        <c:gapWidth val="219"/>
        <c:overlap val="-27"/>
        <c:axId val="1887817056"/>
        <c:axId val="1887818144"/>
      </c:barChart>
      <c:catAx>
        <c:axId val="18878170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o-RO"/>
          </a:p>
        </c:txPr>
        <c:crossAx val="1887818144"/>
        <c:crosses val="autoZero"/>
        <c:auto val="1"/>
        <c:lblAlgn val="ctr"/>
        <c:lblOffset val="100"/>
        <c:noMultiLvlLbl val="0"/>
      </c:catAx>
      <c:valAx>
        <c:axId val="1887818144"/>
        <c:scaling>
          <c:orientation val="minMax"/>
        </c:scaling>
        <c:delete val="1"/>
        <c:axPos val="l"/>
        <c:majorGridlines>
          <c:spPr>
            <a:ln w="9525" cap="flat" cmpd="sng" algn="ctr">
              <a:noFill/>
              <a:round/>
            </a:ln>
            <a:effectLst/>
          </c:spPr>
        </c:majorGridlines>
        <c:numFmt formatCode="0%" sourceLinked="1"/>
        <c:majorTickMark val="out"/>
        <c:minorTickMark val="none"/>
        <c:tickLblPos val="nextTo"/>
        <c:crossAx val="1887817056"/>
        <c:crosses val="autoZero"/>
        <c:crossBetween val="between"/>
      </c:valAx>
      <c:spPr>
        <a:noFill/>
        <a:ln>
          <a:noFill/>
        </a:ln>
        <a:effectLst/>
      </c:spPr>
    </c:plotArea>
    <c:legend>
      <c:legendPos val="b"/>
      <c:overlay val="0"/>
      <c:spPr>
        <a:noFill/>
        <a:ln>
          <a:noFill/>
        </a:ln>
        <a:effectLst/>
      </c:spPr>
      <c:txPr>
        <a:bodyPr rot="0" vert="horz"/>
        <a:lstStyle/>
        <a:p>
          <a:pPr>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009222805482646"/>
          <c:y val="3.968253968253968E-2"/>
          <c:w val="0.60456054972295126"/>
          <c:h val="0.77351831021122364"/>
        </c:manualLayout>
      </c:layout>
      <c:barChart>
        <c:barDir val="bar"/>
        <c:grouping val="clustered"/>
        <c:varyColors val="0"/>
        <c:ser>
          <c:idx val="0"/>
          <c:order val="0"/>
          <c:tx>
            <c:strRef>
              <c:f>Sheet1!$B$1</c:f>
              <c:strCache>
                <c:ptCount val="1"/>
                <c:pt idx="0">
                  <c:v>BVC 2016</c:v>
                </c:pt>
              </c:strCache>
            </c:strRef>
          </c:tx>
          <c:spPr>
            <a:solidFill>
              <a:schemeClr val="accent1"/>
            </a:solidFill>
            <a:ln>
              <a:noFill/>
            </a:ln>
            <a:effectLst/>
          </c:spPr>
          <c:invertIfNegative val="0"/>
          <c:dLbls>
            <c:dLbl>
              <c:idx val="0"/>
              <c:tx>
                <c:rich>
                  <a:bodyPr/>
                  <a:lstStyle/>
                  <a:p>
                    <a:r>
                      <a:rPr lang="en-US"/>
                      <a:t>1.633.216</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1.185.639</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469.625</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397.476</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revenue from the construction activity acc. to IFRIC12</c:v>
                </c:pt>
                <c:pt idx="1">
                  <c:v>Operating expense before  the construction activity acc. to IFRIC12</c:v>
                </c:pt>
                <c:pt idx="2">
                  <c:v>Gross profit</c:v>
                </c:pt>
                <c:pt idx="3">
                  <c:v>Net profit</c:v>
                </c:pt>
              </c:strCache>
            </c:strRef>
          </c:cat>
          <c:val>
            <c:numRef>
              <c:f>Sheet1!$B$2:$B$5</c:f>
              <c:numCache>
                <c:formatCode>#,##0</c:formatCode>
                <c:ptCount val="4"/>
                <c:pt idx="0">
                  <c:v>1630216</c:v>
                </c:pt>
                <c:pt idx="1">
                  <c:v>1185639</c:v>
                </c:pt>
                <c:pt idx="2">
                  <c:v>469625</c:v>
                </c:pt>
                <c:pt idx="3">
                  <c:v>397476</c:v>
                </c:pt>
              </c:numCache>
            </c:numRef>
          </c:val>
        </c:ser>
        <c:ser>
          <c:idx val="1"/>
          <c:order val="1"/>
          <c:tx>
            <c:strRef>
              <c:f>Sheet1!$C$1</c:f>
              <c:strCache>
                <c:ptCount val="1"/>
                <c:pt idx="0">
                  <c:v>Realizat 2016</c:v>
                </c:pt>
              </c:strCache>
            </c:strRef>
          </c:tx>
          <c:spPr>
            <a:solidFill>
              <a:schemeClr val="accent5">
                <a:lumMod val="75000"/>
              </a:schemeClr>
            </a:solidFill>
            <a:ln>
              <a:noFill/>
            </a:ln>
            <a:effectLst/>
          </c:spPr>
          <c:invertIfNegative val="0"/>
          <c:dLbls>
            <c:dLbl>
              <c:idx val="0"/>
              <c:tx>
                <c:rich>
                  <a:bodyPr/>
                  <a:lstStyle/>
                  <a:p>
                    <a:r>
                      <a:rPr lang="en-US"/>
                      <a:t>1.815.385</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1.125.268</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713.975</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594.565</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revenue from the construction activity acc. to IFRIC12</c:v>
                </c:pt>
                <c:pt idx="1">
                  <c:v>Operating expense before  the construction activity acc. to IFRIC12</c:v>
                </c:pt>
                <c:pt idx="2">
                  <c:v>Gross profit</c:v>
                </c:pt>
                <c:pt idx="3">
                  <c:v>Net profit</c:v>
                </c:pt>
              </c:strCache>
            </c:strRef>
          </c:cat>
          <c:val>
            <c:numRef>
              <c:f>Sheet1!$C$2:$C$5</c:f>
              <c:numCache>
                <c:formatCode>#,##0</c:formatCode>
                <c:ptCount val="4"/>
                <c:pt idx="0">
                  <c:v>1815385</c:v>
                </c:pt>
                <c:pt idx="1">
                  <c:v>1125268</c:v>
                </c:pt>
                <c:pt idx="2">
                  <c:v>713975</c:v>
                </c:pt>
                <c:pt idx="3">
                  <c:v>594565</c:v>
                </c:pt>
              </c:numCache>
            </c:numRef>
          </c:val>
        </c:ser>
        <c:dLbls>
          <c:dLblPos val="outEnd"/>
          <c:showLegendKey val="0"/>
          <c:showVal val="1"/>
          <c:showCatName val="0"/>
          <c:showSerName val="0"/>
          <c:showPercent val="0"/>
          <c:showBubbleSize val="0"/>
        </c:dLbls>
        <c:gapWidth val="182"/>
        <c:axId val="1887813248"/>
        <c:axId val="1887820864"/>
      </c:barChart>
      <c:catAx>
        <c:axId val="1887813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20864"/>
        <c:crosses val="autoZero"/>
        <c:auto val="1"/>
        <c:lblAlgn val="ctr"/>
        <c:lblOffset val="100"/>
        <c:noMultiLvlLbl val="0"/>
      </c:catAx>
      <c:valAx>
        <c:axId val="1887820864"/>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1887813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Realizari 2015 vs BVC 2015</c:v>
                </c:pt>
              </c:strCache>
            </c:strRef>
          </c:tx>
          <c:spPr>
            <a:solidFill>
              <a:schemeClr val="accent1"/>
            </a:solidFill>
            <a:ln>
              <a:noFill/>
            </a:ln>
            <a:effectLst/>
          </c:spPr>
          <c:invertIfNegative val="0"/>
          <c:dLbls>
            <c:dLbl>
              <c:idx val="0"/>
              <c:layout>
                <c:manualLayout>
                  <c:x val="-3.8031138430747377E-5"/>
                  <c:y val="-1.4431764311399455E-2"/>
                </c:manualLayout>
              </c:layout>
              <c:tx>
                <c:rich>
                  <a:bodyPr/>
                  <a:lstStyle/>
                  <a:p>
                    <a:r>
                      <a:rPr lang="en-US"/>
                      <a:t>11%</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3931198530393475E-3"/>
                  <c:y val="-0.30583795368774169"/>
                </c:manualLayout>
              </c:layout>
              <c:tx>
                <c:rich>
                  <a:bodyPr/>
                  <a:lstStyle/>
                  <a:p>
                    <a:r>
                      <a:rPr lang="en-US"/>
                      <a:t>-5%</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Operating revenue before the construction activity acc. to IFRIC12</c:v>
                </c:pt>
                <c:pt idx="1">
                  <c:v>Operating expense before the construction activity acc. to IFRIC12</c:v>
                </c:pt>
                <c:pt idx="2">
                  <c:v>Gross profit</c:v>
                </c:pt>
                <c:pt idx="3">
                  <c:v>Net profit</c:v>
                </c:pt>
              </c:strCache>
            </c:strRef>
          </c:cat>
          <c:val>
            <c:numRef>
              <c:f>Sheet1!$B$2:$B$5</c:f>
              <c:numCache>
                <c:formatCode>0%</c:formatCode>
                <c:ptCount val="4"/>
                <c:pt idx="0">
                  <c:v>8.6834122678174142E-2</c:v>
                </c:pt>
                <c:pt idx="1">
                  <c:v>-7.6037419608143697E-2</c:v>
                </c:pt>
                <c:pt idx="2">
                  <c:v>0.52030875698695778</c:v>
                </c:pt>
                <c:pt idx="3">
                  <c:v>0.4958513218408156</c:v>
                </c:pt>
              </c:numCache>
            </c:numRef>
          </c:val>
        </c:ser>
        <c:dLbls>
          <c:dLblPos val="outEnd"/>
          <c:showLegendKey val="0"/>
          <c:showVal val="1"/>
          <c:showCatName val="0"/>
          <c:showSerName val="0"/>
          <c:showPercent val="0"/>
          <c:showBubbleSize val="0"/>
        </c:dLbls>
        <c:gapWidth val="219"/>
        <c:overlap val="-27"/>
        <c:axId val="1887823584"/>
        <c:axId val="1887808352"/>
      </c:barChart>
      <c:catAx>
        <c:axId val="188782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o-RO"/>
          </a:p>
        </c:txPr>
        <c:crossAx val="1887808352"/>
        <c:crosses val="autoZero"/>
        <c:auto val="1"/>
        <c:lblAlgn val="ctr"/>
        <c:lblOffset val="100"/>
        <c:noMultiLvlLbl val="0"/>
      </c:catAx>
      <c:valAx>
        <c:axId val="1887808352"/>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887823584"/>
        <c:crosses val="autoZero"/>
        <c:crossBetween val="between"/>
      </c:valAx>
      <c:spPr>
        <a:noFill/>
        <a:ln>
          <a:noFill/>
        </a:ln>
        <a:effectLst/>
      </c:spPr>
    </c:plotArea>
    <c:legend>
      <c:legendPos val="b"/>
      <c:layout>
        <c:manualLayout>
          <c:xMode val="edge"/>
          <c:yMode val="edge"/>
          <c:x val="0.51172938638024446"/>
          <c:y val="0.86681153938727085"/>
          <c:w val="0.28406456606433256"/>
          <c:h val="9.8253962796135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noFill/>
    <a:ln w="9525" cap="flat" cmpd="sng" algn="ctr">
      <a:noFill/>
      <a:round/>
    </a:ln>
    <a:effectLst/>
  </c:spPr>
  <c:txPr>
    <a:bodyPr/>
    <a:lstStyle/>
    <a:p>
      <a:pPr>
        <a:defRPr/>
      </a:pPr>
      <a:endParaRPr lang="ro-RO"/>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742937688344514"/>
          <c:y val="6.3197345614817019E-2"/>
          <c:w val="0.72652124040050547"/>
          <c:h val="0.7769048680235725"/>
        </c:manualLayout>
      </c:layout>
      <c:barChart>
        <c:barDir val="bar"/>
        <c:grouping val="clustered"/>
        <c:varyColors val="0"/>
        <c:ser>
          <c:idx val="0"/>
          <c:order val="0"/>
          <c:tx>
            <c:strRef>
              <c:f>Sheet1!$B$1</c:f>
              <c:strCache>
                <c:ptCount val="1"/>
                <c:pt idx="0">
                  <c:v>Plan de administrare 2016</c:v>
                </c:pt>
              </c:strCache>
            </c:strRef>
          </c:tx>
          <c:spPr>
            <a:solidFill>
              <a:srgbClr val="1F497D">
                <a:lumMod val="40000"/>
                <a:lumOff val="60000"/>
              </a:srgbClr>
            </a:solidFill>
            <a:ln>
              <a:solidFill>
                <a:srgbClr val="1F497D">
                  <a:lumMod val="40000"/>
                  <a:lumOff val="60000"/>
                </a:srgbClr>
              </a:solidFill>
            </a:ln>
            <a:effectLst/>
          </c:spPr>
          <c:invertIfNegative val="0"/>
          <c:dLbls>
            <c:dLbl>
              <c:idx val="0"/>
              <c:layout>
                <c:manualLayout>
                  <c:x val="-1.8106786713628433E-16"/>
                  <c:y val="3.0188679245283019E-2"/>
                </c:manualLayout>
              </c:layout>
              <c:tx>
                <c:rich>
                  <a:bodyPr/>
                  <a:lstStyle/>
                  <a:p>
                    <a:r>
                      <a:rPr lang="en-US"/>
                      <a:t>1.802.272</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4691358024692264E-3"/>
                  <c:y val="1.509433962264151E-2"/>
                </c:manualLayout>
              </c:layout>
              <c:tx>
                <c:rich>
                  <a:bodyPr/>
                  <a:lstStyle/>
                  <a:p>
                    <a:r>
                      <a:rPr lang="en-US"/>
                      <a:t>1.324.835</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4691358024690906E-3"/>
                  <c:y val="2.0125786163522012E-2"/>
                </c:manualLayout>
              </c:layout>
              <c:tx>
                <c:rich>
                  <a:bodyPr/>
                  <a:lstStyle/>
                  <a:p>
                    <a:r>
                      <a:rPr lang="en-US"/>
                      <a:t>20.612</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4691358024690906E-3"/>
                  <c:y val="2.0125984251968505E-2"/>
                </c:manualLayout>
              </c:layout>
              <c:tx>
                <c:rich>
                  <a:bodyPr/>
                  <a:lstStyle/>
                  <a:p>
                    <a:r>
                      <a:rPr lang="en-US"/>
                      <a:t>7.772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6.5456790123456787E-2"/>
                      <c:h val="7.0364977962660322E-2"/>
                    </c:manualLayout>
                  </c15:layout>
                </c:ext>
              </c:extLst>
            </c:dLbl>
            <c:dLbl>
              <c:idx val="4"/>
              <c:layout>
                <c:manualLayout>
                  <c:x val="-9.0533933568142166E-17"/>
                  <c:y val="1.509433962264151E-2"/>
                </c:manualLayout>
              </c:layout>
              <c:tx>
                <c:rich>
                  <a:bodyPr/>
                  <a:lstStyle/>
                  <a:p>
                    <a:r>
                      <a:rPr lang="en-US"/>
                      <a:t>490.277</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5.0314465408805029E-3"/>
                </c:manualLayout>
              </c:layout>
              <c:tx>
                <c:rich>
                  <a:bodyPr/>
                  <a:lstStyle/>
                  <a:p>
                    <a:r>
                      <a:rPr lang="en-US"/>
                      <a:t>412.406</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Operating revenue from the construction activity acc. to IFRIC12</c:v>
                </c:pt>
                <c:pt idx="1">
                  <c:v>Operating costs before the construction activity acc. to IFRIC12</c:v>
                </c:pt>
                <c:pt idx="2">
                  <c:v>Financial revenue </c:v>
                </c:pt>
                <c:pt idx="3">
                  <c:v>Financial expence</c:v>
                </c:pt>
                <c:pt idx="4">
                  <c:v>Gross profit</c:v>
                </c:pt>
                <c:pt idx="5">
                  <c:v>Net profit</c:v>
                </c:pt>
              </c:strCache>
            </c:strRef>
          </c:cat>
          <c:val>
            <c:numRef>
              <c:f>Sheet1!$B$2:$B$7</c:f>
              <c:numCache>
                <c:formatCode>#,##0</c:formatCode>
                <c:ptCount val="6"/>
                <c:pt idx="0">
                  <c:v>1802272</c:v>
                </c:pt>
                <c:pt idx="1">
                  <c:v>1324835</c:v>
                </c:pt>
                <c:pt idx="2">
                  <c:v>20612</c:v>
                </c:pt>
                <c:pt idx="3">
                  <c:v>7772</c:v>
                </c:pt>
                <c:pt idx="4">
                  <c:v>490277</c:v>
                </c:pt>
                <c:pt idx="5">
                  <c:v>412406</c:v>
                </c:pt>
              </c:numCache>
            </c:numRef>
          </c:val>
        </c:ser>
        <c:ser>
          <c:idx val="1"/>
          <c:order val="1"/>
          <c:tx>
            <c:strRef>
              <c:f>Sheet1!$C$1</c:f>
              <c:strCache>
                <c:ptCount val="1"/>
                <c:pt idx="0">
                  <c:v>Realizat 2016</c:v>
                </c:pt>
              </c:strCache>
            </c:strRef>
          </c:tx>
          <c:spPr>
            <a:solidFill>
              <a:schemeClr val="accent2"/>
            </a:solidFill>
            <a:ln>
              <a:noFill/>
            </a:ln>
            <a:effectLst/>
          </c:spPr>
          <c:invertIfNegative val="0"/>
          <c:dLbls>
            <c:dLbl>
              <c:idx val="0"/>
              <c:layout>
                <c:manualLayout>
                  <c:x val="-1.8106786713628433E-16"/>
                  <c:y val="-4.5283018867924622E-2"/>
                </c:manualLayout>
              </c:layout>
              <c:tx>
                <c:rich>
                  <a:bodyPr/>
                  <a:lstStyle/>
                  <a:p>
                    <a:r>
                      <a:rPr lang="en-US"/>
                      <a:t>1.815.385</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9.0533933568142166E-17"/>
                  <c:y val="0"/>
                </c:manualLayout>
              </c:layout>
              <c:tx>
                <c:rich>
                  <a:bodyPr/>
                  <a:lstStyle/>
                  <a:p>
                    <a:r>
                      <a:rPr lang="en-US"/>
                      <a:t>1.125.268</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32.231</a:t>
                    </a:r>
                  </a:p>
                </c:rich>
              </c:tx>
              <c:dLblPos val="out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9.683</a:t>
                    </a:r>
                  </a:p>
                </c:rich>
              </c:tx>
              <c:dLblPos val="out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713.975</a:t>
                    </a:r>
                  </a:p>
                </c:rich>
              </c:tx>
              <c:dLblPos val="out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594.565</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Operating revenue from the construction activity acc. to IFRIC12</c:v>
                </c:pt>
                <c:pt idx="1">
                  <c:v>Operating costs before the construction activity acc. to IFRIC12</c:v>
                </c:pt>
                <c:pt idx="2">
                  <c:v>Financial revenue </c:v>
                </c:pt>
                <c:pt idx="3">
                  <c:v>Financial expence</c:v>
                </c:pt>
                <c:pt idx="4">
                  <c:v>Gross profit</c:v>
                </c:pt>
                <c:pt idx="5">
                  <c:v>Net profit</c:v>
                </c:pt>
              </c:strCache>
            </c:strRef>
          </c:cat>
          <c:val>
            <c:numRef>
              <c:f>Sheet1!$C$2:$C$7</c:f>
              <c:numCache>
                <c:formatCode>#,##0</c:formatCode>
                <c:ptCount val="6"/>
                <c:pt idx="0">
                  <c:v>1815385</c:v>
                </c:pt>
                <c:pt idx="1">
                  <c:v>1125268</c:v>
                </c:pt>
                <c:pt idx="2">
                  <c:v>32231</c:v>
                </c:pt>
                <c:pt idx="3">
                  <c:v>9683</c:v>
                </c:pt>
                <c:pt idx="4">
                  <c:v>712665</c:v>
                </c:pt>
                <c:pt idx="5">
                  <c:v>594565</c:v>
                </c:pt>
              </c:numCache>
            </c:numRef>
          </c:val>
        </c:ser>
        <c:dLbls>
          <c:dLblPos val="outEnd"/>
          <c:showLegendKey val="0"/>
          <c:showVal val="1"/>
          <c:showCatName val="0"/>
          <c:showSerName val="0"/>
          <c:showPercent val="0"/>
          <c:showBubbleSize val="0"/>
        </c:dLbls>
        <c:gapWidth val="182"/>
        <c:axId val="1887812704"/>
        <c:axId val="1887810528"/>
      </c:barChart>
      <c:catAx>
        <c:axId val="1887812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10528"/>
        <c:crosses val="autoZero"/>
        <c:auto val="1"/>
        <c:lblAlgn val="ctr"/>
        <c:lblOffset val="100"/>
        <c:noMultiLvlLbl val="0"/>
      </c:catAx>
      <c:valAx>
        <c:axId val="1887810528"/>
        <c:scaling>
          <c:orientation val="minMax"/>
        </c:scaling>
        <c:delete val="1"/>
        <c:axPos val="b"/>
        <c:majorGridlines>
          <c:spPr>
            <a:ln w="9525" cap="flat" cmpd="sng" algn="ctr">
              <a:noFill/>
              <a:round/>
            </a:ln>
            <a:effectLst/>
          </c:spPr>
        </c:majorGridlines>
        <c:numFmt formatCode="#,##0" sourceLinked="1"/>
        <c:majorTickMark val="none"/>
        <c:minorTickMark val="none"/>
        <c:tickLblPos val="nextTo"/>
        <c:crossAx val="1887812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757436570428703E-2"/>
          <c:y val="7.5118810148731424E-2"/>
          <c:w val="0.82305003909909491"/>
          <c:h val="0.55331283589551306"/>
        </c:manualLayout>
      </c:layout>
      <c:barChart>
        <c:barDir val="col"/>
        <c:grouping val="clustered"/>
        <c:varyColors val="0"/>
        <c:ser>
          <c:idx val="0"/>
          <c:order val="0"/>
          <c:tx>
            <c:strRef>
              <c:f>Sheet1!$B$1</c:f>
              <c:strCache>
                <c:ptCount val="1"/>
                <c:pt idx="0">
                  <c:v>Realizat 2016 vs Plan de administrare 2016</c:v>
                </c:pt>
              </c:strCache>
            </c:strRef>
          </c:tx>
          <c:spPr>
            <a:solidFill>
              <a:schemeClr val="accent1"/>
            </a:solidFill>
            <a:ln>
              <a:noFill/>
            </a:ln>
            <a:effectLst/>
          </c:spPr>
          <c:invertIfNegative val="0"/>
          <c:dLbls>
            <c:dLbl>
              <c:idx val="0"/>
              <c:layout>
                <c:manualLayout>
                  <c:x val="2.31477286179041E-3"/>
                  <c:y val="2.7879515060617366E-2"/>
                </c:manualLayout>
              </c:layout>
              <c:tx>
                <c:rich>
                  <a:bodyPr/>
                  <a:lstStyle/>
                  <a:p>
                    <a:r>
                      <a:rPr lang="en-US"/>
                      <a:t>1%</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1472265422498704E-3"/>
                  <c:y val="-0.25958055243094613"/>
                </c:manualLayout>
              </c:layout>
              <c:tx>
                <c:rich>
                  <a:bodyPr/>
                  <a:lstStyle/>
                  <a:p>
                    <a:r>
                      <a:rPr lang="en-US"/>
                      <a:t>-15%</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dLblPos val="outEnd"/>
              <c:showLegendKey val="0"/>
              <c:showVal val="1"/>
              <c:showCatName val="0"/>
              <c:showSerName val="0"/>
              <c:showPercent val="0"/>
              <c:showBubbleSize val="0"/>
              <c:extLst>
                <c:ext xmlns:c15="http://schemas.microsoft.com/office/drawing/2012/chart" uri="{CE6537A1-D6FC-4f65-9D91-7224C49458BB}"/>
              </c:extLst>
            </c:dLbl>
            <c:dLbl>
              <c:idx val="3"/>
              <c:dLblPos val="outEnd"/>
              <c:showLegendKey val="0"/>
              <c:showVal val="1"/>
              <c:showCatName val="0"/>
              <c:showSerName val="0"/>
              <c:showPercent val="0"/>
              <c:showBubbleSize val="0"/>
              <c:extLst>
                <c:ext xmlns:c15="http://schemas.microsoft.com/office/drawing/2012/chart" uri="{CE6537A1-D6FC-4f65-9D91-7224C49458BB}"/>
              </c:extLst>
            </c:dLbl>
            <c:dLbl>
              <c:idx val="4"/>
              <c:dLblPos val="outEnd"/>
              <c:showLegendKey val="0"/>
              <c:showVal val="1"/>
              <c:showCatName val="0"/>
              <c:showSerName val="0"/>
              <c:showPercent val="0"/>
              <c:showBubbleSize val="0"/>
              <c:extLst>
                <c:ext xmlns:c15="http://schemas.microsoft.com/office/drawing/2012/chart" uri="{CE6537A1-D6FC-4f65-9D91-7224C49458BB}"/>
              </c:extLst>
            </c:dLbl>
            <c:dLbl>
              <c:idx val="5"/>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Operating revenue from the construction activity acc. to IFRIC12</c:v>
                </c:pt>
                <c:pt idx="1">
                  <c:v>Operating costs before the construction activity acc. to IFRIC12</c:v>
                </c:pt>
                <c:pt idx="2">
                  <c:v>Financial revenue </c:v>
                </c:pt>
                <c:pt idx="3">
                  <c:v>Financial expence</c:v>
                </c:pt>
                <c:pt idx="4">
                  <c:v>Gross profit</c:v>
                </c:pt>
                <c:pt idx="5">
                  <c:v>Net profit</c:v>
                </c:pt>
              </c:strCache>
            </c:strRef>
          </c:cat>
          <c:val>
            <c:numRef>
              <c:f>Sheet1!$B$2:$B$7</c:f>
              <c:numCache>
                <c:formatCode>0%</c:formatCode>
                <c:ptCount val="6"/>
                <c:pt idx="0">
                  <c:v>3.9126169634772001E-2</c:v>
                </c:pt>
                <c:pt idx="1">
                  <c:v>-0.10829575003679703</c:v>
                </c:pt>
                <c:pt idx="2">
                  <c:v>0.56370075684067533</c:v>
                </c:pt>
                <c:pt idx="3">
                  <c:v>0.2458826556870819</c:v>
                </c:pt>
                <c:pt idx="4">
                  <c:v>0.45626859917964735</c:v>
                </c:pt>
                <c:pt idx="5">
                  <c:v>0.44169822941470294</c:v>
                </c:pt>
              </c:numCache>
            </c:numRef>
          </c:val>
        </c:ser>
        <c:dLbls>
          <c:dLblPos val="outEnd"/>
          <c:showLegendKey val="0"/>
          <c:showVal val="1"/>
          <c:showCatName val="0"/>
          <c:showSerName val="0"/>
          <c:showPercent val="0"/>
          <c:showBubbleSize val="0"/>
        </c:dLbls>
        <c:gapWidth val="219"/>
        <c:overlap val="-27"/>
        <c:axId val="1887809440"/>
        <c:axId val="1887816512"/>
      </c:barChart>
      <c:catAx>
        <c:axId val="188780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b" anchorCtr="0"/>
          <a:lstStyle/>
          <a:p>
            <a:pPr>
              <a:defRPr sz="700" b="0" i="0" u="none" strike="noStrike" kern="1200" baseline="0">
                <a:solidFill>
                  <a:sysClr val="windowText" lastClr="000000"/>
                </a:solidFill>
                <a:latin typeface="+mn-lt"/>
                <a:ea typeface="+mn-ea"/>
                <a:cs typeface="+mn-cs"/>
              </a:defRPr>
            </a:pPr>
            <a:endParaRPr lang="ro-RO"/>
          </a:p>
        </c:txPr>
        <c:crossAx val="1887816512"/>
        <c:crosses val="autoZero"/>
        <c:auto val="1"/>
        <c:lblAlgn val="ctr"/>
        <c:lblOffset val="100"/>
        <c:noMultiLvlLbl val="0"/>
      </c:catAx>
      <c:valAx>
        <c:axId val="1887816512"/>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887809440"/>
        <c:crosses val="autoZero"/>
        <c:crossBetween val="between"/>
      </c:valAx>
      <c:spPr>
        <a:noFill/>
        <a:ln>
          <a:noFill/>
        </a:ln>
        <a:effectLst/>
      </c:spPr>
    </c:plotArea>
    <c:legend>
      <c:legendPos val="b"/>
      <c:layout>
        <c:manualLayout>
          <c:xMode val="edge"/>
          <c:yMode val="edge"/>
          <c:x val="0.28760716056003838"/>
          <c:y val="0.87369956187383191"/>
          <c:w val="0.41240161543274584"/>
          <c:h val="8.63840189927628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Realizat 2016 vs Realizat 2015</c:v>
                </c:pt>
              </c:strCache>
            </c:strRef>
          </c:tx>
          <c:spPr>
            <a:solidFill>
              <a:schemeClr val="accent1"/>
            </a:solidFill>
            <a:ln>
              <a:noFill/>
            </a:ln>
            <a:effectLst/>
          </c:spPr>
          <c:invertIfNegative val="0"/>
          <c:dLbls>
            <c:dLbl>
              <c:idx val="0"/>
              <c:layout>
                <c:manualLayout>
                  <c:x val="-5.0773018576350918E-18"/>
                  <c:y val="-1.595548615703206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2447094412301155E-3"/>
                  <c:y val="-4.5764868664529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3028028774568681E-3"/>
                  <c:y val="-2.66723716698432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1281466187613887E-2"/>
                  <c:y val="1.717243001646662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4.489418882460231E-3"/>
                  <c:y val="1.961891319689484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Operating revenue before the construction activity acc. to IFRIC12</c:v>
                </c:pt>
                <c:pt idx="1">
                  <c:v>Operating expense before the construction activity acc. to IFRIC12</c:v>
                </c:pt>
                <c:pt idx="2">
                  <c:v>Financial revenue</c:v>
                </c:pt>
                <c:pt idx="3">
                  <c:v>Financial costs</c:v>
                </c:pt>
                <c:pt idx="4">
                  <c:v>GROSS RESULT</c:v>
                </c:pt>
                <c:pt idx="5">
                  <c:v>Tax on profit</c:v>
                </c:pt>
                <c:pt idx="6">
                  <c:v>NET PROFIT</c:v>
                </c:pt>
              </c:strCache>
            </c:strRef>
          </c:cat>
          <c:val>
            <c:numRef>
              <c:f>Sheet1!$B$2:$B$8</c:f>
              <c:numCache>
                <c:formatCode>0%</c:formatCode>
                <c:ptCount val="7"/>
                <c:pt idx="0">
                  <c:v>0.09</c:v>
                </c:pt>
                <c:pt idx="1">
                  <c:v>0.04</c:v>
                </c:pt>
                <c:pt idx="2">
                  <c:v>-0.25</c:v>
                </c:pt>
                <c:pt idx="3">
                  <c:v>-0.56999999999999995</c:v>
                </c:pt>
                <c:pt idx="4">
                  <c:v>0.18</c:v>
                </c:pt>
                <c:pt idx="5">
                  <c:v>0.01</c:v>
                </c:pt>
                <c:pt idx="6">
                  <c:v>0.22</c:v>
                </c:pt>
              </c:numCache>
            </c:numRef>
          </c:val>
        </c:ser>
        <c:ser>
          <c:idx val="1"/>
          <c:order val="1"/>
          <c:tx>
            <c:strRef>
              <c:f>Sheet1!$C$1</c:f>
              <c:strCache>
                <c:ptCount val="1"/>
                <c:pt idx="0">
                  <c:v>Realizat 2016 vs BVC 2016</c:v>
                </c:pt>
              </c:strCache>
            </c:strRef>
          </c:tx>
          <c:spPr>
            <a:solidFill>
              <a:schemeClr val="accent5">
                <a:lumMod val="75000"/>
              </a:schemeClr>
            </a:solidFill>
            <a:ln>
              <a:noFill/>
            </a:ln>
            <a:effectLst/>
          </c:spPr>
          <c:invertIfNegative val="0"/>
          <c:dLbls>
            <c:dLbl>
              <c:idx val="0"/>
              <c:layout>
                <c:manualLayout>
                  <c:x val="2.2155754957350069E-3"/>
                  <c:y val="2.12000140772804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5183783731918854E-3"/>
                  <c:y val="0.11974023712808658"/>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Operating revenue before the construction activity acc. to IFRIC12</c:v>
                </c:pt>
                <c:pt idx="1">
                  <c:v>Operating expense before the construction activity acc. to IFRIC12</c:v>
                </c:pt>
                <c:pt idx="2">
                  <c:v>Financial revenue</c:v>
                </c:pt>
                <c:pt idx="3">
                  <c:v>Financial costs</c:v>
                </c:pt>
                <c:pt idx="4">
                  <c:v>GROSS RESULT</c:v>
                </c:pt>
                <c:pt idx="5">
                  <c:v>Tax on profit</c:v>
                </c:pt>
                <c:pt idx="6">
                  <c:v>NET PROFIT</c:v>
                </c:pt>
              </c:strCache>
            </c:strRef>
          </c:cat>
          <c:val>
            <c:numRef>
              <c:f>Sheet1!$C$2:$C$8</c:f>
              <c:numCache>
                <c:formatCode>0%</c:formatCode>
                <c:ptCount val="7"/>
                <c:pt idx="0">
                  <c:v>0.11</c:v>
                </c:pt>
                <c:pt idx="1">
                  <c:v>-0.05</c:v>
                </c:pt>
                <c:pt idx="2">
                  <c:v>0.12</c:v>
                </c:pt>
                <c:pt idx="3">
                  <c:v>1.54</c:v>
                </c:pt>
                <c:pt idx="4">
                  <c:v>0.52</c:v>
                </c:pt>
                <c:pt idx="5">
                  <c:v>0.66</c:v>
                </c:pt>
                <c:pt idx="6">
                  <c:v>0.5</c:v>
                </c:pt>
              </c:numCache>
            </c:numRef>
          </c:val>
        </c:ser>
        <c:ser>
          <c:idx val="2"/>
          <c:order val="2"/>
          <c:tx>
            <c:strRef>
              <c:f>Sheet1!$D$1</c:f>
              <c:strCache>
                <c:ptCount val="1"/>
                <c:pt idx="0">
                  <c:v>Realizat 2016 vs Plan de administrare 2016</c:v>
                </c:pt>
              </c:strCache>
            </c:strRef>
          </c:tx>
          <c:spPr>
            <a:solidFill>
              <a:schemeClr val="accent3"/>
            </a:solidFill>
            <a:ln>
              <a:noFill/>
            </a:ln>
            <a:effectLst/>
          </c:spPr>
          <c:invertIfNegative val="0"/>
          <c:dLbls>
            <c:dLbl>
              <c:idx val="0"/>
              <c:layout>
                <c:manualLayout>
                  <c:x val="6.7339538689269026E-3"/>
                  <c:y val="3.504835360646953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2447094412301155E-3"/>
                  <c:y val="9.803862731696293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67451596023024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2558869701726845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1.5712682379349047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Operating revenue before the construction activity acc. to IFRIC12</c:v>
                </c:pt>
                <c:pt idx="1">
                  <c:v>Operating expense before the construction activity acc. to IFRIC12</c:v>
                </c:pt>
                <c:pt idx="2">
                  <c:v>Financial revenue</c:v>
                </c:pt>
                <c:pt idx="3">
                  <c:v>Financial costs</c:v>
                </c:pt>
                <c:pt idx="4">
                  <c:v>GROSS RESULT</c:v>
                </c:pt>
                <c:pt idx="5">
                  <c:v>Tax on profit</c:v>
                </c:pt>
                <c:pt idx="6">
                  <c:v>NET PROFIT</c:v>
                </c:pt>
              </c:strCache>
            </c:strRef>
          </c:cat>
          <c:val>
            <c:numRef>
              <c:f>Sheet1!$D$2:$D$8</c:f>
              <c:numCache>
                <c:formatCode>0%</c:formatCode>
                <c:ptCount val="7"/>
                <c:pt idx="0">
                  <c:v>0.01</c:v>
                </c:pt>
                <c:pt idx="1">
                  <c:v>-0.15</c:v>
                </c:pt>
                <c:pt idx="2">
                  <c:v>0.56000000000000005</c:v>
                </c:pt>
                <c:pt idx="3">
                  <c:v>0.25</c:v>
                </c:pt>
                <c:pt idx="4">
                  <c:v>0.46</c:v>
                </c:pt>
                <c:pt idx="5">
                  <c:v>0.53</c:v>
                </c:pt>
                <c:pt idx="6">
                  <c:v>0.44</c:v>
                </c:pt>
              </c:numCache>
            </c:numRef>
          </c:val>
        </c:ser>
        <c:dLbls>
          <c:dLblPos val="outEnd"/>
          <c:showLegendKey val="0"/>
          <c:showVal val="1"/>
          <c:showCatName val="0"/>
          <c:showSerName val="0"/>
          <c:showPercent val="0"/>
          <c:showBubbleSize val="0"/>
        </c:dLbls>
        <c:gapWidth val="219"/>
        <c:overlap val="-27"/>
        <c:axId val="1887825760"/>
        <c:axId val="1887826304"/>
      </c:barChart>
      <c:catAx>
        <c:axId val="188782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mn-lt"/>
                <a:ea typeface="+mn-ea"/>
                <a:cs typeface="+mn-cs"/>
              </a:defRPr>
            </a:pPr>
            <a:endParaRPr lang="ro-RO"/>
          </a:p>
        </c:txPr>
        <c:crossAx val="1887826304"/>
        <c:crosses val="autoZero"/>
        <c:auto val="1"/>
        <c:lblAlgn val="ctr"/>
        <c:lblOffset val="100"/>
        <c:noMultiLvlLbl val="0"/>
      </c:catAx>
      <c:valAx>
        <c:axId val="1887826304"/>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188782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5">
                  <a:lumMod val="20000"/>
                  <a:lumOff val="80000"/>
                </a:schemeClr>
              </a:solidFill>
              <a:ln>
                <a:noFill/>
              </a:ln>
              <a:effectLst/>
            </c:spPr>
          </c:dPt>
          <c:dPt>
            <c:idx val="1"/>
            <c:invertIfNegative val="0"/>
            <c:bubble3D val="0"/>
            <c:spPr>
              <a:solidFill>
                <a:schemeClr val="accent3">
                  <a:lumMod val="40000"/>
                  <a:lumOff val="60000"/>
                </a:schemeClr>
              </a:solidFill>
              <a:ln>
                <a:noFill/>
              </a:ln>
              <a:effectLst/>
            </c:spPr>
          </c:dPt>
          <c:dPt>
            <c:idx val="2"/>
            <c:invertIfNegative val="0"/>
            <c:bubble3D val="0"/>
            <c:spPr>
              <a:solidFill>
                <a:schemeClr val="accent5">
                  <a:lumMod val="60000"/>
                  <a:lumOff val="4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Sheet1!$B$188:$B$190</c:f>
              <c:strCache>
                <c:ptCount val="3"/>
                <c:pt idx="0">
                  <c:v>Works approached</c:v>
                </c:pt>
                <c:pt idx="1">
                  <c:v>Works approved in the TEC</c:v>
                </c:pt>
                <c:pt idx="2">
                  <c:v>Works in different stages </c:v>
                </c:pt>
              </c:strCache>
            </c:strRef>
          </c:cat>
          <c:val>
            <c:numRef>
              <c:f>Sheet1!$C$188:$C$190</c:f>
              <c:numCache>
                <c:formatCode>General</c:formatCode>
                <c:ptCount val="3"/>
                <c:pt idx="0">
                  <c:v>295</c:v>
                </c:pt>
                <c:pt idx="1">
                  <c:v>77</c:v>
                </c:pt>
                <c:pt idx="2">
                  <c:v>218</c:v>
                </c:pt>
              </c:numCache>
            </c:numRef>
          </c:val>
        </c:ser>
        <c:dLbls>
          <c:showLegendKey val="0"/>
          <c:showVal val="1"/>
          <c:showCatName val="0"/>
          <c:showSerName val="0"/>
          <c:showPercent val="0"/>
          <c:showBubbleSize val="0"/>
        </c:dLbls>
        <c:gapWidth val="150"/>
        <c:overlap val="-25"/>
        <c:axId val="1887826848"/>
        <c:axId val="1887827392"/>
      </c:barChart>
      <c:catAx>
        <c:axId val="18878268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27392"/>
        <c:crosses val="autoZero"/>
        <c:auto val="1"/>
        <c:lblAlgn val="ctr"/>
        <c:lblOffset val="100"/>
        <c:noMultiLvlLbl val="0"/>
      </c:catAx>
      <c:valAx>
        <c:axId val="1887827392"/>
        <c:scaling>
          <c:orientation val="minMax"/>
        </c:scaling>
        <c:delete val="1"/>
        <c:axPos val="l"/>
        <c:numFmt formatCode="General" sourceLinked="1"/>
        <c:majorTickMark val="none"/>
        <c:minorTickMark val="none"/>
        <c:tickLblPos val="nextTo"/>
        <c:crossAx val="18878268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0.13779114689315519"/>
          <c:w val="0.93888888888888888"/>
          <c:h val="0.58963402046654279"/>
        </c:manualLayout>
      </c:layout>
      <c:barChart>
        <c:barDir val="col"/>
        <c:grouping val="clustered"/>
        <c:varyColors val="0"/>
        <c:ser>
          <c:idx val="0"/>
          <c:order val="0"/>
          <c:tx>
            <c:strRef>
              <c:f>Sheet1!$N$188</c:f>
              <c:strCache>
                <c:ptCount val="1"/>
                <c:pt idx="0">
                  <c:v>2016</c:v>
                </c:pt>
              </c:strCache>
            </c:strRef>
          </c:tx>
          <c:spPr>
            <a:solidFill>
              <a:srgbClr val="0072C8"/>
            </a:solidFill>
            <a:ln>
              <a:noFill/>
            </a:ln>
            <a:effectLst/>
          </c:spPr>
          <c:invertIfNegative val="0"/>
          <c:dLbls>
            <c:dLbl>
              <c:idx val="1"/>
              <c:tx>
                <c:rich>
                  <a:bodyPr/>
                  <a:lstStyle/>
                  <a:p>
                    <a:r>
                      <a:rPr lang="en-US"/>
                      <a:t>218</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295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Sheet1!$M$189:$M$191</c:f>
              <c:strCache>
                <c:ptCount val="3"/>
                <c:pt idx="0">
                  <c:v>Nr. proiecte avizate CTE</c:v>
                </c:pt>
                <c:pt idx="1">
                  <c:v>Nr. proiecte în lucru</c:v>
                </c:pt>
                <c:pt idx="2">
                  <c:v>Nr. total proiecte</c:v>
                </c:pt>
              </c:strCache>
            </c:strRef>
          </c:cat>
          <c:val>
            <c:numRef>
              <c:f>Sheet1!$N$189:$N$191</c:f>
              <c:numCache>
                <c:formatCode>General</c:formatCode>
                <c:ptCount val="3"/>
                <c:pt idx="0">
                  <c:v>77</c:v>
                </c:pt>
                <c:pt idx="1">
                  <c:v>216</c:v>
                </c:pt>
                <c:pt idx="2">
                  <c:v>293</c:v>
                </c:pt>
              </c:numCache>
            </c:numRef>
          </c:val>
        </c:ser>
        <c:ser>
          <c:idx val="1"/>
          <c:order val="1"/>
          <c:tx>
            <c:strRef>
              <c:f>Sheet1!$O$188</c:f>
              <c:strCache>
                <c:ptCount val="1"/>
                <c:pt idx="0">
                  <c:v>2015</c:v>
                </c:pt>
              </c:strCache>
            </c:strRef>
          </c:tx>
          <c:spPr>
            <a:solidFill>
              <a:srgbClr val="3366CC">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Sheet1!$M$189:$M$191</c:f>
              <c:strCache>
                <c:ptCount val="3"/>
                <c:pt idx="0">
                  <c:v>Nr. proiecte avizate CTE</c:v>
                </c:pt>
                <c:pt idx="1">
                  <c:v>Nr. proiecte în lucru</c:v>
                </c:pt>
                <c:pt idx="2">
                  <c:v>Nr. total proiecte</c:v>
                </c:pt>
              </c:strCache>
            </c:strRef>
          </c:cat>
          <c:val>
            <c:numRef>
              <c:f>Sheet1!$O$189:$O$191</c:f>
              <c:numCache>
                <c:formatCode>General</c:formatCode>
                <c:ptCount val="3"/>
                <c:pt idx="0">
                  <c:v>161</c:v>
                </c:pt>
                <c:pt idx="1">
                  <c:v>218</c:v>
                </c:pt>
                <c:pt idx="2">
                  <c:v>379</c:v>
                </c:pt>
              </c:numCache>
            </c:numRef>
          </c:val>
        </c:ser>
        <c:ser>
          <c:idx val="2"/>
          <c:order val="2"/>
          <c:tx>
            <c:strRef>
              <c:f>Sheet1!$P$188</c:f>
              <c:strCache>
                <c:ptCount val="1"/>
                <c:pt idx="0">
                  <c:v>2014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Sheet1!$M$189:$M$191</c:f>
              <c:strCache>
                <c:ptCount val="3"/>
                <c:pt idx="0">
                  <c:v>Nr. proiecte avizate CTE</c:v>
                </c:pt>
                <c:pt idx="1">
                  <c:v>Nr. proiecte în lucru</c:v>
                </c:pt>
                <c:pt idx="2">
                  <c:v>Nr. total proiecte</c:v>
                </c:pt>
              </c:strCache>
            </c:strRef>
          </c:cat>
          <c:val>
            <c:numRef>
              <c:f>Sheet1!$P$189:$P$191</c:f>
              <c:numCache>
                <c:formatCode>General</c:formatCode>
                <c:ptCount val="3"/>
                <c:pt idx="0">
                  <c:v>165</c:v>
                </c:pt>
                <c:pt idx="1">
                  <c:v>132</c:v>
                </c:pt>
                <c:pt idx="2">
                  <c:v>297</c:v>
                </c:pt>
              </c:numCache>
            </c:numRef>
          </c:val>
        </c:ser>
        <c:ser>
          <c:idx val="3"/>
          <c:order val="3"/>
          <c:tx>
            <c:strRef>
              <c:f>Sheet1!$Q$188</c:f>
              <c:strCache>
                <c:ptCount val="1"/>
                <c:pt idx="0">
                  <c:v>2013</c:v>
                </c:pt>
              </c:strCache>
            </c:strRef>
          </c:tx>
          <c:spPr>
            <a:solidFill>
              <a:sysClr val="window" lastClr="FFFFFF">
                <a:lumMod val="8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Sheet1!$M$189:$M$191</c:f>
              <c:strCache>
                <c:ptCount val="3"/>
                <c:pt idx="0">
                  <c:v>Nr. proiecte avizate CTE</c:v>
                </c:pt>
                <c:pt idx="1">
                  <c:v>Nr. proiecte în lucru</c:v>
                </c:pt>
                <c:pt idx="2">
                  <c:v>Nr. total proiecte</c:v>
                </c:pt>
              </c:strCache>
            </c:strRef>
          </c:cat>
          <c:val>
            <c:numRef>
              <c:f>Sheet1!$Q$189:$Q$191</c:f>
              <c:numCache>
                <c:formatCode>General</c:formatCode>
                <c:ptCount val="3"/>
                <c:pt idx="0">
                  <c:v>80</c:v>
                </c:pt>
                <c:pt idx="1">
                  <c:v>113</c:v>
                </c:pt>
                <c:pt idx="2">
                  <c:v>193</c:v>
                </c:pt>
              </c:numCache>
            </c:numRef>
          </c:val>
        </c:ser>
        <c:dLbls>
          <c:showLegendKey val="0"/>
          <c:showVal val="1"/>
          <c:showCatName val="0"/>
          <c:showSerName val="0"/>
          <c:showPercent val="0"/>
          <c:showBubbleSize val="0"/>
        </c:dLbls>
        <c:gapWidth val="150"/>
        <c:overlap val="-25"/>
        <c:axId val="1887827936"/>
        <c:axId val="1887828480"/>
      </c:barChart>
      <c:catAx>
        <c:axId val="188782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28480"/>
        <c:crosses val="autoZero"/>
        <c:auto val="1"/>
        <c:lblAlgn val="ctr"/>
        <c:lblOffset val="100"/>
        <c:noMultiLvlLbl val="0"/>
      </c:catAx>
      <c:valAx>
        <c:axId val="1887828480"/>
        <c:scaling>
          <c:orientation val="minMax"/>
        </c:scaling>
        <c:delete val="1"/>
        <c:axPos val="l"/>
        <c:numFmt formatCode="General" sourceLinked="1"/>
        <c:majorTickMark val="none"/>
        <c:minorTickMark val="none"/>
        <c:tickLblPos val="nextTo"/>
        <c:crossAx val="1887827936"/>
        <c:crosses val="autoZero"/>
        <c:crossBetween val="between"/>
      </c:valAx>
      <c:spPr>
        <a:noFill/>
        <a:ln>
          <a:noFill/>
        </a:ln>
        <a:effectLst/>
      </c:spPr>
    </c:plotArea>
    <c:legend>
      <c:legendPos val="t"/>
      <c:layout>
        <c:manualLayout>
          <c:xMode val="edge"/>
          <c:yMode val="edge"/>
          <c:x val="0.31248972003499564"/>
          <c:y val="0.91245370370370371"/>
          <c:w val="0.37502034120734906"/>
          <c:h val="8.75460275761434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in Microsoft Word]Sheet1'!$F$8</c:f>
              <c:strCache>
                <c:ptCount val="1"/>
                <c:pt idx="0">
                  <c:v>Planned technological consumption (thausand cm)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Word]Sheet1'!$G$7:$H$7</c:f>
              <c:numCache>
                <c:formatCode>General</c:formatCode>
                <c:ptCount val="2"/>
                <c:pt idx="0">
                  <c:v>2015</c:v>
                </c:pt>
                <c:pt idx="1">
                  <c:v>2016</c:v>
                </c:pt>
              </c:numCache>
            </c:numRef>
          </c:cat>
          <c:val>
            <c:numRef>
              <c:f>'[Chart in Microsoft Word]Sheet1'!$G$8:$H$8</c:f>
              <c:numCache>
                <c:formatCode>#,##0</c:formatCode>
                <c:ptCount val="2"/>
                <c:pt idx="0">
                  <c:v>173036</c:v>
                </c:pt>
                <c:pt idx="1">
                  <c:v>119823</c:v>
                </c:pt>
              </c:numCache>
            </c:numRef>
          </c:val>
        </c:ser>
        <c:ser>
          <c:idx val="1"/>
          <c:order val="1"/>
          <c:tx>
            <c:strRef>
              <c:f>'[Chart in Microsoft Word]Sheet1'!$F$9</c:f>
              <c:strCache>
                <c:ptCount val="1"/>
                <c:pt idx="0">
                  <c:v>Achieved technological consumption (thousand cm)</c:v>
                </c:pt>
              </c:strCache>
            </c:strRef>
          </c:tx>
          <c:spPr>
            <a:solidFill>
              <a:schemeClr val="accent6">
                <a:lumMod val="20000"/>
                <a:lumOff val="80000"/>
              </a:schemeClr>
            </a:solidFill>
            <a:ln>
              <a:solidFill>
                <a:schemeClr val="accent6">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Word]Sheet1'!$G$7:$H$7</c:f>
              <c:numCache>
                <c:formatCode>General</c:formatCode>
                <c:ptCount val="2"/>
                <c:pt idx="0">
                  <c:v>2015</c:v>
                </c:pt>
                <c:pt idx="1">
                  <c:v>2016</c:v>
                </c:pt>
              </c:numCache>
            </c:numRef>
          </c:cat>
          <c:val>
            <c:numRef>
              <c:f>'[Chart in Microsoft Word]Sheet1'!$G$9:$H$9</c:f>
              <c:numCache>
                <c:formatCode>#,##0</c:formatCode>
                <c:ptCount val="2"/>
                <c:pt idx="0">
                  <c:v>88103</c:v>
                </c:pt>
                <c:pt idx="1">
                  <c:v>108874</c:v>
                </c:pt>
              </c:numCache>
            </c:numRef>
          </c:val>
        </c:ser>
        <c:dLbls>
          <c:dLblPos val="outEnd"/>
          <c:showLegendKey val="0"/>
          <c:showVal val="1"/>
          <c:showCatName val="0"/>
          <c:showSerName val="0"/>
          <c:showPercent val="0"/>
          <c:showBubbleSize val="0"/>
        </c:dLbls>
        <c:gapWidth val="219"/>
        <c:overlap val="-27"/>
        <c:axId val="1756656176"/>
        <c:axId val="1756670320"/>
      </c:barChart>
      <c:catAx>
        <c:axId val="175665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70320"/>
        <c:crosses val="autoZero"/>
        <c:auto val="1"/>
        <c:lblAlgn val="ctr"/>
        <c:lblOffset val="100"/>
        <c:noMultiLvlLbl val="0"/>
      </c:catAx>
      <c:valAx>
        <c:axId val="1756670320"/>
        <c:scaling>
          <c:orientation val="minMax"/>
        </c:scaling>
        <c:delete val="1"/>
        <c:axPos val="l"/>
        <c:numFmt formatCode="#,##0" sourceLinked="1"/>
        <c:majorTickMark val="none"/>
        <c:minorTickMark val="none"/>
        <c:tickLblPos val="nextTo"/>
        <c:crossAx val="1756656176"/>
        <c:crosses val="autoZero"/>
        <c:crossBetween val="between"/>
      </c:valAx>
      <c:spPr>
        <a:no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333333333333E-2"/>
          <c:y val="3.3209006768890755E-3"/>
          <c:w val="0.93888888888888888"/>
          <c:h val="0.57639365945398557"/>
        </c:manualLayout>
      </c:layout>
      <c:barChart>
        <c:barDir val="col"/>
        <c:grouping val="clustered"/>
        <c:varyColors val="0"/>
        <c:ser>
          <c:idx val="0"/>
          <c:order val="0"/>
          <c:tx>
            <c:strRef>
              <c:f>Sheet1!$C$212</c:f>
              <c:strCache>
                <c:ptCount val="1"/>
                <c:pt idx="0">
                  <c:v>Budgeted 2016</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Sheet1!$B$213:$B$214</c:f>
              <c:strCache>
                <c:ptCount val="2"/>
                <c:pt idx="0">
                  <c:v>Design Plan 2016</c:v>
                </c:pt>
                <c:pt idx="1">
                  <c:v>Research Plan 2016</c:v>
                </c:pt>
              </c:strCache>
            </c:strRef>
          </c:cat>
          <c:val>
            <c:numRef>
              <c:f>Sheet1!$C$213:$C$214</c:f>
              <c:numCache>
                <c:formatCode>#,##0</c:formatCode>
                <c:ptCount val="2"/>
                <c:pt idx="0">
                  <c:v>33201</c:v>
                </c:pt>
                <c:pt idx="1">
                  <c:v>1382</c:v>
                </c:pt>
              </c:numCache>
            </c:numRef>
          </c:val>
        </c:ser>
        <c:ser>
          <c:idx val="1"/>
          <c:order val="1"/>
          <c:tx>
            <c:strRef>
              <c:f>Sheet1!$D$212</c:f>
              <c:strCache>
                <c:ptCount val="1"/>
                <c:pt idx="0">
                  <c:v>Achieved - 12 months 2016</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Sheet1!$B$213:$B$214</c:f>
              <c:strCache>
                <c:ptCount val="2"/>
                <c:pt idx="0">
                  <c:v>Design Plan 2016</c:v>
                </c:pt>
                <c:pt idx="1">
                  <c:v>Research Plan 2016</c:v>
                </c:pt>
              </c:strCache>
            </c:strRef>
          </c:cat>
          <c:val>
            <c:numRef>
              <c:f>Sheet1!$D$213:$D$214</c:f>
              <c:numCache>
                <c:formatCode>#,##0</c:formatCode>
                <c:ptCount val="2"/>
                <c:pt idx="0">
                  <c:v>8414</c:v>
                </c:pt>
                <c:pt idx="1">
                  <c:v>255</c:v>
                </c:pt>
              </c:numCache>
            </c:numRef>
          </c:val>
        </c:ser>
        <c:dLbls>
          <c:showLegendKey val="0"/>
          <c:showVal val="1"/>
          <c:showCatName val="0"/>
          <c:showSerName val="0"/>
          <c:showPercent val="0"/>
          <c:showBubbleSize val="0"/>
        </c:dLbls>
        <c:gapWidth val="150"/>
        <c:overlap val="-25"/>
        <c:axId val="1887829568"/>
        <c:axId val="1887830656"/>
      </c:barChart>
      <c:catAx>
        <c:axId val="18878295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30656"/>
        <c:crosses val="autoZero"/>
        <c:auto val="1"/>
        <c:lblAlgn val="ctr"/>
        <c:lblOffset val="100"/>
        <c:noMultiLvlLbl val="0"/>
      </c:catAx>
      <c:valAx>
        <c:axId val="1887830656"/>
        <c:scaling>
          <c:orientation val="minMax"/>
        </c:scaling>
        <c:delete val="1"/>
        <c:axPos val="l"/>
        <c:numFmt formatCode="#,##0" sourceLinked="1"/>
        <c:majorTickMark val="none"/>
        <c:minorTickMark val="none"/>
        <c:tickLblPos val="nextTo"/>
        <c:crossAx val="1887829568"/>
        <c:crosses val="autoZero"/>
        <c:crossBetween val="between"/>
      </c:valAx>
      <c:spPr>
        <a:noFill/>
        <a:ln>
          <a:noFill/>
        </a:ln>
        <a:effectLst/>
      </c:spPr>
    </c:plotArea>
    <c:legend>
      <c:legendPos val="t"/>
      <c:layout>
        <c:manualLayout>
          <c:xMode val="edge"/>
          <c:yMode val="edge"/>
          <c:x val="0.15870231846019248"/>
          <c:y val="0.87451305428926662"/>
          <c:w val="0.66592869641294838"/>
          <c:h val="0.1254869457107335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Word]Sheet1'!$B$221:$B$222</c:f>
              <c:strCache>
                <c:ptCount val="2"/>
                <c:pt idx="0">
                  <c:v>Degree of achievement of Design Programme 2016</c:v>
                </c:pt>
                <c:pt idx="1">
                  <c:v>Degree of achievement of Research Programme 2016</c:v>
                </c:pt>
              </c:strCache>
            </c:strRef>
          </c:cat>
          <c:val>
            <c:numRef>
              <c:f>'[Chart in Microsoft Word]Sheet1'!$C$221:$C$222</c:f>
              <c:numCache>
                <c:formatCode>0.00%</c:formatCode>
                <c:ptCount val="2"/>
                <c:pt idx="0">
                  <c:v>0.25342610162344509</c:v>
                </c:pt>
                <c:pt idx="1">
                  <c:v>0.18451519536903038</c:v>
                </c:pt>
              </c:numCache>
            </c:numRef>
          </c:val>
        </c:ser>
        <c:dLbls>
          <c:showLegendKey val="0"/>
          <c:showVal val="1"/>
          <c:showCatName val="0"/>
          <c:showSerName val="0"/>
          <c:showPercent val="0"/>
          <c:showBubbleSize val="0"/>
        </c:dLbls>
        <c:gapWidth val="150"/>
        <c:overlap val="-25"/>
        <c:axId val="1887831744"/>
        <c:axId val="1887815424"/>
      </c:barChart>
      <c:catAx>
        <c:axId val="18878317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15424"/>
        <c:crosses val="autoZero"/>
        <c:auto val="1"/>
        <c:lblAlgn val="ctr"/>
        <c:lblOffset val="100"/>
        <c:noMultiLvlLbl val="0"/>
      </c:catAx>
      <c:valAx>
        <c:axId val="1887815424"/>
        <c:scaling>
          <c:orientation val="minMax"/>
        </c:scaling>
        <c:delete val="1"/>
        <c:axPos val="l"/>
        <c:numFmt formatCode="0.00%" sourceLinked="1"/>
        <c:majorTickMark val="none"/>
        <c:minorTickMark val="none"/>
        <c:tickLblPos val="nextTo"/>
        <c:crossAx val="18878317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05555555555555E-2"/>
          <c:y val="7.5398267524251772E-2"/>
          <c:w val="0.89166666666666661"/>
          <c:h val="0.74397546460538599"/>
        </c:manualLayout>
      </c:layout>
      <c:pie3DChart>
        <c:varyColors val="1"/>
        <c:ser>
          <c:idx val="0"/>
          <c:order val="0"/>
          <c:spPr>
            <a:ln>
              <a:noFill/>
            </a:ln>
          </c:spPr>
          <c:explosion val="18"/>
          <c:dPt>
            <c:idx val="0"/>
            <c:bubble3D val="0"/>
            <c:spPr>
              <a:solidFill>
                <a:srgbClr val="B0A7C1"/>
              </a:solidFill>
              <a:ln w="25400">
                <a:noFill/>
              </a:ln>
              <a:effectLst/>
              <a:sp3d/>
            </c:spPr>
          </c:dPt>
          <c:dPt>
            <c:idx val="1"/>
            <c:bubble3D val="0"/>
            <c:spPr>
              <a:solidFill>
                <a:srgbClr val="DCDBC6"/>
              </a:solidFill>
              <a:ln w="25400">
                <a:noFill/>
              </a:ln>
              <a:effectLst/>
              <a:sp3d/>
            </c:spPr>
          </c:dPt>
          <c:dPt>
            <c:idx val="2"/>
            <c:bubble3D val="0"/>
            <c:spPr>
              <a:solidFill>
                <a:srgbClr val="A03924"/>
              </a:solidFill>
              <a:ln w="25400">
                <a:noFill/>
              </a:ln>
              <a:effectLst/>
              <a:sp3d/>
            </c:spPr>
          </c:dPt>
          <c:dPt>
            <c:idx val="3"/>
            <c:bubble3D val="0"/>
            <c:spPr>
              <a:solidFill>
                <a:schemeClr val="accent1">
                  <a:lumMod val="20000"/>
                  <a:lumOff val="80000"/>
                </a:schemeClr>
              </a:solidFill>
              <a:ln w="25400">
                <a:noFill/>
              </a:ln>
              <a:effectLst/>
              <a:sp3d/>
            </c:spPr>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2 in Microsoft Word]Sheet1'!$B$479:$B$482</c:f>
              <c:strCache>
                <c:ptCount val="4"/>
                <c:pt idx="0">
                  <c:v>Started</c:v>
                </c:pt>
                <c:pt idx="1">
                  <c:v>Achieved</c:v>
                </c:pt>
                <c:pt idx="2">
                  <c:v>Not started</c:v>
                </c:pt>
                <c:pt idx="3">
                  <c:v>Not requested</c:v>
                </c:pt>
              </c:strCache>
            </c:strRef>
          </c:cat>
          <c:val>
            <c:numRef>
              <c:f>'[Chart 2 in Microsoft Word]Sheet1'!$D$479:$D$482</c:f>
              <c:numCache>
                <c:formatCode>0.00%</c:formatCode>
                <c:ptCount val="4"/>
                <c:pt idx="0">
                  <c:v>0.1628</c:v>
                </c:pt>
                <c:pt idx="1">
                  <c:v>0.35099999999999998</c:v>
                </c:pt>
                <c:pt idx="2">
                  <c:v>6.3399999999999998E-2</c:v>
                </c:pt>
                <c:pt idx="3">
                  <c:v>0.42280000000000001</c:v>
                </c:pt>
              </c:numCache>
            </c:numRef>
          </c:val>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0331699608977447"/>
          <c:y val="0.87703597216323059"/>
          <c:w val="0.81847661899405433"/>
          <c:h val="9.336164929591271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1019285632774166E-2"/>
          <c:w val="0.9715161376799395"/>
          <c:h val="0.81222047244094497"/>
        </c:manualLayout>
      </c:layout>
      <c:pie3DChart>
        <c:varyColors val="1"/>
        <c:ser>
          <c:idx val="0"/>
          <c:order val="0"/>
          <c:spPr>
            <a:ln>
              <a:noFill/>
            </a:ln>
          </c:spPr>
          <c:dPt>
            <c:idx val="0"/>
            <c:bubble3D val="0"/>
            <c:explosion val="10"/>
            <c:spPr>
              <a:solidFill>
                <a:srgbClr val="B0A7C1"/>
              </a:solidFill>
              <a:ln w="25400">
                <a:noFill/>
              </a:ln>
              <a:effectLst/>
              <a:sp3d/>
            </c:spPr>
          </c:dPt>
          <c:dPt>
            <c:idx val="1"/>
            <c:bubble3D val="0"/>
            <c:explosion val="21"/>
            <c:spPr>
              <a:solidFill>
                <a:srgbClr val="DCDBC6"/>
              </a:solidFill>
              <a:ln w="25400">
                <a:noFill/>
              </a:ln>
              <a:effectLst/>
              <a:sp3d/>
            </c:spPr>
          </c:dPt>
          <c:dPt>
            <c:idx val="2"/>
            <c:bubble3D val="0"/>
            <c:explosion val="7"/>
            <c:spPr>
              <a:solidFill>
                <a:srgbClr val="A03924"/>
              </a:solidFill>
              <a:ln w="25400">
                <a:noFill/>
              </a:ln>
              <a:effectLst/>
              <a:sp3d/>
            </c:spPr>
          </c:dPt>
          <c:dPt>
            <c:idx val="3"/>
            <c:bubble3D val="0"/>
            <c:explosion val="9"/>
            <c:spPr>
              <a:solidFill>
                <a:schemeClr val="accent1">
                  <a:lumMod val="20000"/>
                  <a:lumOff val="80000"/>
                </a:schemeClr>
              </a:solidFill>
              <a:ln w="25400">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3 in Microsoft Word]Sheet1'!$B$491:$B$494</c:f>
              <c:strCache>
                <c:ptCount val="4"/>
                <c:pt idx="0">
                  <c:v>Started</c:v>
                </c:pt>
                <c:pt idx="1">
                  <c:v>Achieved</c:v>
                </c:pt>
                <c:pt idx="2">
                  <c:v>Not started</c:v>
                </c:pt>
                <c:pt idx="3">
                  <c:v>Not reqested</c:v>
                </c:pt>
              </c:strCache>
            </c:strRef>
          </c:cat>
          <c:val>
            <c:numRef>
              <c:f>'[Chart 3 in Microsoft Word]Sheet1'!$D$491:$D$494</c:f>
              <c:numCache>
                <c:formatCode>0.00%</c:formatCode>
                <c:ptCount val="4"/>
                <c:pt idx="0">
                  <c:v>2.18E-2</c:v>
                </c:pt>
                <c:pt idx="1">
                  <c:v>0.79849999999999999</c:v>
                </c:pt>
                <c:pt idx="2">
                  <c:v>7.3000000000000001E-3</c:v>
                </c:pt>
                <c:pt idx="3">
                  <c:v>0.1724</c:v>
                </c:pt>
              </c:numCache>
            </c:numRef>
          </c:val>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2661616822837762"/>
          <c:y val="0.92129629629629628"/>
          <c:w val="0.80960293265004579"/>
          <c:h val="7.870364030583133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3.4188034188034191E-2"/>
          <c:y val="0.14884656015508435"/>
          <c:w val="0.75040229438775774"/>
          <c:h val="0.7752268658725352"/>
        </c:manualLayout>
      </c:layout>
      <c:pie3DChart>
        <c:varyColors val="1"/>
        <c:ser>
          <c:idx val="0"/>
          <c:order val="0"/>
          <c:dPt>
            <c:idx val="0"/>
            <c:bubble3D val="0"/>
            <c:spPr>
              <a:solidFill>
                <a:sysClr val="window" lastClr="FFFFFF">
                  <a:lumMod val="85000"/>
                </a:sysClr>
              </a:solidFill>
            </c:spPr>
          </c:dPt>
          <c:dPt>
            <c:idx val="1"/>
            <c:bubble3D val="0"/>
            <c:spPr>
              <a:solidFill>
                <a:srgbClr val="3366CC">
                  <a:lumMod val="60000"/>
                  <a:lumOff val="40000"/>
                </a:srgbClr>
              </a:solidFill>
            </c:spPr>
          </c:dPt>
          <c:dPt>
            <c:idx val="2"/>
            <c:bubble3D val="0"/>
            <c:spPr>
              <a:solidFill>
                <a:srgbClr val="A5C249">
                  <a:lumMod val="60000"/>
                  <a:lumOff val="40000"/>
                </a:srgbClr>
              </a:solidFill>
            </c:spPr>
          </c:dPt>
          <c:dLbls>
            <c:spPr>
              <a:noFill/>
              <a:ln>
                <a:noFill/>
              </a:ln>
              <a:effectLst/>
            </c:spPr>
            <c:txPr>
              <a:bodyPr/>
              <a:lstStyle/>
              <a:p>
                <a:pPr>
                  <a:defRPr b="1"/>
                </a:pPr>
                <a:endParaRPr lang="ro-RO"/>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'cap. 4.3.'!$C$9:$C$11</c:f>
              <c:strCache>
                <c:ptCount val="3"/>
                <c:pt idx="0">
                  <c:v>Implemented</c:v>
                </c:pt>
                <c:pt idx="1">
                  <c:v>Partly implemented</c:v>
                </c:pt>
                <c:pt idx="2">
                  <c:v>Not implemented</c:v>
                </c:pt>
              </c:strCache>
            </c:strRef>
          </c:cat>
          <c:val>
            <c:numRef>
              <c:f>'cap. 4.3.'!$E$9:$E$11</c:f>
              <c:numCache>
                <c:formatCode>0.00%</c:formatCode>
                <c:ptCount val="3"/>
                <c:pt idx="0">
                  <c:v>0.90184049079754602</c:v>
                </c:pt>
                <c:pt idx="1">
                  <c:v>4.9079754601226995E-2</c:v>
                </c:pt>
                <c:pt idx="2">
                  <c:v>4.9079754601226995E-2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spPr>
    <a:ln w="28575">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6.6300524934383195E-2"/>
          <c:w val="0.93888888888888888"/>
          <c:h val="0.62894685039370068"/>
        </c:manualLayout>
      </c:layout>
      <c:lineChart>
        <c:grouping val="standard"/>
        <c:varyColors val="0"/>
        <c:ser>
          <c:idx val="0"/>
          <c:order val="0"/>
          <c:tx>
            <c:strRef>
              <c:f>Sheet1!$B$384</c:f>
              <c:strCache>
                <c:ptCount val="1"/>
                <c:pt idx="0">
                  <c:v>2015</c:v>
                </c:pt>
              </c:strCache>
            </c:strRef>
          </c:tx>
          <c:spPr>
            <a:ln w="22225" cap="rnd">
              <a:solidFill>
                <a:schemeClr val="accent1"/>
              </a:solidFill>
              <a:round/>
            </a:ln>
            <a:effectLst/>
          </c:spPr>
          <c:marker>
            <c:symbol val="diamond"/>
            <c:size val="6"/>
            <c:spPr>
              <a:solidFill>
                <a:schemeClr val="accent1">
                  <a:lumMod val="75000"/>
                </a:schemeClr>
              </a:solidFill>
              <a:ln w="9525">
                <a:solidFill>
                  <a:schemeClr val="accent1"/>
                </a:solidFill>
                <a:round/>
              </a:ln>
              <a:effectLst/>
            </c:spPr>
          </c:marker>
          <c:dLbls>
            <c:dLbl>
              <c:idx val="0"/>
              <c:layout>
                <c:manualLayout>
                  <c:x val="-4.7031158142269358E-3"/>
                  <c:y val="-4.166666666666668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0546737213403668E-3"/>
                  <c:y val="-0.0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03115814226882E-3"/>
                  <c:y val="-3.333333333333335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7031158142269254E-3"/>
                  <c:y val="-5.00000000000000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460905349794323E-2"/>
                  <c:y val="-6.66666666666666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7031158142269254E-3"/>
                  <c:y val="-3.3333333333333354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9.406231628453764E-3"/>
                  <c:y val="-5.000000000000001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9.4062316284540225E-3"/>
                  <c:y val="-3.3333333333333375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7.0546737213403876E-3"/>
                  <c:y val="-3.333333333333337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Sheet1!$C$383:$N$383</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Sheet1!$C$384:$N$384</c:f>
              <c:numCache>
                <c:formatCode>#,##0</c:formatCode>
                <c:ptCount val="12"/>
                <c:pt idx="0">
                  <c:v>4818</c:v>
                </c:pt>
                <c:pt idx="1">
                  <c:v>4812</c:v>
                </c:pt>
                <c:pt idx="2">
                  <c:v>4800</c:v>
                </c:pt>
                <c:pt idx="3">
                  <c:v>4791</c:v>
                </c:pt>
                <c:pt idx="4">
                  <c:v>4782</c:v>
                </c:pt>
                <c:pt idx="5">
                  <c:v>4776</c:v>
                </c:pt>
                <c:pt idx="6">
                  <c:v>4767</c:v>
                </c:pt>
                <c:pt idx="7">
                  <c:v>4769</c:v>
                </c:pt>
                <c:pt idx="8">
                  <c:v>4743</c:v>
                </c:pt>
                <c:pt idx="9">
                  <c:v>4741</c:v>
                </c:pt>
                <c:pt idx="10" formatCode="General">
                  <c:v>4715</c:v>
                </c:pt>
                <c:pt idx="11">
                  <c:v>4700</c:v>
                </c:pt>
              </c:numCache>
            </c:numRef>
          </c:val>
          <c:smooth val="0"/>
        </c:ser>
        <c:ser>
          <c:idx val="1"/>
          <c:order val="1"/>
          <c:tx>
            <c:strRef>
              <c:f>Sheet1!$B$385</c:f>
              <c:strCache>
                <c:ptCount val="1"/>
                <c:pt idx="0">
                  <c:v>2016</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1.5296364042222782E-2"/>
                  <c:y val="-5.833333333333333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2417475593328827E-3"/>
                  <c:y val="-4.166666666666670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84575804925996E-2"/>
                  <c:y val="-0.05"/>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7845758049259912E-2"/>
                  <c:y val="-5.00000000000000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2351233873543584E-2"/>
                  <c:y val="-4.1666666666666706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7845758049259912E-2"/>
                  <c:y val="-5.000000000000003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2746970035185653E-2"/>
                  <c:y val="-6.6666666666666666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2746970035185745E-2"/>
                  <c:y val="-0.05"/>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7.6481820211113912E-3"/>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7259978425026967E-2"/>
                  <c:y val="-4.190476190476197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5.7195253505933116E-2"/>
                      <c:h val="0.11417172853393326"/>
                    </c:manualLayout>
                  </c15:layout>
                </c:ext>
              </c:extLst>
            </c:dLbl>
            <c:dLbl>
              <c:idx val="10"/>
              <c:layout>
                <c:manualLayout>
                  <c:x val="-4.3149946062567418E-3"/>
                  <c:y val="-2.285714285714285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Sheet1!$C$383:$N$383</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Sheet1!$C$385:$N$385</c:f>
              <c:numCache>
                <c:formatCode>#,##0</c:formatCode>
                <c:ptCount val="12"/>
                <c:pt idx="0">
                  <c:v>4699</c:v>
                </c:pt>
                <c:pt idx="1">
                  <c:v>4704</c:v>
                </c:pt>
                <c:pt idx="2">
                  <c:v>4699</c:v>
                </c:pt>
                <c:pt idx="3">
                  <c:v>4704</c:v>
                </c:pt>
                <c:pt idx="4">
                  <c:v>4705</c:v>
                </c:pt>
                <c:pt idx="5">
                  <c:v>4673</c:v>
                </c:pt>
                <c:pt idx="6">
                  <c:v>4655</c:v>
                </c:pt>
                <c:pt idx="7">
                  <c:v>4656</c:v>
                </c:pt>
                <c:pt idx="8">
                  <c:v>4621</c:v>
                </c:pt>
                <c:pt idx="9">
                  <c:v>4620</c:v>
                </c:pt>
                <c:pt idx="10" formatCode="General">
                  <c:v>4617</c:v>
                </c:pt>
                <c:pt idx="11">
                  <c:v>4607</c:v>
                </c:pt>
              </c:numCache>
            </c:numRef>
          </c:val>
          <c:smooth val="0"/>
        </c:ser>
        <c:dLbls>
          <c:showLegendKey val="0"/>
          <c:showVal val="1"/>
          <c:showCatName val="0"/>
          <c:showSerName val="0"/>
          <c:showPercent val="0"/>
          <c:showBubbleSize val="0"/>
        </c:dLbls>
        <c:marker val="1"/>
        <c:smooth val="0"/>
        <c:axId val="1887836096"/>
        <c:axId val="1887836640"/>
      </c:lineChart>
      <c:catAx>
        <c:axId val="1887836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o-RO"/>
          </a:p>
        </c:txPr>
        <c:crossAx val="1887836640"/>
        <c:crosses val="autoZero"/>
        <c:auto val="1"/>
        <c:lblAlgn val="ctr"/>
        <c:lblOffset val="100"/>
        <c:noMultiLvlLbl val="0"/>
      </c:catAx>
      <c:valAx>
        <c:axId val="1887836640"/>
        <c:scaling>
          <c:orientation val="minMax"/>
        </c:scaling>
        <c:delete val="1"/>
        <c:axPos val="l"/>
        <c:numFmt formatCode="#,##0" sourceLinked="1"/>
        <c:majorTickMark val="none"/>
        <c:minorTickMark val="none"/>
        <c:tickLblPos val="nextTo"/>
        <c:crossAx val="1887836096"/>
        <c:crosses val="autoZero"/>
        <c:crossBetween val="between"/>
      </c:valAx>
      <c:spPr>
        <a:noFill/>
        <a:ln>
          <a:noFill/>
        </a:ln>
        <a:effectLst/>
      </c:spPr>
    </c:plotArea>
    <c:legend>
      <c:legendPos val="t"/>
      <c:layout>
        <c:manualLayout>
          <c:xMode val="edge"/>
          <c:yMode val="edge"/>
          <c:x val="0.35919991251093614"/>
          <c:y val="0.88050314465408808"/>
          <c:w val="0.22871058374114184"/>
          <c:h val="0.119496719160104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lt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6111111111111108E-2"/>
          <c:y val="7.3495917177019532E-2"/>
          <c:w val="0.93888888888888888"/>
          <c:h val="0.63405803441236508"/>
        </c:manualLayout>
      </c:layout>
      <c:barChart>
        <c:barDir val="col"/>
        <c:grouping val="clustered"/>
        <c:varyColors val="0"/>
        <c:ser>
          <c:idx val="0"/>
          <c:order val="0"/>
          <c:tx>
            <c:strRef>
              <c:f>'[Chart 2 in Microsoft Word]Sheet1'!$D$395</c:f>
              <c:strCache>
                <c:ptCount val="1"/>
                <c:pt idx="0">
                  <c:v>2013</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Word]Sheet1'!$C$396:$C$399</c:f>
              <c:strCache>
                <c:ptCount val="4"/>
                <c:pt idx="0">
                  <c:v>Higher education graduates</c:v>
                </c:pt>
                <c:pt idx="1">
                  <c:v>High school graduates</c:v>
                </c:pt>
                <c:pt idx="2">
                  <c:v>Vocational school graduates</c:v>
                </c:pt>
                <c:pt idx="3">
                  <c:v>General education graduates + gtraining course</c:v>
                </c:pt>
              </c:strCache>
            </c:strRef>
          </c:cat>
          <c:val>
            <c:numRef>
              <c:f>'[Chart 2 in Microsoft Word]Sheet1'!$D$396:$D$399</c:f>
              <c:numCache>
                <c:formatCode>#,##0</c:formatCode>
                <c:ptCount val="4"/>
                <c:pt idx="0">
                  <c:v>1096</c:v>
                </c:pt>
                <c:pt idx="1">
                  <c:v>1565</c:v>
                </c:pt>
                <c:pt idx="2" formatCode="General">
                  <c:v>896</c:v>
                </c:pt>
                <c:pt idx="3">
                  <c:v>1344</c:v>
                </c:pt>
              </c:numCache>
            </c:numRef>
          </c:val>
        </c:ser>
        <c:ser>
          <c:idx val="1"/>
          <c:order val="1"/>
          <c:tx>
            <c:strRef>
              <c:f>'[Chart 2 in Microsoft Word]Sheet1'!$E$395</c:f>
              <c:strCache>
                <c:ptCount val="1"/>
                <c:pt idx="0">
                  <c:v>2014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Word]Sheet1'!$C$396:$C$399</c:f>
              <c:strCache>
                <c:ptCount val="4"/>
                <c:pt idx="0">
                  <c:v>Higher education graduates</c:v>
                </c:pt>
                <c:pt idx="1">
                  <c:v>High school graduates</c:v>
                </c:pt>
                <c:pt idx="2">
                  <c:v>Vocational school graduates</c:v>
                </c:pt>
                <c:pt idx="3">
                  <c:v>General education graduates + gtraining course</c:v>
                </c:pt>
              </c:strCache>
            </c:strRef>
          </c:cat>
          <c:val>
            <c:numRef>
              <c:f>'[Chart 2 in Microsoft Word]Sheet1'!$E$396:$E$399</c:f>
              <c:numCache>
                <c:formatCode>#,##0</c:formatCode>
                <c:ptCount val="4"/>
                <c:pt idx="0">
                  <c:v>1169</c:v>
                </c:pt>
                <c:pt idx="1">
                  <c:v>1521</c:v>
                </c:pt>
                <c:pt idx="2" formatCode="General">
                  <c:v>877</c:v>
                </c:pt>
                <c:pt idx="3">
                  <c:v>1253</c:v>
                </c:pt>
              </c:numCache>
            </c:numRef>
          </c:val>
        </c:ser>
        <c:ser>
          <c:idx val="2"/>
          <c:order val="2"/>
          <c:tx>
            <c:strRef>
              <c:f>'[Chart 2 in Microsoft Word]Sheet1'!$F$395</c:f>
              <c:strCache>
                <c:ptCount val="1"/>
                <c:pt idx="0">
                  <c:v>2015</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Word]Sheet1'!$C$396:$C$399</c:f>
              <c:strCache>
                <c:ptCount val="4"/>
                <c:pt idx="0">
                  <c:v>Higher education graduates</c:v>
                </c:pt>
                <c:pt idx="1">
                  <c:v>High school graduates</c:v>
                </c:pt>
                <c:pt idx="2">
                  <c:v>Vocational school graduates</c:v>
                </c:pt>
                <c:pt idx="3">
                  <c:v>General education graduates + gtraining course</c:v>
                </c:pt>
              </c:strCache>
            </c:strRef>
          </c:cat>
          <c:val>
            <c:numRef>
              <c:f>'[Chart 2 in Microsoft Word]Sheet1'!$F$396:$F$399</c:f>
              <c:numCache>
                <c:formatCode>#,##0</c:formatCode>
                <c:ptCount val="4"/>
                <c:pt idx="0">
                  <c:v>1237</c:v>
                </c:pt>
                <c:pt idx="1">
                  <c:v>1446</c:v>
                </c:pt>
                <c:pt idx="2" formatCode="General">
                  <c:v>834</c:v>
                </c:pt>
                <c:pt idx="3">
                  <c:v>1183</c:v>
                </c:pt>
              </c:numCache>
            </c:numRef>
          </c:val>
        </c:ser>
        <c:ser>
          <c:idx val="3"/>
          <c:order val="3"/>
          <c:tx>
            <c:strRef>
              <c:f>'[Chart 2 in Microsoft Word]Sheet1'!$G$395</c:f>
              <c:strCache>
                <c:ptCount val="1"/>
                <c:pt idx="0">
                  <c:v>2016</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Word]Sheet1'!$C$396:$C$399</c:f>
              <c:strCache>
                <c:ptCount val="4"/>
                <c:pt idx="0">
                  <c:v>Higher education graduates</c:v>
                </c:pt>
                <c:pt idx="1">
                  <c:v>High school graduates</c:v>
                </c:pt>
                <c:pt idx="2">
                  <c:v>Vocational school graduates</c:v>
                </c:pt>
                <c:pt idx="3">
                  <c:v>General education graduates + gtraining course</c:v>
                </c:pt>
              </c:strCache>
            </c:strRef>
          </c:cat>
          <c:val>
            <c:numRef>
              <c:f>'[Chart 2 in Microsoft Word]Sheet1'!$G$396:$G$399</c:f>
              <c:numCache>
                <c:formatCode>#,##0</c:formatCode>
                <c:ptCount val="4"/>
                <c:pt idx="0">
                  <c:v>1291</c:v>
                </c:pt>
                <c:pt idx="1">
                  <c:v>1414</c:v>
                </c:pt>
                <c:pt idx="2" formatCode="General">
                  <c:v>792</c:v>
                </c:pt>
                <c:pt idx="3">
                  <c:v>1110</c:v>
                </c:pt>
              </c:numCache>
            </c:numRef>
          </c:val>
        </c:ser>
        <c:dLbls>
          <c:showLegendKey val="0"/>
          <c:showVal val="1"/>
          <c:showCatName val="0"/>
          <c:showSerName val="0"/>
          <c:showPercent val="0"/>
          <c:showBubbleSize val="0"/>
        </c:dLbls>
        <c:gapWidth val="150"/>
        <c:overlap val="-25"/>
        <c:axId val="1887838816"/>
        <c:axId val="1887839360"/>
      </c:barChart>
      <c:catAx>
        <c:axId val="18878388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887839360"/>
        <c:crosses val="autoZero"/>
        <c:auto val="1"/>
        <c:lblAlgn val="ctr"/>
        <c:lblOffset val="100"/>
        <c:noMultiLvlLbl val="0"/>
      </c:catAx>
      <c:valAx>
        <c:axId val="1887839360"/>
        <c:scaling>
          <c:orientation val="minMax"/>
        </c:scaling>
        <c:delete val="1"/>
        <c:axPos val="l"/>
        <c:numFmt formatCode="#,##0" sourceLinked="1"/>
        <c:majorTickMark val="none"/>
        <c:minorTickMark val="none"/>
        <c:tickLblPos val="nextTo"/>
        <c:crossAx val="1887838816"/>
        <c:crosses val="autoZero"/>
        <c:crossBetween val="between"/>
      </c:valAx>
      <c:spPr>
        <a:noFill/>
        <a:ln>
          <a:noFill/>
        </a:ln>
        <a:effectLst/>
      </c:spPr>
    </c:plotArea>
    <c:legend>
      <c:legendPos val="t"/>
      <c:layout>
        <c:manualLayout>
          <c:xMode val="edge"/>
          <c:yMode val="edge"/>
          <c:x val="0.16810091948691136"/>
          <c:y val="0.89379615910173027"/>
          <c:w val="0.57072806701822398"/>
          <c:h val="9.165031637179117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ysClr val="window" lastClr="FFFFFF">
                  <a:lumMod val="85000"/>
                </a:sysClr>
              </a:solidFill>
              <a:ln>
                <a:solidFill>
                  <a:sysClr val="window" lastClr="FFFFFF">
                    <a:lumMod val="85000"/>
                  </a:sysClr>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Sheet1!$D$16:$D$17</c:f>
              <c:strCache>
                <c:ptCount val="2"/>
                <c:pt idx="0">
                  <c:v>No. of cases as plaintiff</c:v>
                </c:pt>
                <c:pt idx="1">
                  <c:v>No. of cases as defendant</c:v>
                </c:pt>
              </c:strCache>
            </c:strRef>
          </c:cat>
          <c:val>
            <c:numRef>
              <c:f>Sheet1!$E$16:$E$17</c:f>
              <c:numCache>
                <c:formatCode>General</c:formatCode>
                <c:ptCount val="2"/>
                <c:pt idx="0">
                  <c:v>69</c:v>
                </c:pt>
                <c:pt idx="1">
                  <c:v>77</c:v>
                </c:pt>
              </c:numCache>
            </c:numRef>
          </c:val>
        </c:ser>
        <c:dLbls>
          <c:dLblPos val="outEnd"/>
          <c:showLegendKey val="0"/>
          <c:showVal val="1"/>
          <c:showCatName val="0"/>
          <c:showSerName val="0"/>
          <c:showPercent val="0"/>
          <c:showBubbleSize val="0"/>
        </c:dLbls>
        <c:gapWidth val="219"/>
        <c:overlap val="-27"/>
        <c:axId val="1674544960"/>
        <c:axId val="1674552032"/>
      </c:barChart>
      <c:catAx>
        <c:axId val="167454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4552032"/>
        <c:crosses val="autoZero"/>
        <c:auto val="1"/>
        <c:lblAlgn val="ctr"/>
        <c:lblOffset val="100"/>
        <c:noMultiLvlLbl val="0"/>
      </c:catAx>
      <c:valAx>
        <c:axId val="1674552032"/>
        <c:scaling>
          <c:orientation val="minMax"/>
        </c:scaling>
        <c:delete val="1"/>
        <c:axPos val="l"/>
        <c:numFmt formatCode="General" sourceLinked="1"/>
        <c:majorTickMark val="none"/>
        <c:minorTickMark val="none"/>
        <c:tickLblPos val="nextTo"/>
        <c:crossAx val="1674544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Sheet1!$C$6</c:f>
              <c:strCache>
                <c:ptCount val="1"/>
                <c:pt idx="0">
                  <c:v>Grad implementare CSIM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Sheet1!$D$5:$G$5</c:f>
              <c:numCache>
                <c:formatCode>General</c:formatCode>
                <c:ptCount val="4"/>
                <c:pt idx="0">
                  <c:v>2013</c:v>
                </c:pt>
                <c:pt idx="1">
                  <c:v>2014</c:v>
                </c:pt>
                <c:pt idx="2">
                  <c:v>2015</c:v>
                </c:pt>
                <c:pt idx="3">
                  <c:v>2016</c:v>
                </c:pt>
              </c:numCache>
            </c:numRef>
          </c:cat>
          <c:val>
            <c:numRef>
              <c:f>Sheet1!$D$6:$G$6</c:f>
              <c:numCache>
                <c:formatCode>0%</c:formatCode>
                <c:ptCount val="4"/>
                <c:pt idx="0">
                  <c:v>0.52</c:v>
                </c:pt>
                <c:pt idx="1">
                  <c:v>0.81</c:v>
                </c:pt>
                <c:pt idx="2">
                  <c:v>0.88</c:v>
                </c:pt>
                <c:pt idx="3">
                  <c:v>0.94</c:v>
                </c:pt>
              </c:numCache>
            </c:numRef>
          </c:val>
          <c:smooth val="0"/>
        </c:ser>
        <c:dLbls>
          <c:dLblPos val="t"/>
          <c:showLegendKey val="0"/>
          <c:showVal val="1"/>
          <c:showCatName val="0"/>
          <c:showSerName val="0"/>
          <c:showPercent val="0"/>
          <c:showBubbleSize val="0"/>
        </c:dLbls>
        <c:marker val="1"/>
        <c:smooth val="0"/>
        <c:axId val="1674553664"/>
        <c:axId val="1674542784"/>
      </c:lineChart>
      <c:catAx>
        <c:axId val="167455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74542784"/>
        <c:crosses val="autoZero"/>
        <c:auto val="1"/>
        <c:lblAlgn val="ctr"/>
        <c:lblOffset val="100"/>
        <c:noMultiLvlLbl val="0"/>
      </c:catAx>
      <c:valAx>
        <c:axId val="1674542784"/>
        <c:scaling>
          <c:orientation val="minMax"/>
        </c:scaling>
        <c:delete val="1"/>
        <c:axPos val="l"/>
        <c:numFmt formatCode="0%" sourceLinked="1"/>
        <c:majorTickMark val="none"/>
        <c:minorTickMark val="none"/>
        <c:tickLblPos val="nextTo"/>
        <c:crossAx val="1674553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r>
              <a:rPr lang="en-GB" sz="1050" b="1"/>
              <a:t>Implemented standards</a:t>
            </a:r>
            <a:r>
              <a:rPr lang="ro-RO" sz="1050" b="1" baseline="0"/>
              <a:t> %</a:t>
            </a:r>
            <a:endParaRPr lang="ro-RO" sz="1050" b="1"/>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827848442021666E-2"/>
          <c:y val="0.16239104727293704"/>
          <c:w val="0.95307813446396106"/>
          <c:h val="0.71385029750862294"/>
        </c:manualLayout>
      </c:layout>
      <c:pie3DChart>
        <c:varyColors val="1"/>
        <c:ser>
          <c:idx val="0"/>
          <c:order val="0"/>
          <c:spPr>
            <a:ln>
              <a:noFill/>
            </a:ln>
          </c:spPr>
          <c:explosion val="19"/>
          <c:dPt>
            <c:idx val="0"/>
            <c:bubble3D val="0"/>
            <c:explosion val="14"/>
            <c:spPr>
              <a:solidFill>
                <a:schemeClr val="accent5">
                  <a:lumMod val="60000"/>
                  <a:lumOff val="40000"/>
                </a:schemeClr>
              </a:solidFill>
              <a:ln w="25400">
                <a:noFill/>
              </a:ln>
              <a:effectLst/>
              <a:sp3d/>
            </c:spPr>
          </c:dPt>
          <c:dPt>
            <c:idx val="1"/>
            <c:bubble3D val="0"/>
            <c:explosion val="15"/>
            <c:spPr>
              <a:solidFill>
                <a:schemeClr val="accent6">
                  <a:lumMod val="20000"/>
                  <a:lumOff val="80000"/>
                </a:schemeClr>
              </a:solidFill>
              <a:ln w="25400">
                <a:noFill/>
              </a:ln>
              <a:effectLst/>
              <a:sp3d/>
            </c:spPr>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Sheet1!$C$4:$C$5</c:f>
              <c:strCache>
                <c:ptCount val="2"/>
                <c:pt idx="0">
                  <c:v>Implemented</c:v>
                </c:pt>
                <c:pt idx="1">
                  <c:v>Parțial Implementat</c:v>
                </c:pt>
              </c:strCache>
            </c:strRef>
          </c:cat>
          <c:val>
            <c:numRef>
              <c:f>Sheet1!$D$4:$D$5</c:f>
              <c:numCache>
                <c:formatCode>0%</c:formatCode>
                <c:ptCount val="2"/>
                <c:pt idx="0">
                  <c:v>0.88</c:v>
                </c:pt>
                <c:pt idx="1">
                  <c:v>0.12</c:v>
                </c:pt>
              </c:numCache>
            </c:numRef>
          </c:val>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7.2258950516271042E-2"/>
          <c:y val="0.9054350736278447"/>
          <c:w val="0.84570214786721354"/>
          <c:h val="9.456482496649944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spPr>
            <a:solidFill>
              <a:schemeClr val="accent5">
                <a:lumMod val="20000"/>
                <a:lumOff val="80000"/>
              </a:schemeClr>
            </a:solidFill>
            <a:ln>
              <a:noFill/>
            </a:ln>
            <a:effectLst/>
          </c:spP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Word]Sheet1'!$B$126:$B$127</c:f>
              <c:strCache>
                <c:ptCount val="2"/>
                <c:pt idx="0">
                  <c:v>Planned technological consumption – thousand cm</c:v>
                </c:pt>
                <c:pt idx="1">
                  <c:v>Achieved technological consumption – thousand cm</c:v>
                </c:pt>
              </c:strCache>
            </c:strRef>
          </c:cat>
          <c:val>
            <c:numRef>
              <c:f>'[Chart in Microsoft Word]Sheet1'!$C$126:$C$127</c:f>
              <c:numCache>
                <c:formatCode>#,##0</c:formatCode>
                <c:ptCount val="2"/>
                <c:pt idx="0">
                  <c:v>119823</c:v>
                </c:pt>
                <c:pt idx="1">
                  <c:v>108874</c:v>
                </c:pt>
              </c:numCache>
            </c:numRef>
          </c:val>
        </c:ser>
        <c:dLbls>
          <c:showLegendKey val="0"/>
          <c:showVal val="1"/>
          <c:showCatName val="0"/>
          <c:showSerName val="0"/>
          <c:showPercent val="0"/>
          <c:showBubbleSize val="0"/>
        </c:dLbls>
        <c:axId val="1756656720"/>
        <c:axId val="1756673040"/>
      </c:areaChart>
      <c:catAx>
        <c:axId val="175665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73040"/>
        <c:crosses val="autoZero"/>
        <c:auto val="1"/>
        <c:lblAlgn val="ctr"/>
        <c:lblOffset val="100"/>
        <c:noMultiLvlLbl val="0"/>
      </c:catAx>
      <c:valAx>
        <c:axId val="1756673040"/>
        <c:scaling>
          <c:orientation val="minMax"/>
        </c:scaling>
        <c:delete val="1"/>
        <c:axPos val="l"/>
        <c:numFmt formatCode="#,##0" sourceLinked="1"/>
        <c:majorTickMark val="none"/>
        <c:minorTickMark val="none"/>
        <c:tickLblPos val="nextTo"/>
        <c:crossAx val="1756656720"/>
        <c:crosses val="autoZero"/>
        <c:crossBetween val="midCat"/>
      </c:valAx>
      <c:spPr>
        <a:noFill/>
        <a:ln w="25400">
          <a:noFill/>
        </a:ln>
        <a:effectLst/>
      </c:spPr>
    </c:plotArea>
    <c:plotVisOnly val="1"/>
    <c:dispBlanksAs val="zero"/>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1177316693837995E-3"/>
          <c:y val="5.1240883392829695E-3"/>
          <c:w val="0.95608782435129736"/>
          <c:h val="0.61711388018245295"/>
        </c:manualLayout>
      </c:layout>
      <c:lineChart>
        <c:grouping val="standard"/>
        <c:varyColors val="0"/>
        <c:ser>
          <c:idx val="0"/>
          <c:order val="0"/>
          <c:tx>
            <c:strRef>
              <c:f>Sheet1!$C$33</c:f>
              <c:strCache>
                <c:ptCount val="1"/>
                <c:pt idx="0">
                  <c:v>Close price TGN 2016</c:v>
                </c:pt>
              </c:strCache>
            </c:strRef>
          </c:tx>
          <c:spPr>
            <a:ln w="22225"/>
          </c:spPr>
          <c:dLbls>
            <c:dLbl>
              <c:idx val="0"/>
              <c:layout>
                <c:manualLayout>
                  <c:x val="-4.4572998687664039E-2"/>
                  <c:y val="5.009116071862251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833125605797108E-2"/>
                  <c:y val="5.494847612247004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661966022531609E-2"/>
                  <c:y val="5.494847612247013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4.4603705973879089E-2"/>
                  <c:y val="8.892592309456463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solidFill>
                      <a:srgbClr val="0070C0"/>
                    </a:solidFill>
                    <a:latin typeface="+mj-lt"/>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Sheet1!$B$34:$B$45</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Sheet1!$C$34:$C$45</c:f>
              <c:numCache>
                <c:formatCode>#,##0.00</c:formatCode>
                <c:ptCount val="12"/>
                <c:pt idx="0">
                  <c:v>260</c:v>
                </c:pt>
                <c:pt idx="1">
                  <c:v>258</c:v>
                </c:pt>
                <c:pt idx="2">
                  <c:v>269</c:v>
                </c:pt>
                <c:pt idx="3">
                  <c:v>266</c:v>
                </c:pt>
                <c:pt idx="4">
                  <c:v>275</c:v>
                </c:pt>
                <c:pt idx="5">
                  <c:v>272</c:v>
                </c:pt>
                <c:pt idx="6">
                  <c:v>286</c:v>
                </c:pt>
                <c:pt idx="7">
                  <c:v>303</c:v>
                </c:pt>
                <c:pt idx="8">
                  <c:v>306</c:v>
                </c:pt>
                <c:pt idx="9">
                  <c:v>298</c:v>
                </c:pt>
                <c:pt idx="10">
                  <c:v>298</c:v>
                </c:pt>
                <c:pt idx="11">
                  <c:v>294</c:v>
                </c:pt>
              </c:numCache>
            </c:numRef>
          </c:val>
          <c:smooth val="0"/>
        </c:ser>
        <c:ser>
          <c:idx val="1"/>
          <c:order val="1"/>
          <c:tx>
            <c:strRef>
              <c:f>Sheet1!$D$33</c:f>
              <c:strCache>
                <c:ptCount val="1"/>
                <c:pt idx="0">
                  <c:v>close price TGN 2015</c:v>
                </c:pt>
              </c:strCache>
            </c:strRef>
          </c:tx>
          <c:spPr>
            <a:ln w="22225" cap="flat"/>
          </c:spPr>
          <c:dPt>
            <c:idx val="11"/>
            <c:bubble3D val="0"/>
            <c:spPr>
              <a:ln w="22225" cap="rnd"/>
            </c:spPr>
          </c:dPt>
          <c:dLbls>
            <c:dLbl>
              <c:idx val="6"/>
              <c:layout>
                <c:manualLayout>
                  <c:x val="-4.0708661417322836E-2"/>
                  <c:y val="9.911015977371755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2.20826291785069E-2"/>
                  <c:y val="-4.2197831954480451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solidFill>
                      <a:srgbClr val="C00000"/>
                    </a:solidFill>
                    <a:latin typeface="+mj-lt"/>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Sheet1!$B$34:$B$45</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Sheet1!$D$34:$D$45</c:f>
              <c:numCache>
                <c:formatCode>#,##0.00</c:formatCode>
                <c:ptCount val="12"/>
                <c:pt idx="0">
                  <c:v>266.39999999999998</c:v>
                </c:pt>
                <c:pt idx="1">
                  <c:v>277</c:v>
                </c:pt>
                <c:pt idx="2">
                  <c:v>271.39999999999998</c:v>
                </c:pt>
                <c:pt idx="3">
                  <c:v>270</c:v>
                </c:pt>
                <c:pt idx="4">
                  <c:v>276</c:v>
                </c:pt>
                <c:pt idx="5">
                  <c:v>257</c:v>
                </c:pt>
                <c:pt idx="6">
                  <c:v>274.5</c:v>
                </c:pt>
                <c:pt idx="7">
                  <c:v>266.5</c:v>
                </c:pt>
                <c:pt idx="8">
                  <c:v>260</c:v>
                </c:pt>
                <c:pt idx="9">
                  <c:v>265</c:v>
                </c:pt>
                <c:pt idx="10">
                  <c:v>271</c:v>
                </c:pt>
                <c:pt idx="11">
                  <c:v>277</c:v>
                </c:pt>
              </c:numCache>
            </c:numRef>
          </c:val>
          <c:smooth val="0"/>
        </c:ser>
        <c:dLbls>
          <c:showLegendKey val="0"/>
          <c:showVal val="0"/>
          <c:showCatName val="0"/>
          <c:showSerName val="0"/>
          <c:showPercent val="0"/>
          <c:showBubbleSize val="0"/>
        </c:dLbls>
        <c:marker val="1"/>
        <c:smooth val="0"/>
        <c:axId val="1674571072"/>
        <c:axId val="1674573792"/>
      </c:lineChart>
      <c:catAx>
        <c:axId val="1674571072"/>
        <c:scaling>
          <c:orientation val="minMax"/>
        </c:scaling>
        <c:delete val="0"/>
        <c:axPos val="b"/>
        <c:numFmt formatCode="General" sourceLinked="0"/>
        <c:majorTickMark val="out"/>
        <c:minorTickMark val="none"/>
        <c:tickLblPos val="nextTo"/>
        <c:txPr>
          <a:bodyPr/>
          <a:lstStyle/>
          <a:p>
            <a:pPr>
              <a:defRPr>
                <a:latin typeface="+mj-lt"/>
              </a:defRPr>
            </a:pPr>
            <a:endParaRPr lang="ro-RO"/>
          </a:p>
        </c:txPr>
        <c:crossAx val="1674573792"/>
        <c:crosses val="autoZero"/>
        <c:auto val="1"/>
        <c:lblAlgn val="ctr"/>
        <c:lblOffset val="100"/>
        <c:noMultiLvlLbl val="0"/>
      </c:catAx>
      <c:valAx>
        <c:axId val="1674573792"/>
        <c:scaling>
          <c:orientation val="minMax"/>
          <c:max val="320"/>
          <c:min val="250"/>
        </c:scaling>
        <c:delete val="1"/>
        <c:axPos val="l"/>
        <c:numFmt formatCode="#,##0.00" sourceLinked="1"/>
        <c:majorTickMark val="out"/>
        <c:minorTickMark val="none"/>
        <c:tickLblPos val="nextTo"/>
        <c:crossAx val="1674571072"/>
        <c:crosses val="autoZero"/>
        <c:crossBetween val="between"/>
      </c:valAx>
    </c:plotArea>
    <c:legend>
      <c:legendPos val="b"/>
      <c:overlay val="0"/>
      <c:txPr>
        <a:bodyPr/>
        <a:lstStyle/>
        <a:p>
          <a:pPr>
            <a:defRPr sz="900">
              <a:latin typeface="+mj-lt"/>
            </a:defRPr>
          </a:pPr>
          <a:endParaRPr lang="ro-RO"/>
        </a:p>
      </c:txPr>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Sheet1!$C$49</c:f>
              <c:strCache>
                <c:ptCount val="1"/>
                <c:pt idx="0">
                  <c:v>Volum tranzacții TGN în 2016</c:v>
                </c:pt>
              </c:strCache>
            </c:strRef>
          </c:tx>
          <c:spPr>
            <a:ln w="22225"/>
          </c:spPr>
          <c:dLbls>
            <c:dLbl>
              <c:idx val="1"/>
              <c:layout>
                <c:manualLayout>
                  <c:x val="-2.1559885426873215E-2"/>
                  <c:y val="-5.11296765870368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6.0557094209331259E-2"/>
                  <c:y val="-5.11296765870368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5.3129054441244057E-2"/>
                  <c:y val="3.926580363895191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078359385818088E-2"/>
                  <c:y val="-4.209012856443791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6.5469081865561801E-2"/>
                  <c:y val="4.08132641956340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3.9730800820184264E-2"/>
                  <c:y val="-4.209012856443800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3.7873790878162457E-2"/>
                  <c:y val="-7.372854664353405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4.6391180434719112E-2"/>
                  <c:y val="7.36561962012812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6391180434719112E-2"/>
                  <c:y val="6.648773741991928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2.8308734858063251E-2"/>
                  <c:y val="6.648773741991921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0">
                    <a:solidFill>
                      <a:schemeClr val="accent1">
                        <a:lumMod val="75000"/>
                      </a:schemeClr>
                    </a:solidFill>
                    <a:latin typeface="+mj-lt"/>
                  </a:defRPr>
                </a:pPr>
                <a:endParaRPr lang="ro-R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Sheet1!$B$50:$B$61</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Sheet1!$C$50:$C$61</c:f>
              <c:numCache>
                <c:formatCode>#,##0</c:formatCode>
                <c:ptCount val="12"/>
                <c:pt idx="0">
                  <c:v>124827</c:v>
                </c:pt>
                <c:pt idx="1">
                  <c:v>112067</c:v>
                </c:pt>
                <c:pt idx="2">
                  <c:v>64518</c:v>
                </c:pt>
                <c:pt idx="3">
                  <c:v>152547</c:v>
                </c:pt>
                <c:pt idx="4">
                  <c:v>121640</c:v>
                </c:pt>
                <c:pt idx="5">
                  <c:v>178749</c:v>
                </c:pt>
                <c:pt idx="6">
                  <c:v>47960</c:v>
                </c:pt>
                <c:pt idx="7">
                  <c:v>78155</c:v>
                </c:pt>
                <c:pt idx="8">
                  <c:v>37805</c:v>
                </c:pt>
                <c:pt idx="9">
                  <c:v>54507</c:v>
                </c:pt>
                <c:pt idx="10">
                  <c:v>53779</c:v>
                </c:pt>
                <c:pt idx="11">
                  <c:v>55010</c:v>
                </c:pt>
              </c:numCache>
            </c:numRef>
          </c:val>
          <c:smooth val="0"/>
        </c:ser>
        <c:ser>
          <c:idx val="1"/>
          <c:order val="1"/>
          <c:tx>
            <c:strRef>
              <c:f>Sheet1!$D$49</c:f>
              <c:strCache>
                <c:ptCount val="1"/>
                <c:pt idx="0">
                  <c:v>volum tranzactii TGN în 2015</c:v>
                </c:pt>
              </c:strCache>
            </c:strRef>
          </c:tx>
          <c:spPr>
            <a:ln w="22225"/>
          </c:spPr>
          <c:dLbls>
            <c:dLbl>
              <c:idx val="0"/>
              <c:layout>
                <c:manualLayout>
                  <c:x val="-3.3426178956392584E-2"/>
                  <c:y val="-6.327683615819208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713284845753581E-2"/>
                  <c:y val="8.975798270614945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199627837661068E-2"/>
                  <c:y val="-7.683615819209040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8282258492567127E-2"/>
                  <c:y val="8.135593220338982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199627837661068E-2"/>
                  <c:y val="6.327683615819192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0854218724479821E-2"/>
                  <c:y val="0.10847457627118644"/>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3853288318632557E-2"/>
                  <c:y val="-6.327683615819208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8997208782458014E-2"/>
                  <c:y val="-6.3276836158192101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598049647609629E-2"/>
                  <c:y val="-0.14782971640740036"/>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4.8754636989931266E-2"/>
                  <c:y val="-9.1056910569105698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4.6425248550545389E-2"/>
                  <c:y val="-8.1355932203389825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2.7855149130327151E-2"/>
                  <c:y val="-5.87570621468927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solidFill>
                      <a:srgbClr val="C00000"/>
                    </a:solidFill>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Sheet1!$B$50:$B$61</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Sheet1!$D$50:$D$61</c:f>
              <c:numCache>
                <c:formatCode>#,##0</c:formatCode>
                <c:ptCount val="12"/>
                <c:pt idx="0">
                  <c:v>162486</c:v>
                </c:pt>
                <c:pt idx="1">
                  <c:v>95339</c:v>
                </c:pt>
                <c:pt idx="2">
                  <c:v>80083</c:v>
                </c:pt>
                <c:pt idx="3">
                  <c:v>106567</c:v>
                </c:pt>
                <c:pt idx="4">
                  <c:v>74363</c:v>
                </c:pt>
                <c:pt idx="5">
                  <c:v>142048</c:v>
                </c:pt>
                <c:pt idx="6">
                  <c:v>138942</c:v>
                </c:pt>
                <c:pt idx="7">
                  <c:v>174292</c:v>
                </c:pt>
                <c:pt idx="8">
                  <c:v>78083</c:v>
                </c:pt>
                <c:pt idx="9">
                  <c:v>68230</c:v>
                </c:pt>
                <c:pt idx="10">
                  <c:v>82434</c:v>
                </c:pt>
                <c:pt idx="11">
                  <c:v>81323</c:v>
                </c:pt>
              </c:numCache>
            </c:numRef>
          </c:val>
          <c:smooth val="0"/>
        </c:ser>
        <c:dLbls>
          <c:showLegendKey val="0"/>
          <c:showVal val="0"/>
          <c:showCatName val="0"/>
          <c:showSerName val="0"/>
          <c:showPercent val="0"/>
          <c:showBubbleSize val="0"/>
        </c:dLbls>
        <c:marker val="1"/>
        <c:smooth val="0"/>
        <c:axId val="1674567264"/>
        <c:axId val="1469053968"/>
      </c:lineChart>
      <c:catAx>
        <c:axId val="1674567264"/>
        <c:scaling>
          <c:orientation val="minMax"/>
        </c:scaling>
        <c:delete val="0"/>
        <c:axPos val="b"/>
        <c:numFmt formatCode="General" sourceLinked="0"/>
        <c:majorTickMark val="out"/>
        <c:minorTickMark val="none"/>
        <c:tickLblPos val="nextTo"/>
        <c:txPr>
          <a:bodyPr/>
          <a:lstStyle/>
          <a:p>
            <a:pPr>
              <a:defRPr>
                <a:latin typeface="+mj-lt"/>
              </a:defRPr>
            </a:pPr>
            <a:endParaRPr lang="ro-RO"/>
          </a:p>
        </c:txPr>
        <c:crossAx val="1469053968"/>
        <c:crosses val="autoZero"/>
        <c:auto val="1"/>
        <c:lblAlgn val="ctr"/>
        <c:lblOffset val="100"/>
        <c:noMultiLvlLbl val="0"/>
      </c:catAx>
      <c:valAx>
        <c:axId val="1469053968"/>
        <c:scaling>
          <c:orientation val="minMax"/>
          <c:max val="200000"/>
          <c:min val="20000"/>
        </c:scaling>
        <c:delete val="1"/>
        <c:axPos val="l"/>
        <c:numFmt formatCode="#,##0" sourceLinked="1"/>
        <c:majorTickMark val="out"/>
        <c:minorTickMark val="none"/>
        <c:tickLblPos val="nextTo"/>
        <c:crossAx val="1674567264"/>
        <c:crosses val="autoZero"/>
        <c:crossBetween val="between"/>
      </c:valAx>
    </c:plotArea>
    <c:legend>
      <c:legendPos val="b"/>
      <c:overlay val="0"/>
      <c:txPr>
        <a:bodyPr/>
        <a:lstStyle/>
        <a:p>
          <a:pPr>
            <a:defRPr sz="900">
              <a:latin typeface="+mj-lt"/>
            </a:defRPr>
          </a:pPr>
          <a:endParaRPr lang="ro-RO"/>
        </a:p>
      </c:txPr>
    </c:legend>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Sheet1!$C$64</c:f>
              <c:strCache>
                <c:ptCount val="1"/>
                <c:pt idx="0">
                  <c:v>Valoare tranzacții TGN în 2016 - mil. lei</c:v>
                </c:pt>
              </c:strCache>
            </c:strRef>
          </c:tx>
          <c:spPr>
            <a:ln w="22225"/>
          </c:spPr>
          <c:dLbls>
            <c:dLbl>
              <c:idx val="1"/>
              <c:layout>
                <c:manualLayout>
                  <c:x val="-2.5615141955835981E-2"/>
                  <c:y val="-7.5363708434574572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8233438485804419E-2"/>
                  <c:y val="6.12564281855620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9.2912723449001047E-2"/>
                  <c:y val="-3.972367279453893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3.7639751552795031E-2"/>
                  <c:y val="-7.68847644044494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3.4027339642481599E-2"/>
                  <c:y val="6.12564281855620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3.4027339642481599E-2"/>
                  <c:y val="4.937641630555016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2.3587438005580531E-2"/>
                  <c:y val="5.531642224555610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solidFill>
                      <a:srgbClr val="0070C0"/>
                    </a:solidFill>
                    <a:latin typeface="+mj-lt"/>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Sheet1!$B$65:$B$76</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Sheet1!$C$65:$C$76</c:f>
              <c:numCache>
                <c:formatCode>###,000</c:formatCode>
                <c:ptCount val="12"/>
                <c:pt idx="0">
                  <c:v>32.219804000000003</c:v>
                </c:pt>
                <c:pt idx="1">
                  <c:v>29.351628000000002</c:v>
                </c:pt>
                <c:pt idx="2">
                  <c:v>17.243918000000001</c:v>
                </c:pt>
                <c:pt idx="3">
                  <c:v>42.400750000000002</c:v>
                </c:pt>
                <c:pt idx="4">
                  <c:v>32.743004999999997</c:v>
                </c:pt>
                <c:pt idx="5">
                  <c:v>49.344434</c:v>
                </c:pt>
                <c:pt idx="6">
                  <c:v>13.402335000000001</c:v>
                </c:pt>
                <c:pt idx="7">
                  <c:v>22.509675000000001</c:v>
                </c:pt>
                <c:pt idx="8">
                  <c:v>11.438082</c:v>
                </c:pt>
                <c:pt idx="9">
                  <c:v>16.281728999999999</c:v>
                </c:pt>
                <c:pt idx="10">
                  <c:v>16.069140000000001</c:v>
                </c:pt>
                <c:pt idx="11">
                  <c:v>16.260000000000002</c:v>
                </c:pt>
              </c:numCache>
            </c:numRef>
          </c:val>
          <c:smooth val="0"/>
        </c:ser>
        <c:ser>
          <c:idx val="1"/>
          <c:order val="1"/>
          <c:tx>
            <c:strRef>
              <c:f>Sheet1!$D$64</c:f>
              <c:strCache>
                <c:ptCount val="1"/>
                <c:pt idx="0">
                  <c:v>Valoare tranzacții TGN în 2015 - mil. lei</c:v>
                </c:pt>
              </c:strCache>
            </c:strRef>
          </c:tx>
          <c:spPr>
            <a:ln w="22225"/>
          </c:spPr>
          <c:dLbls>
            <c:dLbl>
              <c:idx val="1"/>
              <c:layout>
                <c:manualLayout>
                  <c:x val="-6.3470031545741351E-2"/>
                  <c:y val="6.719643412556798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3.8233438485804419E-2"/>
                  <c:y val="0.15035651728565114"/>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1.930599369085189E-2"/>
                  <c:y val="-0.1110037440746102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solidFill>
                      <a:srgbClr val="C00000"/>
                    </a:solidFill>
                    <a:latin typeface="+mj-lt"/>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Sheet1!$B$65:$B$76</c:f>
              <c:strCache>
                <c:ptCount val="12"/>
                <c:pt idx="0">
                  <c:v>ian</c:v>
                </c:pt>
                <c:pt idx="1">
                  <c:v>feb</c:v>
                </c:pt>
                <c:pt idx="2">
                  <c:v>mar</c:v>
                </c:pt>
                <c:pt idx="3">
                  <c:v>apr</c:v>
                </c:pt>
                <c:pt idx="4">
                  <c:v>mai</c:v>
                </c:pt>
                <c:pt idx="5">
                  <c:v>iun</c:v>
                </c:pt>
                <c:pt idx="6">
                  <c:v>iul</c:v>
                </c:pt>
                <c:pt idx="7">
                  <c:v>aug</c:v>
                </c:pt>
                <c:pt idx="8">
                  <c:v>sept</c:v>
                </c:pt>
                <c:pt idx="9">
                  <c:v>oct</c:v>
                </c:pt>
                <c:pt idx="10">
                  <c:v>nov</c:v>
                </c:pt>
                <c:pt idx="11">
                  <c:v>dec</c:v>
                </c:pt>
              </c:strCache>
            </c:strRef>
          </c:cat>
          <c:val>
            <c:numRef>
              <c:f>Sheet1!$D$65:$D$76</c:f>
              <c:numCache>
                <c:formatCode>###,000</c:formatCode>
                <c:ptCount val="12"/>
                <c:pt idx="0">
                  <c:v>42.213188150000001</c:v>
                </c:pt>
                <c:pt idx="1">
                  <c:v>26.097171499999995</c:v>
                </c:pt>
                <c:pt idx="2">
                  <c:v>21.816234850000001</c:v>
                </c:pt>
                <c:pt idx="3">
                  <c:v>29.175290200000006</c:v>
                </c:pt>
                <c:pt idx="4">
                  <c:v>20.149663100000001</c:v>
                </c:pt>
                <c:pt idx="5">
                  <c:v>39.372565099999996</c:v>
                </c:pt>
                <c:pt idx="6">
                  <c:v>37.274048799999996</c:v>
                </c:pt>
                <c:pt idx="7">
                  <c:v>47.616863299999991</c:v>
                </c:pt>
                <c:pt idx="8">
                  <c:v>20.492972950000002</c:v>
                </c:pt>
                <c:pt idx="9">
                  <c:v>17.865112</c:v>
                </c:pt>
                <c:pt idx="10">
                  <c:v>21.748072000000001</c:v>
                </c:pt>
                <c:pt idx="11">
                  <c:v>22.246236</c:v>
                </c:pt>
              </c:numCache>
            </c:numRef>
          </c:val>
          <c:smooth val="0"/>
        </c:ser>
        <c:dLbls>
          <c:showLegendKey val="0"/>
          <c:showVal val="0"/>
          <c:showCatName val="0"/>
          <c:showSerName val="0"/>
          <c:showPercent val="0"/>
          <c:showBubbleSize val="0"/>
        </c:dLbls>
        <c:marker val="1"/>
        <c:smooth val="0"/>
        <c:axId val="1469064304"/>
        <c:axId val="1469052336"/>
      </c:lineChart>
      <c:catAx>
        <c:axId val="1469064304"/>
        <c:scaling>
          <c:orientation val="minMax"/>
        </c:scaling>
        <c:delete val="0"/>
        <c:axPos val="b"/>
        <c:numFmt formatCode="General" sourceLinked="0"/>
        <c:majorTickMark val="out"/>
        <c:minorTickMark val="none"/>
        <c:tickLblPos val="nextTo"/>
        <c:crossAx val="1469052336"/>
        <c:crosses val="autoZero"/>
        <c:auto val="1"/>
        <c:lblAlgn val="ctr"/>
        <c:lblOffset val="100"/>
        <c:noMultiLvlLbl val="0"/>
      </c:catAx>
      <c:valAx>
        <c:axId val="1469052336"/>
        <c:scaling>
          <c:orientation val="minMax"/>
          <c:max val="50"/>
          <c:min val="10"/>
        </c:scaling>
        <c:delete val="1"/>
        <c:axPos val="l"/>
        <c:numFmt formatCode="#,##0" sourceLinked="0"/>
        <c:majorTickMark val="out"/>
        <c:minorTickMark val="none"/>
        <c:tickLblPos val="nextTo"/>
        <c:crossAx val="1469064304"/>
        <c:crosses val="autoZero"/>
        <c:crossBetween val="between"/>
      </c:valAx>
    </c:plotArea>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222222222222221E-2"/>
          <c:y val="2.1529033008804929E-2"/>
          <c:w val="0.93888888888888888"/>
          <c:h val="0.72810160020320036"/>
        </c:manualLayout>
      </c:layout>
      <c:barChart>
        <c:barDir val="col"/>
        <c:grouping val="stacked"/>
        <c:varyColors val="0"/>
        <c:ser>
          <c:idx val="0"/>
          <c:order val="0"/>
          <c:tx>
            <c:strRef>
              <c:f>Sheet1!$C$9</c:f>
              <c:strCache>
                <c:ptCount val="1"/>
                <c:pt idx="0">
                  <c:v>milioane Lei</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Sheet1!$B$10:$B$11</c:f>
              <c:numCache>
                <c:formatCode>m/d/yyyy</c:formatCode>
                <c:ptCount val="2"/>
                <c:pt idx="0">
                  <c:v>42735</c:v>
                </c:pt>
                <c:pt idx="1">
                  <c:v>42369</c:v>
                </c:pt>
              </c:numCache>
            </c:numRef>
          </c:cat>
          <c:val>
            <c:numRef>
              <c:f>Sheet1!$C$10:$C$11</c:f>
              <c:numCache>
                <c:formatCode>#,##0</c:formatCode>
                <c:ptCount val="2"/>
                <c:pt idx="0">
                  <c:v>3461</c:v>
                </c:pt>
                <c:pt idx="1">
                  <c:v>3261</c:v>
                </c:pt>
              </c:numCache>
            </c:numRef>
          </c:val>
        </c:ser>
        <c:ser>
          <c:idx val="1"/>
          <c:order val="1"/>
          <c:tx>
            <c:strRef>
              <c:f>Sheet1!$D$9</c:f>
              <c:strCache>
                <c:ptCount val="1"/>
                <c:pt idx="0">
                  <c:v>milioane EURO</c:v>
                </c:pt>
              </c:strCache>
            </c:strRef>
          </c:tx>
          <c:spPr>
            <a:solidFill>
              <a:sysClr val="window" lastClr="FFFFFF">
                <a:lumMod val="8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Sheet1!$B$10:$B$11</c:f>
              <c:numCache>
                <c:formatCode>m/d/yyyy</c:formatCode>
                <c:ptCount val="2"/>
                <c:pt idx="0">
                  <c:v>42735</c:v>
                </c:pt>
                <c:pt idx="1">
                  <c:v>42369</c:v>
                </c:pt>
              </c:numCache>
            </c:numRef>
          </c:cat>
          <c:val>
            <c:numRef>
              <c:f>Sheet1!$D$10:$D$11</c:f>
              <c:numCache>
                <c:formatCode>#,##0</c:formatCode>
                <c:ptCount val="2"/>
                <c:pt idx="0">
                  <c:v>762</c:v>
                </c:pt>
                <c:pt idx="1">
                  <c:v>720</c:v>
                </c:pt>
              </c:numCache>
            </c:numRef>
          </c:val>
        </c:ser>
        <c:dLbls>
          <c:showLegendKey val="0"/>
          <c:showVal val="0"/>
          <c:showCatName val="0"/>
          <c:showSerName val="0"/>
          <c:showPercent val="0"/>
          <c:showBubbleSize val="0"/>
        </c:dLbls>
        <c:gapWidth val="150"/>
        <c:overlap val="100"/>
        <c:axId val="1469066480"/>
        <c:axId val="1602131584"/>
      </c:barChart>
      <c:catAx>
        <c:axId val="1469066480"/>
        <c:scaling>
          <c:orientation val="minMax"/>
          <c:max val="2"/>
          <c:min val="1"/>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602131584"/>
        <c:crosses val="autoZero"/>
        <c:auto val="0"/>
        <c:lblAlgn val="ctr"/>
        <c:lblOffset val="100"/>
        <c:noMultiLvlLbl val="0"/>
      </c:catAx>
      <c:valAx>
        <c:axId val="1602131584"/>
        <c:scaling>
          <c:orientation val="minMax"/>
        </c:scaling>
        <c:delete val="1"/>
        <c:axPos val="l"/>
        <c:numFmt formatCode="#,##0" sourceLinked="1"/>
        <c:majorTickMark val="none"/>
        <c:minorTickMark val="none"/>
        <c:tickLblPos val="nextTo"/>
        <c:crossAx val="1469066480"/>
        <c:crosses val="autoZero"/>
        <c:crossBetween val="between"/>
      </c:valAx>
      <c:spPr>
        <a:noFill/>
        <a:ln>
          <a:noFill/>
        </a:ln>
        <a:effectLst/>
      </c:spPr>
    </c:plotArea>
    <c:legend>
      <c:legendPos val="b"/>
      <c:layout>
        <c:manualLayout>
          <c:xMode val="edge"/>
          <c:yMode val="edge"/>
          <c:x val="0.31003823920807488"/>
          <c:y val="0.89864793927786057"/>
          <c:w val="0.37992352158385012"/>
          <c:h val="0.101352060722139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noFill/>
    <a:ln w="9525" cap="flat" cmpd="sng" algn="ctr">
      <a:noFill/>
      <a:round/>
    </a:ln>
    <a:effectLst/>
  </c:spPr>
  <c:txPr>
    <a:bodyPr/>
    <a:lstStyle/>
    <a:p>
      <a:pPr>
        <a:defRPr/>
      </a:pPr>
      <a:endParaRPr lang="ro-RO"/>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Sheet1!$C$94</c:f>
              <c:strCache>
                <c:ptCount val="1"/>
                <c:pt idx="0">
                  <c:v>Număr acționari</c:v>
                </c:pt>
              </c:strCache>
            </c:strRef>
          </c:tx>
          <c:dLbls>
            <c:numFmt formatCode="#,##0" sourceLinked="0"/>
            <c:spPr>
              <a:noFill/>
              <a:ln>
                <a:noFill/>
              </a:ln>
            </c:spPr>
            <c:txPr>
              <a:bodyPr/>
              <a:lstStyle/>
              <a:p>
                <a:pPr>
                  <a:defRPr sz="900">
                    <a:latin typeface="+mj-lt"/>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Sheet1!$B$95:$B$105</c:f>
              <c:numCache>
                <c:formatCode>m/d/yyyy</c:formatCode>
                <c:ptCount val="9"/>
                <c:pt idx="0">
                  <c:v>39813</c:v>
                </c:pt>
                <c:pt idx="1">
                  <c:v>40178</c:v>
                </c:pt>
                <c:pt idx="2">
                  <c:v>40543</c:v>
                </c:pt>
                <c:pt idx="3">
                  <c:v>40908</c:v>
                </c:pt>
                <c:pt idx="4">
                  <c:v>41278</c:v>
                </c:pt>
                <c:pt idx="5">
                  <c:v>41639</c:v>
                </c:pt>
                <c:pt idx="6">
                  <c:v>42004</c:v>
                </c:pt>
                <c:pt idx="7">
                  <c:v>42369</c:v>
                </c:pt>
                <c:pt idx="8">
                  <c:v>42735</c:v>
                </c:pt>
              </c:numCache>
            </c:numRef>
          </c:cat>
          <c:val>
            <c:numRef>
              <c:f>Sheet1!$C$95:$C$105</c:f>
              <c:numCache>
                <c:formatCode>General</c:formatCode>
                <c:ptCount val="9"/>
                <c:pt idx="0">
                  <c:v>9334</c:v>
                </c:pt>
                <c:pt idx="1">
                  <c:v>8389</c:v>
                </c:pt>
                <c:pt idx="2">
                  <c:v>7204</c:v>
                </c:pt>
                <c:pt idx="3">
                  <c:v>7181</c:v>
                </c:pt>
                <c:pt idx="4">
                  <c:v>7078</c:v>
                </c:pt>
                <c:pt idx="5">
                  <c:v>8496</c:v>
                </c:pt>
                <c:pt idx="6">
                  <c:v>8226</c:v>
                </c:pt>
                <c:pt idx="7">
                  <c:v>7964</c:v>
                </c:pt>
                <c:pt idx="8">
                  <c:v>7619</c:v>
                </c:pt>
              </c:numCache>
            </c:numRef>
          </c:val>
          <c:smooth val="0"/>
        </c:ser>
        <c:dLbls>
          <c:showLegendKey val="0"/>
          <c:showVal val="0"/>
          <c:showCatName val="0"/>
          <c:showSerName val="0"/>
          <c:showPercent val="0"/>
          <c:showBubbleSize val="0"/>
        </c:dLbls>
        <c:marker val="1"/>
        <c:smooth val="0"/>
        <c:axId val="1602132672"/>
        <c:axId val="1467785488"/>
      </c:lineChart>
      <c:catAx>
        <c:axId val="1602132672"/>
        <c:scaling>
          <c:orientation val="minMax"/>
        </c:scaling>
        <c:delete val="0"/>
        <c:axPos val="b"/>
        <c:numFmt formatCode="m/d/yyyy" sourceLinked="1"/>
        <c:majorTickMark val="out"/>
        <c:minorTickMark val="none"/>
        <c:tickLblPos val="nextTo"/>
        <c:txPr>
          <a:bodyPr/>
          <a:lstStyle/>
          <a:p>
            <a:pPr>
              <a:defRPr sz="900">
                <a:latin typeface="+mj-lt"/>
              </a:defRPr>
            </a:pPr>
            <a:endParaRPr lang="ro-RO"/>
          </a:p>
        </c:txPr>
        <c:crossAx val="1467785488"/>
        <c:crosses val="autoZero"/>
        <c:auto val="0"/>
        <c:lblAlgn val="ctr"/>
        <c:lblOffset val="100"/>
        <c:noMultiLvlLbl val="0"/>
      </c:catAx>
      <c:valAx>
        <c:axId val="1467785488"/>
        <c:scaling>
          <c:orientation val="minMax"/>
          <c:max val="10000"/>
          <c:min val="6000"/>
        </c:scaling>
        <c:delete val="1"/>
        <c:axPos val="l"/>
        <c:numFmt formatCode="General" sourceLinked="1"/>
        <c:majorTickMark val="out"/>
        <c:minorTickMark val="none"/>
        <c:tickLblPos val="nextTo"/>
        <c:crossAx val="1602132672"/>
        <c:crosses val="autoZero"/>
        <c:crossBetween val="between"/>
      </c:valAx>
    </c:plotArea>
    <c:legend>
      <c:legendPos val="b"/>
      <c:overlay val="0"/>
      <c:txPr>
        <a:bodyPr/>
        <a:lstStyle/>
        <a:p>
          <a:pPr>
            <a:defRPr>
              <a:latin typeface="+mj-lt"/>
            </a:defRPr>
          </a:pPr>
          <a:endParaRPr lang="ro-RO"/>
        </a:p>
      </c:txPr>
    </c:legend>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784901064338058"/>
          <c:y val="0.15134636878524155"/>
          <c:w val="0.37978952768247859"/>
          <c:h val="0.74231599040550555"/>
        </c:manualLayout>
      </c:layout>
      <c:doughnutChart>
        <c:varyColors val="1"/>
        <c:ser>
          <c:idx val="0"/>
          <c:order val="0"/>
          <c:explosion val="14"/>
          <c:dPt>
            <c:idx val="0"/>
            <c:bubble3D val="0"/>
            <c:spPr>
              <a:solidFill>
                <a:schemeClr val="accent5">
                  <a:lumMod val="40000"/>
                  <a:lumOff val="60000"/>
                </a:schemeClr>
              </a:solidFill>
              <a:ln w="19050">
                <a:solidFill>
                  <a:schemeClr val="lt1"/>
                </a:solidFill>
              </a:ln>
              <a:effectLst/>
            </c:spPr>
          </c:dPt>
          <c:dPt>
            <c:idx val="1"/>
            <c:bubble3D val="0"/>
            <c:spPr>
              <a:solidFill>
                <a:schemeClr val="accent5">
                  <a:lumMod val="75000"/>
                </a:schemeClr>
              </a:solidFill>
              <a:ln w="19050">
                <a:solidFill>
                  <a:schemeClr val="lt1"/>
                </a:solidFill>
              </a:ln>
              <a:effectLst/>
            </c:spPr>
          </c:dPt>
          <c:dPt>
            <c:idx val="2"/>
            <c:bubble3D val="0"/>
            <c:spPr>
              <a:solidFill>
                <a:schemeClr val="bg1">
                  <a:lumMod val="75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in Microsoft Word]Sheet1'!$B$557:$B$559</c:f>
              <c:strCache>
                <c:ptCount val="3"/>
                <c:pt idx="0">
                  <c:v>Neutral news</c:v>
                </c:pt>
                <c:pt idx="1">
                  <c:v>Positive news</c:v>
                </c:pt>
                <c:pt idx="2">
                  <c:v>Negative news</c:v>
                </c:pt>
              </c:strCache>
            </c:strRef>
          </c:cat>
          <c:val>
            <c:numRef>
              <c:f>'[Chart in Microsoft Word]Sheet1'!$D$557:$D$559</c:f>
              <c:numCache>
                <c:formatCode>0%</c:formatCode>
                <c:ptCount val="3"/>
                <c:pt idx="0">
                  <c:v>0.53</c:v>
                </c:pt>
                <c:pt idx="1">
                  <c:v>0.42345276872964172</c:v>
                </c:pt>
                <c:pt idx="2">
                  <c:v>5.2117263843648211E-2</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layout>
        <c:manualLayout>
          <c:xMode val="edge"/>
          <c:yMode val="edge"/>
          <c:x val="0.18267534283929196"/>
          <c:y val="0.88153110047846894"/>
          <c:w val="0.64117726125897367"/>
          <c:h val="0.107656255886674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666666666666664E-2"/>
          <c:y val="2.6709096596086116E-3"/>
          <c:w val="0.93888888888888888"/>
          <c:h val="0.73577136191309422"/>
        </c:manualLayout>
      </c:layout>
      <c:barChart>
        <c:barDir val="col"/>
        <c:grouping val="stacked"/>
        <c:varyColors val="0"/>
        <c:ser>
          <c:idx val="0"/>
          <c:order val="0"/>
          <c:tx>
            <c:strRef>
              <c:f>'[Chart 2 in Microsoft Word]Sheet1'!$B$568</c:f>
              <c:strCache>
                <c:ptCount val="1"/>
                <c:pt idx="0">
                  <c:v>Neutral news</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Word]Sheet1'!$C$567:$N$567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'[Chart 2 in Microsoft Word]Sheet1'!$C$568:$N$568</c:f>
              <c:numCache>
                <c:formatCode>General</c:formatCode>
                <c:ptCount val="12"/>
                <c:pt idx="0">
                  <c:v>11</c:v>
                </c:pt>
                <c:pt idx="1">
                  <c:v>13</c:v>
                </c:pt>
                <c:pt idx="2">
                  <c:v>5</c:v>
                </c:pt>
                <c:pt idx="3">
                  <c:v>8</c:v>
                </c:pt>
                <c:pt idx="4">
                  <c:v>10</c:v>
                </c:pt>
                <c:pt idx="5">
                  <c:v>17</c:v>
                </c:pt>
                <c:pt idx="6">
                  <c:v>16</c:v>
                </c:pt>
                <c:pt idx="7">
                  <c:v>16</c:v>
                </c:pt>
                <c:pt idx="8">
                  <c:v>9</c:v>
                </c:pt>
                <c:pt idx="9">
                  <c:v>11</c:v>
                </c:pt>
                <c:pt idx="10">
                  <c:v>7</c:v>
                </c:pt>
                <c:pt idx="11">
                  <c:v>7</c:v>
                </c:pt>
              </c:numCache>
            </c:numRef>
          </c:val>
        </c:ser>
        <c:ser>
          <c:idx val="1"/>
          <c:order val="1"/>
          <c:tx>
            <c:strRef>
              <c:f>'[Chart 2 in Microsoft Word]Sheet1'!$B$569</c:f>
              <c:strCache>
                <c:ptCount val="1"/>
                <c:pt idx="0">
                  <c:v>Positive news</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Word]Sheet1'!$C$567:$N$567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'[Chart 2 in Microsoft Word]Sheet1'!$C$569:$N$569</c:f>
              <c:numCache>
                <c:formatCode>General</c:formatCode>
                <c:ptCount val="12"/>
                <c:pt idx="0">
                  <c:v>2</c:v>
                </c:pt>
                <c:pt idx="1">
                  <c:v>6</c:v>
                </c:pt>
                <c:pt idx="2">
                  <c:v>1</c:v>
                </c:pt>
                <c:pt idx="3">
                  <c:v>1</c:v>
                </c:pt>
                <c:pt idx="4">
                  <c:v>2</c:v>
                </c:pt>
                <c:pt idx="5">
                  <c:v>0</c:v>
                </c:pt>
                <c:pt idx="6">
                  <c:v>0</c:v>
                </c:pt>
                <c:pt idx="7">
                  <c:v>3</c:v>
                </c:pt>
                <c:pt idx="8">
                  <c:v>1</c:v>
                </c:pt>
                <c:pt idx="9">
                  <c:v>0</c:v>
                </c:pt>
                <c:pt idx="10">
                  <c:v>0</c:v>
                </c:pt>
                <c:pt idx="11">
                  <c:v>0</c:v>
                </c:pt>
              </c:numCache>
            </c:numRef>
          </c:val>
        </c:ser>
        <c:ser>
          <c:idx val="2"/>
          <c:order val="2"/>
          <c:tx>
            <c:strRef>
              <c:f>'[Chart 2 in Microsoft Word]Sheet1'!$B$570</c:f>
              <c:strCache>
                <c:ptCount val="1"/>
                <c:pt idx="0">
                  <c:v>Negative news</c:v>
                </c:pt>
              </c:strCache>
            </c:strRef>
          </c:tx>
          <c:spPr>
            <a:solidFill>
              <a:schemeClr val="accent5">
                <a:lumMod val="40000"/>
                <a:lumOff val="60000"/>
              </a:schemeClr>
            </a:solidFill>
            <a:ln>
              <a:noFill/>
            </a:ln>
            <a:effectLst/>
          </c:spPr>
          <c:invertIfNegative val="0"/>
          <c:dLbls>
            <c:dLbl>
              <c:idx val="5"/>
              <c:layout>
                <c:manualLayout>
                  <c:x val="-1.0185067526415994E-16"/>
                  <c:y val="-2.07253886010363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Word]Sheet1'!$C$567:$N$567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'[Chart 2 in Microsoft Word]Sheet1'!$C$570:$N$570</c:f>
              <c:numCache>
                <c:formatCode>General</c:formatCode>
                <c:ptCount val="12"/>
                <c:pt idx="0">
                  <c:v>13</c:v>
                </c:pt>
                <c:pt idx="1">
                  <c:v>21</c:v>
                </c:pt>
                <c:pt idx="2">
                  <c:v>24</c:v>
                </c:pt>
                <c:pt idx="3">
                  <c:v>12</c:v>
                </c:pt>
                <c:pt idx="4">
                  <c:v>11</c:v>
                </c:pt>
                <c:pt idx="5">
                  <c:v>5</c:v>
                </c:pt>
                <c:pt idx="6">
                  <c:v>18</c:v>
                </c:pt>
                <c:pt idx="7">
                  <c:v>19</c:v>
                </c:pt>
                <c:pt idx="8">
                  <c:v>15</c:v>
                </c:pt>
                <c:pt idx="9">
                  <c:v>9</c:v>
                </c:pt>
                <c:pt idx="10">
                  <c:v>7</c:v>
                </c:pt>
                <c:pt idx="11">
                  <c:v>7</c:v>
                </c:pt>
              </c:numCache>
            </c:numRef>
          </c:val>
        </c:ser>
        <c:dLbls>
          <c:showLegendKey val="0"/>
          <c:showVal val="1"/>
          <c:showCatName val="0"/>
          <c:showSerName val="0"/>
          <c:showPercent val="0"/>
          <c:showBubbleSize val="0"/>
        </c:dLbls>
        <c:gapWidth val="95"/>
        <c:overlap val="100"/>
        <c:axId val="36493264"/>
        <c:axId val="36480752"/>
      </c:barChart>
      <c:catAx>
        <c:axId val="364932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36480752"/>
        <c:crosses val="autoZero"/>
        <c:auto val="1"/>
        <c:lblAlgn val="ctr"/>
        <c:lblOffset val="100"/>
        <c:noMultiLvlLbl val="0"/>
      </c:catAx>
      <c:valAx>
        <c:axId val="36480752"/>
        <c:scaling>
          <c:orientation val="minMax"/>
        </c:scaling>
        <c:delete val="1"/>
        <c:axPos val="l"/>
        <c:numFmt formatCode="General" sourceLinked="1"/>
        <c:majorTickMark val="none"/>
        <c:minorTickMark val="none"/>
        <c:tickLblPos val="nextTo"/>
        <c:crossAx val="36493264"/>
        <c:crosses val="autoZero"/>
        <c:crossBetween val="between"/>
      </c:valAx>
      <c:spPr>
        <a:noFill/>
        <a:ln>
          <a:noFill/>
        </a:ln>
        <a:effectLst/>
      </c:spPr>
    </c:plotArea>
    <c:legend>
      <c:legendPos val="t"/>
      <c:layout>
        <c:manualLayout>
          <c:xMode val="edge"/>
          <c:yMode val="edge"/>
          <c:x val="0.23827821522309711"/>
          <c:y val="0.92129629629629628"/>
          <c:w val="0.54566557305336838"/>
          <c:h val="7.87036883547451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666666666666664E-2"/>
          <c:y val="3.5389353090412044E-2"/>
          <c:w val="0.93888888888888888"/>
          <c:h val="0.45529180871942437"/>
        </c:manualLayout>
      </c:layout>
      <c:barChart>
        <c:barDir val="col"/>
        <c:grouping val="clustered"/>
        <c:varyColors val="0"/>
        <c:ser>
          <c:idx val="0"/>
          <c:order val="0"/>
          <c:spPr>
            <a:solidFill>
              <a:schemeClr val="accent1"/>
            </a:solidFill>
            <a:ln>
              <a:noFill/>
            </a:ln>
            <a:effectLst/>
          </c:spPr>
          <c:invertIfNegative val="0"/>
          <c:dPt>
            <c:idx val="1"/>
            <c:invertIfNegative val="0"/>
            <c:bubble3D val="0"/>
            <c:spPr>
              <a:solidFill>
                <a:schemeClr val="accent1">
                  <a:lumMod val="50000"/>
                </a:schemeClr>
              </a:solidFill>
              <a:ln>
                <a:noFill/>
              </a:ln>
              <a:effectLst/>
            </c:spPr>
          </c:dPt>
          <c:dPt>
            <c:idx val="2"/>
            <c:invertIfNegative val="0"/>
            <c:bubble3D val="0"/>
            <c:spPr>
              <a:solidFill>
                <a:schemeClr val="bg1">
                  <a:lumMod val="50000"/>
                </a:schemeClr>
              </a:solidFill>
              <a:ln>
                <a:noFill/>
              </a:ln>
              <a:effectLst/>
            </c:spPr>
          </c:dPt>
          <c:dPt>
            <c:idx val="3"/>
            <c:invertIfNegative val="0"/>
            <c:bubble3D val="0"/>
            <c:spPr>
              <a:solidFill>
                <a:schemeClr val="bg1">
                  <a:lumMod val="85000"/>
                </a:schemeClr>
              </a:solidFill>
              <a:ln>
                <a:noFill/>
              </a:ln>
              <a:effectLst/>
            </c:spPr>
          </c:dPt>
          <c:dPt>
            <c:idx val="4"/>
            <c:invertIfNegative val="0"/>
            <c:bubble3D val="0"/>
            <c:spPr>
              <a:solidFill>
                <a:srgbClr val="BDD5C2"/>
              </a:solidFill>
              <a:ln>
                <a:noFill/>
              </a:ln>
              <a:effectLst/>
            </c:spPr>
          </c:dPt>
          <c:dPt>
            <c:idx val="5"/>
            <c:invertIfNegative val="0"/>
            <c:bubble3D val="0"/>
            <c:spPr>
              <a:solidFill>
                <a:srgbClr val="3865B6"/>
              </a:solidFill>
              <a:ln>
                <a:noFill/>
              </a:ln>
              <a:effectLst/>
            </c:spPr>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2 in Microsoft Word]Sheet1'!$C$45:$H$45</c:f>
              <c:strCache>
                <c:ptCount val="6"/>
                <c:pt idx="0">
                  <c:v>Investments</c:v>
                </c:pt>
                <c:pt idx="1">
                  <c:v>Financial results</c:v>
                </c:pt>
                <c:pt idx="2">
                  <c:v>EU grants</c:v>
                </c:pt>
                <c:pt idx="3">
                  <c:v>Capital market</c:v>
                </c:pt>
                <c:pt idx="4">
                  <c:v>Development plan</c:v>
                </c:pt>
                <c:pt idx="5">
                  <c:v>Others</c:v>
                </c:pt>
              </c:strCache>
            </c:strRef>
          </c:cat>
          <c:val>
            <c:numRef>
              <c:f>'[Chart 2 in Microsoft Word]Sheet1'!$C$46:$H$46</c:f>
              <c:numCache>
                <c:formatCode>General</c:formatCode>
                <c:ptCount val="6"/>
                <c:pt idx="0">
                  <c:v>7</c:v>
                </c:pt>
                <c:pt idx="1">
                  <c:v>30</c:v>
                </c:pt>
                <c:pt idx="2">
                  <c:v>11</c:v>
                </c:pt>
                <c:pt idx="3">
                  <c:v>32</c:v>
                </c:pt>
                <c:pt idx="4">
                  <c:v>107</c:v>
                </c:pt>
                <c:pt idx="5">
                  <c:v>120</c:v>
                </c:pt>
              </c:numCache>
            </c:numRef>
          </c:val>
        </c:ser>
        <c:dLbls>
          <c:showLegendKey val="0"/>
          <c:showVal val="1"/>
          <c:showCatName val="0"/>
          <c:showSerName val="0"/>
          <c:showPercent val="0"/>
          <c:showBubbleSize val="0"/>
        </c:dLbls>
        <c:gapWidth val="150"/>
        <c:overlap val="-25"/>
        <c:axId val="36482928"/>
        <c:axId val="36492176"/>
      </c:barChart>
      <c:catAx>
        <c:axId val="36482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36492176"/>
        <c:crosses val="autoZero"/>
        <c:auto val="1"/>
        <c:lblAlgn val="ctr"/>
        <c:lblOffset val="100"/>
        <c:noMultiLvlLbl val="0"/>
      </c:catAx>
      <c:valAx>
        <c:axId val="36492176"/>
        <c:scaling>
          <c:orientation val="minMax"/>
        </c:scaling>
        <c:delete val="1"/>
        <c:axPos val="l"/>
        <c:numFmt formatCode="General" sourceLinked="1"/>
        <c:majorTickMark val="none"/>
        <c:minorTickMark val="none"/>
        <c:tickLblPos val="nextTo"/>
        <c:crossAx val="36482928"/>
        <c:crosses val="autoZero"/>
        <c:crossBetween val="between"/>
      </c:valAx>
      <c:spPr>
        <a:noFill/>
        <a:ln>
          <a:noFill/>
        </a:ln>
        <a:effectLst/>
      </c:spPr>
    </c:plotArea>
    <c:legend>
      <c:legendPos val="t"/>
      <c:legendEntry>
        <c:idx val="3"/>
        <c:delete val="1"/>
      </c:legendEntry>
      <c:layout>
        <c:manualLayout>
          <c:xMode val="edge"/>
          <c:yMode val="edge"/>
          <c:x val="0.12295166229221345"/>
          <c:y val="0.62972071674369867"/>
          <c:w val="0.72076312335958004"/>
          <c:h val="0.218539281022460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164021804966683E-2"/>
          <c:y val="3.5080887616320687E-2"/>
          <c:w val="0.93888888888888888"/>
          <c:h val="0.6207881651157241"/>
        </c:manualLayout>
      </c:layout>
      <c:barChart>
        <c:barDir val="col"/>
        <c:grouping val="stacked"/>
        <c:varyColors val="0"/>
        <c:ser>
          <c:idx val="0"/>
          <c:order val="0"/>
          <c:tx>
            <c:strRef>
              <c:f>Sheet1!$C$64</c:f>
              <c:strCache>
                <c:ptCount val="1"/>
                <c:pt idx="0">
                  <c:v>Investments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Sheet1!$D$64:$O$64</c:f>
              <c:numCache>
                <c:formatCode>General</c:formatCode>
                <c:ptCount val="12"/>
                <c:pt idx="7">
                  <c:v>2</c:v>
                </c:pt>
                <c:pt idx="8">
                  <c:v>3</c:v>
                </c:pt>
                <c:pt idx="9">
                  <c:v>1</c:v>
                </c:pt>
                <c:pt idx="10">
                  <c:v>1</c:v>
                </c:pt>
              </c:numCache>
            </c:numRef>
          </c:val>
        </c:ser>
        <c:ser>
          <c:idx val="1"/>
          <c:order val="1"/>
          <c:tx>
            <c:strRef>
              <c:f>Sheet1!$C$65</c:f>
              <c:strCache>
                <c:ptCount val="1"/>
                <c:pt idx="0">
                  <c:v>Financial results</c:v>
                </c:pt>
              </c:strCache>
            </c:strRef>
          </c:tx>
          <c:spPr>
            <a:solidFill>
              <a:schemeClr val="tx2">
                <a:lumMod val="75000"/>
              </a:schemeClr>
            </a:solidFill>
            <a:ln>
              <a:noFill/>
            </a:ln>
            <a:effectLst/>
          </c:spPr>
          <c:invertIfNegative val="0"/>
          <c:dLbls>
            <c:dLbl>
              <c:idx val="1"/>
              <c:layout>
                <c:manualLayout>
                  <c:x val="7.9455683424187358E-3"/>
                  <c:y val="0"/>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4.0160642570281121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Sheet1!$D$65:$O$65</c:f>
              <c:numCache>
                <c:formatCode>General</c:formatCode>
                <c:ptCount val="12"/>
                <c:pt idx="0">
                  <c:v>2</c:v>
                </c:pt>
                <c:pt idx="1">
                  <c:v>2</c:v>
                </c:pt>
                <c:pt idx="2">
                  <c:v>7</c:v>
                </c:pt>
                <c:pt idx="3">
                  <c:v>2</c:v>
                </c:pt>
                <c:pt idx="4">
                  <c:v>6</c:v>
                </c:pt>
                <c:pt idx="6">
                  <c:v>4</c:v>
                </c:pt>
                <c:pt idx="7">
                  <c:v>3</c:v>
                </c:pt>
                <c:pt idx="10">
                  <c:v>3</c:v>
                </c:pt>
                <c:pt idx="11">
                  <c:v>1</c:v>
                </c:pt>
              </c:numCache>
            </c:numRef>
          </c:val>
        </c:ser>
        <c:ser>
          <c:idx val="2"/>
          <c:order val="2"/>
          <c:tx>
            <c:strRef>
              <c:f>Sheet1!$C$66</c:f>
              <c:strCache>
                <c:ptCount val="1"/>
                <c:pt idx="0">
                  <c:v>EU grants</c:v>
                </c:pt>
              </c:strCache>
            </c:strRef>
          </c:tx>
          <c:spPr>
            <a:solidFill>
              <a:sysClr val="window" lastClr="FFFFFF">
                <a:lumMod val="65000"/>
              </a:sysClr>
            </a:solidFill>
            <a:ln>
              <a:noFill/>
            </a:ln>
            <a:effectLst/>
          </c:spPr>
          <c:invertIfNegative val="0"/>
          <c:dLbls>
            <c:dLbl>
              <c:idx val="0"/>
              <c:layout>
                <c:manualLayout>
                  <c:x val="1.0040160642570272E-2"/>
                  <c:y val="-8.169840261831011E-17"/>
                </c:manualLayout>
              </c:layout>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6"/>
              <c:layout>
                <c:manualLayout>
                  <c:x val="-6.024096385542169E-3"/>
                  <c:y val="-4.4563279857397506E-3"/>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8.032128514056224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Sheet1!$D$66:$O$66</c:f>
              <c:numCache>
                <c:formatCode>General</c:formatCode>
                <c:ptCount val="12"/>
                <c:pt idx="0">
                  <c:v>1</c:v>
                </c:pt>
                <c:pt idx="1">
                  <c:v>0</c:v>
                </c:pt>
                <c:pt idx="6">
                  <c:v>1</c:v>
                </c:pt>
                <c:pt idx="7">
                  <c:v>1</c:v>
                </c:pt>
                <c:pt idx="8">
                  <c:v>4</c:v>
                </c:pt>
                <c:pt idx="10">
                  <c:v>3</c:v>
                </c:pt>
                <c:pt idx="11">
                  <c:v>1</c:v>
                </c:pt>
              </c:numCache>
            </c:numRef>
          </c:val>
        </c:ser>
        <c:ser>
          <c:idx val="3"/>
          <c:order val="3"/>
          <c:tx>
            <c:strRef>
              <c:f>Sheet1!$C$67</c:f>
              <c:strCache>
                <c:ptCount val="1"/>
                <c:pt idx="0">
                  <c:v>Capital market</c:v>
                </c:pt>
              </c:strCache>
            </c:strRef>
          </c:tx>
          <c:spPr>
            <a:solidFill>
              <a:schemeClr val="bg1">
                <a:lumMod val="85000"/>
              </a:schemeClr>
            </a:solidFill>
            <a:ln>
              <a:noFill/>
            </a:ln>
            <a:effectLst/>
          </c:spPr>
          <c:invertIfNegative val="0"/>
          <c:dLbls>
            <c:dLbl>
              <c:idx val="0"/>
              <c:layout>
                <c:manualLayout>
                  <c:x val="-6.0240963855421777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0160642570281312E-3"/>
                  <c:y val="-8.9126559714795012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024096385542169E-3"/>
                  <c:y val="-8.169840261831011E-17"/>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004016064257028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Sheet1!$D$67:$O$67</c:f>
              <c:numCache>
                <c:formatCode>General</c:formatCode>
                <c:ptCount val="12"/>
                <c:pt idx="0">
                  <c:v>2</c:v>
                </c:pt>
                <c:pt idx="1">
                  <c:v>3</c:v>
                </c:pt>
                <c:pt idx="2">
                  <c:v>2</c:v>
                </c:pt>
                <c:pt idx="3">
                  <c:v>4</c:v>
                </c:pt>
                <c:pt idx="4">
                  <c:v>4</c:v>
                </c:pt>
                <c:pt idx="5">
                  <c:v>3</c:v>
                </c:pt>
                <c:pt idx="6">
                  <c:v>1</c:v>
                </c:pt>
                <c:pt idx="7">
                  <c:v>5</c:v>
                </c:pt>
                <c:pt idx="8">
                  <c:v>4</c:v>
                </c:pt>
                <c:pt idx="9">
                  <c:v>1</c:v>
                </c:pt>
                <c:pt idx="11">
                  <c:v>3</c:v>
                </c:pt>
              </c:numCache>
            </c:numRef>
          </c:val>
        </c:ser>
        <c:ser>
          <c:idx val="4"/>
          <c:order val="4"/>
          <c:tx>
            <c:strRef>
              <c:f>Sheet1!$C$68</c:f>
              <c:strCache>
                <c:ptCount val="1"/>
                <c:pt idx="0">
                  <c:v>Development plan</c:v>
                </c:pt>
              </c:strCache>
            </c:strRef>
          </c:tx>
          <c:spPr>
            <a:solidFill>
              <a:srgbClr val="BDD5C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Sheet1!$D$68:$O$68</c:f>
              <c:numCache>
                <c:formatCode>General</c:formatCode>
                <c:ptCount val="12"/>
                <c:pt idx="0">
                  <c:v>12</c:v>
                </c:pt>
                <c:pt idx="1">
                  <c:v>15</c:v>
                </c:pt>
                <c:pt idx="2">
                  <c:v>9</c:v>
                </c:pt>
                <c:pt idx="3">
                  <c:v>6</c:v>
                </c:pt>
                <c:pt idx="4">
                  <c:v>7</c:v>
                </c:pt>
                <c:pt idx="5">
                  <c:v>18</c:v>
                </c:pt>
                <c:pt idx="6">
                  <c:v>17</c:v>
                </c:pt>
                <c:pt idx="7">
                  <c:v>8</c:v>
                </c:pt>
                <c:pt idx="8">
                  <c:v>4</c:v>
                </c:pt>
                <c:pt idx="9">
                  <c:v>7</c:v>
                </c:pt>
                <c:pt idx="10">
                  <c:v>2</c:v>
                </c:pt>
                <c:pt idx="11">
                  <c:v>2</c:v>
                </c:pt>
              </c:numCache>
            </c:numRef>
          </c:val>
        </c:ser>
        <c:ser>
          <c:idx val="5"/>
          <c:order val="5"/>
          <c:tx>
            <c:strRef>
              <c:f>Sheet1!$C$69</c:f>
              <c:strCache>
                <c:ptCount val="1"/>
                <c:pt idx="0">
                  <c:v>Other</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Sheet1!$D$63:$O$63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Sheet1!$D$69:$O$69</c:f>
              <c:numCache>
                <c:formatCode>General</c:formatCode>
                <c:ptCount val="12"/>
                <c:pt idx="0">
                  <c:v>9</c:v>
                </c:pt>
                <c:pt idx="1">
                  <c:v>20</c:v>
                </c:pt>
                <c:pt idx="2">
                  <c:v>12</c:v>
                </c:pt>
                <c:pt idx="3">
                  <c:v>9</c:v>
                </c:pt>
                <c:pt idx="4">
                  <c:v>6</c:v>
                </c:pt>
                <c:pt idx="5">
                  <c:v>1</c:v>
                </c:pt>
                <c:pt idx="6">
                  <c:v>11</c:v>
                </c:pt>
                <c:pt idx="7">
                  <c:v>19</c:v>
                </c:pt>
                <c:pt idx="8">
                  <c:v>10</c:v>
                </c:pt>
                <c:pt idx="9">
                  <c:v>11</c:v>
                </c:pt>
                <c:pt idx="10">
                  <c:v>5</c:v>
                </c:pt>
                <c:pt idx="11">
                  <c:v>7</c:v>
                </c:pt>
              </c:numCache>
            </c:numRef>
          </c:val>
        </c:ser>
        <c:dLbls>
          <c:showLegendKey val="0"/>
          <c:showVal val="1"/>
          <c:showCatName val="0"/>
          <c:showSerName val="0"/>
          <c:showPercent val="0"/>
          <c:showBubbleSize val="0"/>
        </c:dLbls>
        <c:gapWidth val="95"/>
        <c:overlap val="100"/>
        <c:axId val="36494896"/>
        <c:axId val="36486192"/>
      </c:barChart>
      <c:catAx>
        <c:axId val="364948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36486192"/>
        <c:crosses val="autoZero"/>
        <c:auto val="1"/>
        <c:lblAlgn val="ctr"/>
        <c:lblOffset val="100"/>
        <c:noMultiLvlLbl val="0"/>
      </c:catAx>
      <c:valAx>
        <c:axId val="36486192"/>
        <c:scaling>
          <c:orientation val="minMax"/>
        </c:scaling>
        <c:delete val="1"/>
        <c:axPos val="l"/>
        <c:numFmt formatCode="General" sourceLinked="1"/>
        <c:majorTickMark val="none"/>
        <c:minorTickMark val="none"/>
        <c:tickLblPos val="nextTo"/>
        <c:crossAx val="36494896"/>
        <c:crosses val="autoZero"/>
        <c:crossBetween val="between"/>
      </c:valAx>
      <c:spPr>
        <a:noFill/>
        <a:ln>
          <a:noFill/>
        </a:ln>
        <a:effectLst/>
      </c:spPr>
    </c:plotArea>
    <c:legend>
      <c:legendPos val="t"/>
      <c:layout>
        <c:manualLayout>
          <c:xMode val="edge"/>
          <c:yMode val="edge"/>
          <c:x val="0.11611403189985869"/>
          <c:y val="0.88171907543815087"/>
          <c:w val="0.7720452251160913"/>
          <c:h val="0.1105969011938023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83333333333333E-2"/>
          <c:y val="0.11661276908287696"/>
          <c:w val="0.9194444444444444"/>
          <c:h val="0.5804525668859295"/>
        </c:manualLayout>
      </c:layout>
      <c:pie3DChart>
        <c:varyColors val="1"/>
        <c:ser>
          <c:idx val="0"/>
          <c:order val="0"/>
          <c:spPr>
            <a:ln>
              <a:noFill/>
            </a:ln>
          </c:spPr>
          <c:explosion val="15"/>
          <c:dPt>
            <c:idx val="0"/>
            <c:bubble3D val="0"/>
            <c:spPr>
              <a:solidFill>
                <a:schemeClr val="accent1"/>
              </a:solidFill>
              <a:ln w="25400">
                <a:noFill/>
              </a:ln>
              <a:effectLst/>
              <a:sp3d/>
            </c:spPr>
          </c:dPt>
          <c:dPt>
            <c:idx val="1"/>
            <c:bubble3D val="0"/>
            <c:spPr>
              <a:solidFill>
                <a:schemeClr val="tx2">
                  <a:lumMod val="75000"/>
                </a:schemeClr>
              </a:solidFill>
              <a:ln w="25400">
                <a:noFill/>
              </a:ln>
              <a:effectLst/>
              <a:sp3d/>
            </c:spPr>
          </c:dPt>
          <c:dPt>
            <c:idx val="2"/>
            <c:bubble3D val="0"/>
            <c:spPr>
              <a:solidFill>
                <a:sysClr val="window" lastClr="FFFFFF">
                  <a:lumMod val="65000"/>
                </a:sysClr>
              </a:solidFill>
              <a:ln w="25400">
                <a:noFill/>
              </a:ln>
              <a:effectLst/>
              <a:sp3d/>
            </c:spPr>
          </c:dPt>
          <c:dPt>
            <c:idx val="3"/>
            <c:bubble3D val="0"/>
            <c:spPr>
              <a:solidFill>
                <a:schemeClr val="bg1">
                  <a:lumMod val="85000"/>
                </a:schemeClr>
              </a:solidFill>
              <a:ln w="25400">
                <a:noFill/>
              </a:ln>
              <a:effectLst/>
              <a:sp3d/>
            </c:spPr>
          </c:dPt>
          <c:dPt>
            <c:idx val="4"/>
            <c:bubble3D val="0"/>
            <c:explosion val="11"/>
            <c:spPr>
              <a:solidFill>
                <a:schemeClr val="accent6">
                  <a:lumMod val="40000"/>
                  <a:lumOff val="60000"/>
                </a:schemeClr>
              </a:solidFill>
              <a:ln w="25400">
                <a:noFill/>
              </a:ln>
              <a:effectLst/>
              <a:sp3d/>
            </c:spPr>
          </c:dPt>
          <c:dPt>
            <c:idx val="5"/>
            <c:bubble3D val="0"/>
            <c:explosion val="6"/>
            <c:spPr>
              <a:solidFill>
                <a:srgbClr val="0070C0"/>
              </a:solidFill>
              <a:ln w="25400">
                <a:noFill/>
              </a:ln>
              <a:effectLst/>
              <a:sp3d/>
            </c:spPr>
          </c:dPt>
          <c:dLbls>
            <c:dLbl>
              <c:idx val="1"/>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ro-RO"/>
                </a:p>
              </c:txPr>
              <c:showLegendKey val="0"/>
              <c:showVal val="0"/>
              <c:showCatName val="0"/>
              <c:showSerName val="0"/>
              <c:showPercent val="1"/>
              <c:showBubbleSize val="0"/>
            </c:dLbl>
            <c:dLbl>
              <c:idx val="5"/>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ro-RO"/>
                </a:p>
              </c:txPr>
              <c:showLegendKey val="0"/>
              <c:showVal val="0"/>
              <c:showCatName val="0"/>
              <c:showSerName val="0"/>
              <c:showPercent val="1"/>
              <c:showBubbleSize val="0"/>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Sheet1!$B$621:$B$626</c:f>
              <c:strCache>
                <c:ptCount val="6"/>
                <c:pt idx="0">
                  <c:v>Investmants</c:v>
                </c:pt>
                <c:pt idx="1">
                  <c:v>Financial results</c:v>
                </c:pt>
                <c:pt idx="2">
                  <c:v>EU grants</c:v>
                </c:pt>
                <c:pt idx="3">
                  <c:v>Capital market</c:v>
                </c:pt>
                <c:pt idx="4">
                  <c:v>Development plan</c:v>
                </c:pt>
                <c:pt idx="5">
                  <c:v>Other</c:v>
                </c:pt>
              </c:strCache>
            </c:strRef>
          </c:cat>
          <c:val>
            <c:numRef>
              <c:f>Sheet1!$C$621:$C$626</c:f>
              <c:numCache>
                <c:formatCode>0%</c:formatCode>
                <c:ptCount val="6"/>
                <c:pt idx="0">
                  <c:v>2.2801302931596091E-2</c:v>
                </c:pt>
                <c:pt idx="1">
                  <c:v>9.7719869706840393E-2</c:v>
                </c:pt>
                <c:pt idx="2">
                  <c:v>3.5830618892508145E-2</c:v>
                </c:pt>
                <c:pt idx="3">
                  <c:v>0.10423452768729642</c:v>
                </c:pt>
                <c:pt idx="4">
                  <c:v>0.34853420195439738</c:v>
                </c:pt>
                <c:pt idx="5">
                  <c:v>0.39087947882736157</c:v>
                </c:pt>
              </c:numCache>
            </c:numRef>
          </c:val>
        </c:ser>
        <c:dLbls>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6.284995625546806E-3"/>
          <c:y val="0.75436051974984619"/>
          <c:w val="0.99020756780402452"/>
          <c:h val="0.149306742062647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Sheet1!$B$117</c:f>
              <c:strCache>
                <c:ptCount val="1"/>
                <c:pt idx="0">
                  <c:v>Planned technological consumption – thousand cm</c:v>
                </c:pt>
              </c:strCache>
            </c:strRef>
          </c:tx>
          <c:spPr>
            <a:solidFill>
              <a:schemeClr val="accent1"/>
            </a:solidFill>
            <a:ln>
              <a:noFill/>
            </a:ln>
            <a:effectLst/>
          </c:spPr>
          <c:invertIfNegative val="0"/>
          <c:dLbls>
            <c:dLbl>
              <c:idx val="1"/>
              <c:layout>
                <c:manualLayout>
                  <c:x val="-1.4268655102060409E-2"/>
                  <c:y val="-2.484472049689444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6789351979058471E-2"/>
                  <c:y val="4.773838052852089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4.0618414861080735E-17"/>
                  <c:y val="2.484472049689433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9.512485136741973E-3"/>
                  <c:y val="-5.6453016481691711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3.1708283789139914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Sheet1!$C$116:$N$116</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Sheet1!$C$117:$N$117</c:f>
              <c:numCache>
                <c:formatCode>#,##0</c:formatCode>
                <c:ptCount val="12"/>
                <c:pt idx="0">
                  <c:v>13419</c:v>
                </c:pt>
                <c:pt idx="1">
                  <c:v>11763</c:v>
                </c:pt>
                <c:pt idx="2">
                  <c:v>10218</c:v>
                </c:pt>
                <c:pt idx="3">
                  <c:v>7955</c:v>
                </c:pt>
                <c:pt idx="4">
                  <c:v>5085</c:v>
                </c:pt>
                <c:pt idx="5">
                  <c:v>4421</c:v>
                </c:pt>
                <c:pt idx="6">
                  <c:v>7649</c:v>
                </c:pt>
                <c:pt idx="7">
                  <c:v>9530</c:v>
                </c:pt>
                <c:pt idx="8">
                  <c:v>10844</c:v>
                </c:pt>
                <c:pt idx="9">
                  <c:v>8321</c:v>
                </c:pt>
                <c:pt idx="10">
                  <c:v>19132</c:v>
                </c:pt>
                <c:pt idx="11">
                  <c:v>11486</c:v>
                </c:pt>
              </c:numCache>
            </c:numRef>
          </c:val>
        </c:ser>
        <c:ser>
          <c:idx val="1"/>
          <c:order val="1"/>
          <c:tx>
            <c:strRef>
              <c:f>Sheet1!$B$118</c:f>
              <c:strCache>
                <c:ptCount val="1"/>
                <c:pt idx="0">
                  <c:v>Achieved technological consumption – thousand cm</c:v>
                </c:pt>
              </c:strCache>
            </c:strRef>
          </c:tx>
          <c:spPr>
            <a:solidFill>
              <a:schemeClr val="accent6">
                <a:lumMod val="40000"/>
                <a:lumOff val="60000"/>
              </a:schemeClr>
            </a:solidFill>
            <a:ln>
              <a:solidFill>
                <a:schemeClr val="accent6">
                  <a:lumMod val="40000"/>
                  <a:lumOff val="60000"/>
                </a:schemeClr>
              </a:solidFill>
            </a:ln>
            <a:effectLst/>
          </c:spPr>
          <c:invertIfNegative val="0"/>
          <c:dLbls>
            <c:dLbl>
              <c:idx val="1"/>
              <c:layout>
                <c:manualLayout>
                  <c:x val="4.7562425683709865E-3"/>
                  <c:y val="1.231716406511021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4268655102060398E-2"/>
                  <c:y val="-3.31262939958592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7.9270499961183408E-3"/>
                  <c:y val="4.676219820348543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6.3416051059419351E-3"/>
                  <c:y val="2.484472049689440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4.7562425683709865E-3"/>
                  <c:y val="1.231716406511027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7.9270709472849775E-3"/>
                  <c:y val="1.2317164065110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6.3416567578279829E-3"/>
                  <c:y val="-5.6453016481691711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2.2175817255146196E-2"/>
                  <c:y val="2.272150763763225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Sheet1!$C$116:$N$116</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Sheet1!$C$118:$N$118</c:f>
              <c:numCache>
                <c:formatCode>#,##0</c:formatCode>
                <c:ptCount val="12"/>
                <c:pt idx="0">
                  <c:v>18656</c:v>
                </c:pt>
                <c:pt idx="1">
                  <c:v>11428</c:v>
                </c:pt>
                <c:pt idx="2">
                  <c:v>10346</c:v>
                </c:pt>
                <c:pt idx="3">
                  <c:v>6481</c:v>
                </c:pt>
                <c:pt idx="4">
                  <c:v>7186</c:v>
                </c:pt>
                <c:pt idx="5">
                  <c:v>11277</c:v>
                </c:pt>
                <c:pt idx="6">
                  <c:v>6417</c:v>
                </c:pt>
                <c:pt idx="7">
                  <c:v>6849</c:v>
                </c:pt>
                <c:pt idx="8">
                  <c:v>5675</c:v>
                </c:pt>
                <c:pt idx="9">
                  <c:v>6807</c:v>
                </c:pt>
                <c:pt idx="10">
                  <c:v>8125</c:v>
                </c:pt>
                <c:pt idx="11">
                  <c:v>9627</c:v>
                </c:pt>
              </c:numCache>
            </c:numRef>
          </c:val>
        </c:ser>
        <c:dLbls>
          <c:dLblPos val="outEnd"/>
          <c:showLegendKey val="0"/>
          <c:showVal val="1"/>
          <c:showCatName val="0"/>
          <c:showSerName val="0"/>
          <c:showPercent val="0"/>
          <c:showBubbleSize val="0"/>
        </c:dLbls>
        <c:gapWidth val="219"/>
        <c:overlap val="-27"/>
        <c:axId val="1756663792"/>
        <c:axId val="1756657264"/>
      </c:barChart>
      <c:catAx>
        <c:axId val="175666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6657264"/>
        <c:crosses val="autoZero"/>
        <c:auto val="1"/>
        <c:lblAlgn val="ctr"/>
        <c:lblOffset val="100"/>
        <c:noMultiLvlLbl val="0"/>
      </c:catAx>
      <c:valAx>
        <c:axId val="1756657264"/>
        <c:scaling>
          <c:orientation val="minMax"/>
        </c:scaling>
        <c:delete val="1"/>
        <c:axPos val="l"/>
        <c:numFmt formatCode="#,##0" sourceLinked="1"/>
        <c:majorTickMark val="none"/>
        <c:minorTickMark val="none"/>
        <c:tickLblPos val="nextTo"/>
        <c:crossAx val="175666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040527789011268E-2"/>
          <c:y val="0"/>
          <c:w val="0.95759576880684472"/>
          <c:h val="0.74784759334972029"/>
        </c:manualLayout>
      </c:layout>
      <c:barChart>
        <c:barDir val="col"/>
        <c:grouping val="clustered"/>
        <c:varyColors val="0"/>
        <c:ser>
          <c:idx val="0"/>
          <c:order val="0"/>
          <c:tx>
            <c:strRef>
              <c:f>Sheet1!$B$138</c:f>
              <c:strCache>
                <c:ptCount val="1"/>
                <c:pt idx="0">
                  <c:v>ROMGAZ</c:v>
                </c:pt>
              </c:strCache>
            </c:strRef>
          </c:tx>
          <c:spPr>
            <a:solidFill>
              <a:schemeClr val="accent1">
                <a:lumMod val="75000"/>
              </a:schemeClr>
            </a:solidFill>
            <a:ln>
              <a:noFill/>
            </a:ln>
            <a:effectLst/>
          </c:spPr>
          <c:invertIfNegative val="0"/>
          <c:dLbls>
            <c:dLbl>
              <c:idx val="3"/>
              <c:layout>
                <c:manualLayout>
                  <c:x val="-2.0140986908358878E-3"/>
                  <c:y val="2.3289665211062592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0070493454179255E-2"/>
                  <c:y val="2.3289665211062592E-2"/>
                </c:manualLayout>
              </c:layout>
              <c:showLegendKey val="0"/>
              <c:showVal val="1"/>
              <c:showCatName val="0"/>
              <c:showSerName val="0"/>
              <c:showPercent val="0"/>
              <c:showBubbleSize val="0"/>
              <c:extLst>
                <c:ext xmlns:c15="http://schemas.microsoft.com/office/drawing/2012/chart" uri="{CE6537A1-D6FC-4f65-9D91-7224C49458BB}"/>
              </c:extLst>
            </c:dLbl>
            <c:numFmt formatCode="#"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Sheet1!$C$138:$N$138</c:f>
              <c:numCache>
                <c:formatCode>#,##0</c:formatCode>
                <c:ptCount val="12"/>
                <c:pt idx="0">
                  <c:v>489730</c:v>
                </c:pt>
                <c:pt idx="1">
                  <c:v>434274</c:v>
                </c:pt>
                <c:pt idx="2">
                  <c:v>434806</c:v>
                </c:pt>
                <c:pt idx="3">
                  <c:v>328160</c:v>
                </c:pt>
                <c:pt idx="4">
                  <c:v>262385</c:v>
                </c:pt>
                <c:pt idx="5">
                  <c:v>225851</c:v>
                </c:pt>
                <c:pt idx="6">
                  <c:v>260877</c:v>
                </c:pt>
                <c:pt idx="7">
                  <c:v>290688</c:v>
                </c:pt>
                <c:pt idx="8">
                  <c:v>278329</c:v>
                </c:pt>
                <c:pt idx="9">
                  <c:v>330242</c:v>
                </c:pt>
                <c:pt idx="10">
                  <c:v>380553</c:v>
                </c:pt>
                <c:pt idx="11">
                  <c:v>460624</c:v>
                </c:pt>
              </c:numCache>
            </c:numRef>
          </c:val>
        </c:ser>
        <c:ser>
          <c:idx val="1"/>
          <c:order val="1"/>
          <c:tx>
            <c:strRef>
              <c:f>Sheet1!$B$139</c:f>
              <c:strCache>
                <c:ptCount val="1"/>
                <c:pt idx="0">
                  <c:v>PETROM</c:v>
                </c:pt>
              </c:strCache>
            </c:strRef>
          </c:tx>
          <c:spPr>
            <a:solidFill>
              <a:schemeClr val="accent5">
                <a:lumMod val="40000"/>
                <a:lumOff val="60000"/>
              </a:schemeClr>
            </a:solidFill>
            <a:ln>
              <a:noFill/>
            </a:ln>
            <a:effectLst/>
          </c:spPr>
          <c:invertIfNegative val="0"/>
          <c:dLbls>
            <c:dLbl>
              <c:idx val="0"/>
              <c:layout>
                <c:manualLayout>
                  <c:x val="8.0563947633434038E-3"/>
                  <c:y val="1.026166489014200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0422960725075529E-3"/>
                  <c:y val="-5.3371532889516127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0422960725075529E-3"/>
                  <c:y val="2.9112081513828238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1.4769886443141018E-16"/>
                  <c:y val="1.746724890829689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6.0422960725074054E-3"/>
                  <c:y val="2.911208151382823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Sheet1!$C$139:$N$139</c:f>
              <c:numCache>
                <c:formatCode>#,##0</c:formatCode>
                <c:ptCount val="12"/>
                <c:pt idx="0">
                  <c:v>342416</c:v>
                </c:pt>
                <c:pt idx="1">
                  <c:v>328192</c:v>
                </c:pt>
                <c:pt idx="2">
                  <c:v>356649</c:v>
                </c:pt>
                <c:pt idx="3">
                  <c:v>354631</c:v>
                </c:pt>
                <c:pt idx="4">
                  <c:v>376770</c:v>
                </c:pt>
                <c:pt idx="5">
                  <c:v>364698</c:v>
                </c:pt>
                <c:pt idx="6">
                  <c:v>371188</c:v>
                </c:pt>
                <c:pt idx="7">
                  <c:v>370486</c:v>
                </c:pt>
                <c:pt idx="8">
                  <c:v>349877</c:v>
                </c:pt>
                <c:pt idx="9">
                  <c:v>339393</c:v>
                </c:pt>
                <c:pt idx="10">
                  <c:v>346074</c:v>
                </c:pt>
                <c:pt idx="11">
                  <c:v>346220</c:v>
                </c:pt>
              </c:numCache>
            </c:numRef>
          </c:val>
        </c:ser>
        <c:ser>
          <c:idx val="2"/>
          <c:order val="2"/>
          <c:tx>
            <c:strRef>
              <c:f>Sheet1!$B$140</c:f>
              <c:strCache>
                <c:ptCount val="1"/>
                <c:pt idx="0">
                  <c:v>OTHERS</c:v>
                </c:pt>
              </c:strCache>
            </c:strRef>
          </c:tx>
          <c:spPr>
            <a:solidFill>
              <a:schemeClr val="bg1">
                <a:lumMod val="75000"/>
              </a:schemeClr>
            </a:solidFill>
            <a:ln>
              <a:noFill/>
            </a:ln>
            <a:effectLst/>
          </c:spPr>
          <c:invertIfNegative val="0"/>
          <c:dLbls>
            <c:dLbl>
              <c:idx val="3"/>
              <c:layout>
                <c:manualLayout>
                  <c:x val="0"/>
                  <c:y val="4.6579330422125184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7.3849432215705091E-17"/>
                  <c:y val="1.7467248908296942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
                  <c:y val="2.3289665211062592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4769886443141018E-16"/>
                  <c:y val="2.32896652110625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Sheet1!$C$140:$N$140</c:f>
              <c:numCache>
                <c:formatCode>#,##0</c:formatCode>
                <c:ptCount val="12"/>
                <c:pt idx="0">
                  <c:v>54633</c:v>
                </c:pt>
                <c:pt idx="1">
                  <c:v>48391</c:v>
                </c:pt>
                <c:pt idx="2">
                  <c:v>46804</c:v>
                </c:pt>
                <c:pt idx="3">
                  <c:v>43570</c:v>
                </c:pt>
                <c:pt idx="4">
                  <c:v>51772</c:v>
                </c:pt>
                <c:pt idx="5">
                  <c:v>49307</c:v>
                </c:pt>
                <c:pt idx="6">
                  <c:v>46655</c:v>
                </c:pt>
                <c:pt idx="7">
                  <c:v>45978</c:v>
                </c:pt>
                <c:pt idx="8">
                  <c:v>45568</c:v>
                </c:pt>
                <c:pt idx="9">
                  <c:v>56387</c:v>
                </c:pt>
                <c:pt idx="10">
                  <c:v>55278</c:v>
                </c:pt>
                <c:pt idx="11">
                  <c:v>54099</c:v>
                </c:pt>
              </c:numCache>
            </c:numRef>
          </c:val>
        </c:ser>
        <c:ser>
          <c:idx val="3"/>
          <c:order val="3"/>
          <c:tx>
            <c:strRef>
              <c:f>Sheet1!$B$141</c:f>
              <c:strCache>
                <c:ptCount val="1"/>
                <c:pt idx="0">
                  <c:v>CURRENT IMPORT</c:v>
                </c:pt>
              </c:strCache>
            </c:strRef>
          </c:tx>
          <c:spPr>
            <a:solidFill>
              <a:schemeClr val="accent6">
                <a:lumMod val="75000"/>
              </a:schemeClr>
            </a:solidFill>
            <a:ln>
              <a:noFill/>
            </a:ln>
            <a:effectLst/>
          </c:spPr>
          <c:invertIfNegative val="0"/>
          <c:dLbls>
            <c:dLbl>
              <c:idx val="1"/>
              <c:layout>
                <c:manualLayout>
                  <c:x val="1.8462358053926273E-17"/>
                  <c:y val="3.493449781659388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328966521106259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014098690835851E-3"/>
                  <c:y val="1.7467248908296942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0"/>
                  <c:y val="1.746724890829689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6.0422960725075529E-3"/>
                  <c:y val="-5.3371532889516127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Sheet1!$C$141:$N$141</c:f>
              <c:numCache>
                <c:formatCode>#,##0</c:formatCode>
                <c:ptCount val="12"/>
                <c:pt idx="0">
                  <c:v>95847</c:v>
                </c:pt>
                <c:pt idx="1">
                  <c:v>45497</c:v>
                </c:pt>
                <c:pt idx="2">
                  <c:v>15663</c:v>
                </c:pt>
                <c:pt idx="3">
                  <c:v>37584</c:v>
                </c:pt>
                <c:pt idx="4">
                  <c:v>43953</c:v>
                </c:pt>
                <c:pt idx="5">
                  <c:v>37039</c:v>
                </c:pt>
                <c:pt idx="6">
                  <c:v>54163</c:v>
                </c:pt>
                <c:pt idx="7">
                  <c:v>64226</c:v>
                </c:pt>
                <c:pt idx="8">
                  <c:v>78856</c:v>
                </c:pt>
                <c:pt idx="9">
                  <c:v>297091</c:v>
                </c:pt>
                <c:pt idx="10">
                  <c:v>318522</c:v>
                </c:pt>
                <c:pt idx="11">
                  <c:v>386539</c:v>
                </c:pt>
              </c:numCache>
            </c:numRef>
          </c:val>
        </c:ser>
        <c:ser>
          <c:idx val="4"/>
          <c:order val="4"/>
          <c:tx>
            <c:strRef>
              <c:f>Sheet1!$B$142</c:f>
              <c:strCache>
                <c:ptCount val="1"/>
                <c:pt idx="0">
                  <c:v>STORAGE WITHDRAWAL</c:v>
                </c:pt>
              </c:strCache>
            </c:strRef>
          </c:tx>
          <c:spPr>
            <a:solidFill>
              <a:srgbClr val="BDD5C2"/>
            </a:solidFill>
            <a:ln>
              <a:noFill/>
            </a:ln>
            <a:effectLst/>
          </c:spPr>
          <c:invertIfNegative val="0"/>
          <c:dLbls>
            <c:dLbl>
              <c:idx val="10"/>
              <c:layout>
                <c:manualLayout>
                  <c:x val="6.0422960725074054E-3"/>
                  <c:y val="-5.3371532889516127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Sheet1!$C$142:$N$142</c:f>
              <c:numCache>
                <c:formatCode>#,##0</c:formatCode>
                <c:ptCount val="12"/>
                <c:pt idx="0">
                  <c:v>661017</c:v>
                </c:pt>
                <c:pt idx="1">
                  <c:v>232801</c:v>
                </c:pt>
                <c:pt idx="2">
                  <c:v>186941</c:v>
                </c:pt>
                <c:pt idx="3">
                  <c:v>1288</c:v>
                </c:pt>
                <c:pt idx="4">
                  <c:v>0</c:v>
                </c:pt>
                <c:pt idx="5">
                  <c:v>0</c:v>
                </c:pt>
                <c:pt idx="6">
                  <c:v>0</c:v>
                </c:pt>
                <c:pt idx="7">
                  <c:v>0</c:v>
                </c:pt>
                <c:pt idx="8">
                  <c:v>0</c:v>
                </c:pt>
                <c:pt idx="9">
                  <c:v>5171</c:v>
                </c:pt>
                <c:pt idx="10">
                  <c:v>193534</c:v>
                </c:pt>
                <c:pt idx="11">
                  <c:v>423876</c:v>
                </c:pt>
              </c:numCache>
            </c:numRef>
          </c:val>
        </c:ser>
        <c:dLbls>
          <c:showLegendKey val="0"/>
          <c:showVal val="1"/>
          <c:showCatName val="0"/>
          <c:showSerName val="0"/>
          <c:showPercent val="0"/>
          <c:showBubbleSize val="0"/>
        </c:dLbls>
        <c:gapWidth val="150"/>
        <c:overlap val="-25"/>
        <c:axId val="1756674672"/>
        <c:axId val="1756658352"/>
      </c:barChart>
      <c:dateAx>
        <c:axId val="1756674672"/>
        <c:scaling>
          <c:orientation val="minMax"/>
        </c:scaling>
        <c:delete val="0"/>
        <c:axPos val="b"/>
        <c:numFmt formatCode="#,##0.00" sourceLinked="0"/>
        <c:majorTickMark val="out"/>
        <c:minorTickMark val="none"/>
        <c:tickLblPos val="nextTo"/>
        <c:spPr>
          <a:noFill/>
          <a:ln w="9525" cap="flat" cmpd="sng" algn="ctr">
            <a:solidFill>
              <a:srgbClr val="04617B"/>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58352"/>
        <c:crosses val="autoZero"/>
        <c:auto val="0"/>
        <c:lblOffset val="100"/>
        <c:baseTimeUnit val="days"/>
      </c:dateAx>
      <c:valAx>
        <c:axId val="1756658352"/>
        <c:scaling>
          <c:orientation val="minMax"/>
        </c:scaling>
        <c:delete val="1"/>
        <c:axPos val="l"/>
        <c:numFmt formatCode="#,##0" sourceLinked="1"/>
        <c:majorTickMark val="out"/>
        <c:minorTickMark val="none"/>
        <c:tickLblPos val="nextTo"/>
        <c:crossAx val="1756674672"/>
        <c:crosses val="autoZero"/>
        <c:crossBetween val="between"/>
        <c:dispUnits>
          <c:builtInUnit val="thousands"/>
        </c:dispUnits>
      </c:valAx>
      <c:spPr>
        <a:noFill/>
        <a:ln>
          <a:noFill/>
        </a:ln>
        <a:effectLst/>
      </c:spPr>
    </c:plotArea>
    <c:legend>
      <c:legendPos val="t"/>
      <c:layout>
        <c:manualLayout>
          <c:xMode val="edge"/>
          <c:yMode val="edge"/>
          <c:x val="4.021241530855154E-2"/>
          <c:y val="0.87419676339537489"/>
          <c:w val="0.95978758469144843"/>
          <c:h val="0.1258030849037760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6.9905052905981785E-2"/>
          <c:w val="0.93888888888888888"/>
          <c:h val="0.66402708430285917"/>
        </c:manualLayout>
      </c:layout>
      <c:barChart>
        <c:barDir val="col"/>
        <c:grouping val="clustered"/>
        <c:varyColors val="0"/>
        <c:ser>
          <c:idx val="0"/>
          <c:order val="0"/>
          <c:tx>
            <c:strRef>
              <c:f>Sheet1!$B$143</c:f>
              <c:strCache>
                <c:ptCount val="1"/>
                <c:pt idx="0">
                  <c:v>PROGRAMAT</c:v>
                </c:pt>
              </c:strCache>
            </c:strRef>
          </c:tx>
          <c:spPr>
            <a:solidFill>
              <a:schemeClr val="accent5">
                <a:lumMod val="40000"/>
                <a:lumOff val="60000"/>
              </a:schemeClr>
            </a:solidFill>
            <a:ln>
              <a:noFill/>
            </a:ln>
            <a:effectLst/>
          </c:spPr>
          <c:invertIfNegative val="0"/>
          <c:dLbls>
            <c:dLbl>
              <c:idx val="0"/>
              <c:layout>
                <c:manualLayout>
                  <c:x val="-1.9960079840319407E-3"/>
                  <c:y val="3.980891719745222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9920159680639092E-3"/>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3.184713375796178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7.9840319361277438E-3"/>
                  <c:y val="5.5732484076433123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
                  <c:y val="2.388535031847133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Sheet1!$C$143:$N$143</c:f>
              <c:numCache>
                <c:formatCode>#,##0</c:formatCode>
                <c:ptCount val="12"/>
                <c:pt idx="0">
                  <c:v>1491042</c:v>
                </c:pt>
                <c:pt idx="1">
                  <c:v>1306979</c:v>
                </c:pt>
                <c:pt idx="2">
                  <c:v>1135289</c:v>
                </c:pt>
                <c:pt idx="3">
                  <c:v>765233</c:v>
                </c:pt>
                <c:pt idx="4">
                  <c:v>718137</c:v>
                </c:pt>
                <c:pt idx="5">
                  <c:v>725692</c:v>
                </c:pt>
                <c:pt idx="6">
                  <c:v>817787</c:v>
                </c:pt>
                <c:pt idx="7">
                  <c:v>806545</c:v>
                </c:pt>
                <c:pt idx="8">
                  <c:v>787010</c:v>
                </c:pt>
                <c:pt idx="9">
                  <c:v>919720</c:v>
                </c:pt>
                <c:pt idx="10">
                  <c:v>1038750</c:v>
                </c:pt>
                <c:pt idx="11">
                  <c:v>1294296</c:v>
                </c:pt>
              </c:numCache>
            </c:numRef>
          </c:val>
        </c:ser>
        <c:ser>
          <c:idx val="1"/>
          <c:order val="1"/>
          <c:tx>
            <c:strRef>
              <c:f>Sheet1!$B$144</c:f>
              <c:strCache>
                <c:ptCount val="1"/>
                <c:pt idx="0">
                  <c:v>REALIZAT</c:v>
                </c:pt>
              </c:strCache>
            </c:strRef>
          </c:tx>
          <c:spPr>
            <a:solidFill>
              <a:schemeClr val="bg1">
                <a:lumMod val="85000"/>
              </a:schemeClr>
            </a:solidFill>
            <a:ln>
              <a:noFill/>
            </a:ln>
            <a:effectLst/>
          </c:spPr>
          <c:invertIfNegative val="0"/>
          <c:dLbls>
            <c:dLbl>
              <c:idx val="1"/>
              <c:layout>
                <c:manualLayout>
                  <c:x val="-1.8296528490567655E-17"/>
                  <c:y val="3.980891719745222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980891719745219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9840319361277803E-3"/>
                  <c:y val="0"/>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7.3186113962270621E-17"/>
                  <c:y val="3.184713375796178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0"/>
                  <c:y val="4.7770700636942678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0"/>
                  <c:y val="3.184713375796178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Sheet1!$C$137:$N$137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Sheet1!$C$144:$N$144</c:f>
              <c:numCache>
                <c:formatCode>#,##0</c:formatCode>
                <c:ptCount val="12"/>
                <c:pt idx="0">
                  <c:v>1643643</c:v>
                </c:pt>
                <c:pt idx="1">
                  <c:v>1089156</c:v>
                </c:pt>
                <c:pt idx="2">
                  <c:v>1040863</c:v>
                </c:pt>
                <c:pt idx="3">
                  <c:v>765233</c:v>
                </c:pt>
                <c:pt idx="4">
                  <c:v>734880</c:v>
                </c:pt>
                <c:pt idx="5">
                  <c:v>676895</c:v>
                </c:pt>
                <c:pt idx="6">
                  <c:v>732883</c:v>
                </c:pt>
                <c:pt idx="7">
                  <c:v>771378</c:v>
                </c:pt>
                <c:pt idx="8">
                  <c:v>752624</c:v>
                </c:pt>
                <c:pt idx="9">
                  <c:v>1028283</c:v>
                </c:pt>
                <c:pt idx="10">
                  <c:v>1293961</c:v>
                </c:pt>
                <c:pt idx="11">
                  <c:v>1671357</c:v>
                </c:pt>
              </c:numCache>
            </c:numRef>
          </c:val>
        </c:ser>
        <c:dLbls>
          <c:showLegendKey val="0"/>
          <c:showVal val="1"/>
          <c:showCatName val="0"/>
          <c:showSerName val="0"/>
          <c:showPercent val="0"/>
          <c:showBubbleSize val="0"/>
        </c:dLbls>
        <c:gapWidth val="150"/>
        <c:overlap val="-25"/>
        <c:axId val="1756664880"/>
        <c:axId val="1756658896"/>
      </c:barChart>
      <c:catAx>
        <c:axId val="17566648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58896"/>
        <c:crosses val="autoZero"/>
        <c:auto val="1"/>
        <c:lblAlgn val="ctr"/>
        <c:lblOffset val="100"/>
        <c:noMultiLvlLbl val="0"/>
      </c:catAx>
      <c:valAx>
        <c:axId val="1756658896"/>
        <c:scaling>
          <c:orientation val="minMax"/>
        </c:scaling>
        <c:delete val="1"/>
        <c:axPos val="l"/>
        <c:numFmt formatCode="#,##0" sourceLinked="1"/>
        <c:majorTickMark val="out"/>
        <c:minorTickMark val="none"/>
        <c:tickLblPos val="nextTo"/>
        <c:crossAx val="1756664880"/>
        <c:crosses val="autoZero"/>
        <c:crossBetween val="between"/>
        <c:dispUnits>
          <c:builtInUnit val="thousands"/>
          <c:dispUnitsLbl>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o-RO"/>
              </a:p>
            </c:txPr>
          </c:dispUnitsLbl>
        </c:dispUnits>
      </c:valAx>
      <c:spPr>
        <a:noFill/>
        <a:ln>
          <a:noFill/>
        </a:ln>
        <a:effectLst/>
      </c:spPr>
    </c:plotArea>
    <c:legend>
      <c:legendPos val="t"/>
      <c:layout>
        <c:manualLayout>
          <c:xMode val="edge"/>
          <c:yMode val="edge"/>
          <c:x val="0.32885258092738406"/>
          <c:y val="0.89477577764469651"/>
          <c:w val="0.34229461942257217"/>
          <c:h val="0.1052243945059580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057395"/>
              </a:solidFill>
              <a:ln>
                <a:noFill/>
              </a:ln>
              <a:effectLst/>
            </c:spPr>
          </c:dPt>
          <c:dPt>
            <c:idx val="1"/>
            <c:invertIfNegative val="0"/>
            <c:bubble3D val="0"/>
            <c:spPr>
              <a:solidFill>
                <a:srgbClr val="3366CC">
                  <a:lumMod val="40000"/>
                  <a:lumOff val="60000"/>
                </a:srgbClr>
              </a:solidFill>
              <a:ln>
                <a:noFill/>
              </a:ln>
              <a:effectLst/>
            </c:spPr>
          </c:dPt>
          <c:dPt>
            <c:idx val="2"/>
            <c:invertIfNegative val="0"/>
            <c:bubble3D val="0"/>
            <c:spPr>
              <a:solidFill>
                <a:sysClr val="window" lastClr="FFFFFF">
                  <a:lumMod val="75000"/>
                </a:sysClr>
              </a:solidFill>
              <a:ln>
                <a:noFill/>
              </a:ln>
              <a:effectLst/>
            </c:spPr>
          </c:dPt>
          <c:dPt>
            <c:idx val="3"/>
            <c:invertIfNegative val="0"/>
            <c:bubble3D val="0"/>
            <c:spPr>
              <a:solidFill>
                <a:srgbClr val="10CF9B">
                  <a:lumMod val="50000"/>
                </a:srgbClr>
              </a:solidFill>
              <a:ln>
                <a:noFill/>
              </a:ln>
              <a:effectLst/>
            </c:spPr>
          </c:dPt>
          <c:dPt>
            <c:idx val="4"/>
            <c:invertIfNegative val="0"/>
            <c:bubble3D val="0"/>
            <c:spPr>
              <a:solidFill>
                <a:srgbClr val="7CCA62">
                  <a:lumMod val="40000"/>
                  <a:lumOff val="60000"/>
                </a:srgbClr>
              </a:solidFill>
              <a:ln>
                <a:noFill/>
              </a:ln>
              <a:effectLst/>
            </c:spPr>
          </c:dPt>
          <c:dLbls>
            <c:dLbl>
              <c:idx val="0"/>
              <c:tx>
                <c:rich>
                  <a:bodyPr/>
                  <a:lstStyle/>
                  <a:p>
                    <a:r>
                      <a:rPr lang="en-US"/>
                      <a:t>4.177</a:t>
                    </a:r>
                  </a:p>
                </c:rich>
              </c:tx>
              <c:showLegendKey val="0"/>
              <c:showVal val="1"/>
              <c:showCatName val="0"/>
              <c:showSerName val="0"/>
              <c:showPercent val="0"/>
              <c:showBubbleSize val="0"/>
              <c:separator>. </c:separator>
              <c:extLst>
                <c:ext xmlns:c15="http://schemas.microsoft.com/office/drawing/2012/chart" uri="{CE6537A1-D6FC-4f65-9D91-7224C49458BB}"/>
              </c:extLst>
            </c:dLbl>
            <c:dLbl>
              <c:idx val="1"/>
              <c:tx>
                <c:rich>
                  <a:bodyPr/>
                  <a:lstStyle/>
                  <a:p>
                    <a:r>
                      <a:rPr lang="en-US"/>
                      <a:t>4.247</a:t>
                    </a:r>
                  </a:p>
                </c:rich>
              </c:tx>
              <c:showLegendKey val="0"/>
              <c:showVal val="1"/>
              <c:showCatName val="0"/>
              <c:showSerName val="0"/>
              <c:showPercent val="0"/>
              <c:showBubbleSize val="0"/>
              <c:separator>. </c:separator>
              <c:extLst>
                <c:ext xmlns:c15="http://schemas.microsoft.com/office/drawing/2012/chart" uri="{CE6537A1-D6FC-4f65-9D91-7224C49458BB}"/>
              </c:extLst>
            </c:dLbl>
            <c:dLbl>
              <c:idx val="3"/>
              <c:tx>
                <c:rich>
                  <a:bodyPr/>
                  <a:lstStyle/>
                  <a:p>
                    <a:r>
                      <a:rPr lang="en-US"/>
                      <a:t>1.475</a:t>
                    </a:r>
                  </a:p>
                </c:rich>
              </c:tx>
              <c:showLegendKey val="0"/>
              <c:showVal val="1"/>
              <c:showCatName val="0"/>
              <c:showSerName val="0"/>
              <c:showPercent val="0"/>
              <c:showBubbleSize val="0"/>
              <c:separator>. </c:separator>
              <c:extLst>
                <c:ext xmlns:c15="http://schemas.microsoft.com/office/drawing/2012/chart" uri="{CE6537A1-D6FC-4f65-9D91-7224C49458BB}"/>
              </c:extLst>
            </c:dLbl>
            <c:dLbl>
              <c:idx val="4"/>
              <c:tx>
                <c:rich>
                  <a:bodyPr/>
                  <a:lstStyle/>
                  <a:p>
                    <a:r>
                      <a:rPr lang="en-US"/>
                      <a:t>1.705</a:t>
                    </a:r>
                  </a:p>
                </c:rich>
              </c:tx>
              <c:showLegendKey val="0"/>
              <c:showVal val="1"/>
              <c:showCatName val="0"/>
              <c:showSerName val="0"/>
              <c:showPercent val="0"/>
              <c:showBubbleSize val="0"/>
              <c:separator>. </c:separator>
              <c:extLst>
                <c:ext xmlns:c15="http://schemas.microsoft.com/office/drawing/2012/chart" uri="{CE6537A1-D6FC-4f65-9D91-7224C49458BB}"/>
              </c:extLst>
            </c:dLbl>
            <c:numFmt formatCode="#,"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Sheet1!$B$138:$B$142</c:f>
              <c:strCache>
                <c:ptCount val="5"/>
                <c:pt idx="0">
                  <c:v>ROMGAZ</c:v>
                </c:pt>
                <c:pt idx="1">
                  <c:v>PETROM</c:v>
                </c:pt>
                <c:pt idx="2">
                  <c:v>OTHERS </c:v>
                </c:pt>
                <c:pt idx="3">
                  <c:v>CURRENT IMPORT</c:v>
                </c:pt>
                <c:pt idx="4">
                  <c:v>STORAGE WITHDRAWAL</c:v>
                </c:pt>
              </c:strCache>
            </c:strRef>
          </c:cat>
          <c:val>
            <c:numRef>
              <c:f>Sheet1!$O$138:$O$142</c:f>
              <c:numCache>
                <c:formatCode>#,##0</c:formatCode>
                <c:ptCount val="5"/>
                <c:pt idx="0">
                  <c:v>4176527</c:v>
                </c:pt>
                <c:pt idx="1">
                  <c:v>4246594</c:v>
                </c:pt>
                <c:pt idx="2">
                  <c:v>598428</c:v>
                </c:pt>
                <c:pt idx="3">
                  <c:v>1474980</c:v>
                </c:pt>
                <c:pt idx="4">
                  <c:v>1704628</c:v>
                </c:pt>
              </c:numCache>
            </c:numRef>
          </c:val>
        </c:ser>
        <c:dLbls>
          <c:showLegendKey val="0"/>
          <c:showVal val="1"/>
          <c:showCatName val="0"/>
          <c:showSerName val="0"/>
          <c:showPercent val="0"/>
          <c:showBubbleSize val="0"/>
        </c:dLbls>
        <c:gapWidth val="150"/>
        <c:overlap val="-25"/>
        <c:axId val="1756676304"/>
        <c:axId val="1756659984"/>
      </c:barChart>
      <c:catAx>
        <c:axId val="17566763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756659984"/>
        <c:crosses val="autoZero"/>
        <c:auto val="1"/>
        <c:lblAlgn val="ctr"/>
        <c:lblOffset val="100"/>
        <c:noMultiLvlLbl val="0"/>
      </c:catAx>
      <c:valAx>
        <c:axId val="1756659984"/>
        <c:scaling>
          <c:orientation val="minMax"/>
        </c:scaling>
        <c:delete val="1"/>
        <c:axPos val="l"/>
        <c:numFmt formatCode="#,##0" sourceLinked="1"/>
        <c:majorTickMark val="none"/>
        <c:minorTickMark val="none"/>
        <c:tickLblPos val="nextTo"/>
        <c:crossAx val="1756676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2885E0-7952-41E1-BBB5-25063B210CAE}" type="doc">
      <dgm:prSet loTypeId="urn:microsoft.com/office/officeart/2005/8/layout/radial1" loCatId="cycle" qsTypeId="urn:microsoft.com/office/officeart/2005/8/quickstyle/simple1" qsCatId="simple" csTypeId="urn:microsoft.com/office/officeart/2005/8/colors/colorful1" csCatId="colorful" phldr="1"/>
      <dgm:spPr/>
      <dgm:t>
        <a:bodyPr/>
        <a:lstStyle/>
        <a:p>
          <a:endParaRPr lang="en-US"/>
        </a:p>
      </dgm:t>
    </dgm:pt>
    <dgm:pt modelId="{3C43D114-2F3A-420D-B6D8-EEA0CDB49CAA}">
      <dgm:prSet phldrT="[Text]" custT="1"/>
      <dgm:spPr/>
      <dgm:t>
        <a:bodyPr/>
        <a:lstStyle/>
        <a:p>
          <a:r>
            <a:rPr lang="en-GB" sz="900"/>
            <a:t>Management performance criteria and objectives</a:t>
          </a:r>
          <a:endParaRPr lang="en-US" sz="900" b="1">
            <a:latin typeface="+mj-lt"/>
          </a:endParaRPr>
        </a:p>
      </dgm:t>
    </dgm:pt>
    <dgm:pt modelId="{E102BAE1-0162-4EC2-80C7-B5BDE70AB5CC}" type="parTrans" cxnId="{3A27F70B-E497-453D-953E-B106812E4ECA}">
      <dgm:prSet/>
      <dgm:spPr/>
      <dgm:t>
        <a:bodyPr/>
        <a:lstStyle/>
        <a:p>
          <a:endParaRPr lang="en-US" sz="900">
            <a:latin typeface="+mj-lt"/>
          </a:endParaRPr>
        </a:p>
      </dgm:t>
    </dgm:pt>
    <dgm:pt modelId="{5E65A2FA-B161-44BC-8B16-003CEDF4C66E}" type="sibTrans" cxnId="{3A27F70B-E497-453D-953E-B106812E4ECA}">
      <dgm:prSet/>
      <dgm:spPr/>
      <dgm:t>
        <a:bodyPr/>
        <a:lstStyle/>
        <a:p>
          <a:endParaRPr lang="en-US" sz="900">
            <a:latin typeface="+mj-lt"/>
          </a:endParaRPr>
        </a:p>
      </dgm:t>
    </dgm:pt>
    <dgm:pt modelId="{65B2C71A-27DD-4C38-A732-0CFBDD8AD698}">
      <dgm:prSet/>
      <dgm:spPr/>
      <dgm:t>
        <a:bodyPr/>
        <a:lstStyle/>
        <a:p>
          <a:endParaRPr lang="en-US"/>
        </a:p>
      </dgm:t>
    </dgm:pt>
    <dgm:pt modelId="{68D5361C-C8FF-4219-9288-3ED8BF5E4152}" type="parTrans" cxnId="{5BC344FC-A30E-49E7-B279-4CF032E683D3}">
      <dgm:prSet/>
      <dgm:spPr/>
      <dgm:t>
        <a:bodyPr/>
        <a:lstStyle/>
        <a:p>
          <a:endParaRPr lang="en-US" sz="900">
            <a:latin typeface="+mj-lt"/>
          </a:endParaRPr>
        </a:p>
      </dgm:t>
    </dgm:pt>
    <dgm:pt modelId="{FC1D46DF-62CD-4B40-A31D-C94186A90513}" type="sibTrans" cxnId="{5BC344FC-A30E-49E7-B279-4CF032E683D3}">
      <dgm:prSet/>
      <dgm:spPr/>
      <dgm:t>
        <a:bodyPr/>
        <a:lstStyle/>
        <a:p>
          <a:endParaRPr lang="en-US" sz="900">
            <a:latin typeface="+mj-lt"/>
          </a:endParaRPr>
        </a:p>
      </dgm:t>
    </dgm:pt>
    <dgm:pt modelId="{85BDD973-3F32-4ECA-9567-89E611F27842}">
      <dgm:prSet/>
      <dgm:spPr/>
      <dgm:t>
        <a:bodyPr/>
        <a:lstStyle/>
        <a:p>
          <a:endParaRPr lang="en-US"/>
        </a:p>
      </dgm:t>
    </dgm:pt>
    <dgm:pt modelId="{87E59C01-4A52-4E4D-BEEA-AB7FEE9B972F}" type="parTrans" cxnId="{8C101339-5F9C-4965-BEFE-F7E6F305FDFB}">
      <dgm:prSet/>
      <dgm:spPr/>
      <dgm:t>
        <a:bodyPr/>
        <a:lstStyle/>
        <a:p>
          <a:endParaRPr lang="en-US" sz="900">
            <a:latin typeface="+mj-lt"/>
          </a:endParaRPr>
        </a:p>
      </dgm:t>
    </dgm:pt>
    <dgm:pt modelId="{041A9767-94CC-41DC-8516-10204F12E76B}" type="sibTrans" cxnId="{8C101339-5F9C-4965-BEFE-F7E6F305FDFB}">
      <dgm:prSet/>
      <dgm:spPr/>
      <dgm:t>
        <a:bodyPr/>
        <a:lstStyle/>
        <a:p>
          <a:endParaRPr lang="en-US" sz="900">
            <a:latin typeface="+mj-lt"/>
          </a:endParaRPr>
        </a:p>
      </dgm:t>
    </dgm:pt>
    <dgm:pt modelId="{C31EBC0E-F37F-4D7A-B369-55BDC2376D43}">
      <dgm:prSet custT="1"/>
      <dgm:spPr/>
      <dgm:t>
        <a:bodyPr/>
        <a:lstStyle/>
        <a:p>
          <a:r>
            <a:rPr lang="en-GB" sz="900"/>
            <a:t>Other performance indicators.</a:t>
          </a:r>
          <a:endParaRPr lang="en-US" sz="900">
            <a:latin typeface="+mj-lt"/>
          </a:endParaRPr>
        </a:p>
      </dgm:t>
    </dgm:pt>
    <dgm:pt modelId="{97E15C1B-5FFA-477F-B860-D7DCBDBF2D22}" type="sibTrans" cxnId="{12473A72-A168-455B-AD44-8944326F1AC2}">
      <dgm:prSet/>
      <dgm:spPr/>
      <dgm:t>
        <a:bodyPr/>
        <a:lstStyle/>
        <a:p>
          <a:endParaRPr lang="en-US" sz="900">
            <a:latin typeface="+mj-lt"/>
          </a:endParaRPr>
        </a:p>
      </dgm:t>
    </dgm:pt>
    <dgm:pt modelId="{62F956F4-A7CD-4D6E-AFD6-471D6B0827F3}" type="parTrans" cxnId="{12473A72-A168-455B-AD44-8944326F1AC2}">
      <dgm:prSet custT="1"/>
      <dgm:spPr/>
      <dgm:t>
        <a:bodyPr/>
        <a:lstStyle/>
        <a:p>
          <a:endParaRPr lang="en-US" sz="900">
            <a:latin typeface="+mj-lt"/>
          </a:endParaRPr>
        </a:p>
      </dgm:t>
    </dgm:pt>
    <dgm:pt modelId="{B29E4AC3-7D93-49CD-A316-4E21DD16C5B7}">
      <dgm:prSet custT="1"/>
      <dgm:spPr/>
      <dgm:t>
        <a:bodyPr/>
        <a:lstStyle/>
        <a:p>
          <a:r>
            <a:rPr lang="en-GB" sz="900"/>
            <a:t>Measurement indicators for the performance of the natural gas transmission service</a:t>
          </a:r>
          <a:r>
            <a:rPr lang="en-US" sz="900">
              <a:latin typeface="+mj-lt"/>
            </a:rPr>
            <a:t>;</a:t>
          </a:r>
        </a:p>
      </dgm:t>
    </dgm:pt>
    <dgm:pt modelId="{6EB6B972-1975-443E-B974-009EF7915088}" type="sibTrans" cxnId="{8F791DF7-4A69-4B35-AEDC-311C66703091}">
      <dgm:prSet/>
      <dgm:spPr/>
      <dgm:t>
        <a:bodyPr/>
        <a:lstStyle/>
        <a:p>
          <a:endParaRPr lang="en-US" sz="900">
            <a:latin typeface="+mj-lt"/>
          </a:endParaRPr>
        </a:p>
      </dgm:t>
    </dgm:pt>
    <dgm:pt modelId="{F0C689F2-1387-4A93-B880-A2291AEC1CB3}" type="parTrans" cxnId="{8F791DF7-4A69-4B35-AEDC-311C66703091}">
      <dgm:prSet custT="1"/>
      <dgm:spPr/>
      <dgm:t>
        <a:bodyPr/>
        <a:lstStyle/>
        <a:p>
          <a:endParaRPr lang="en-US" sz="900">
            <a:latin typeface="+mj-lt"/>
          </a:endParaRPr>
        </a:p>
      </dgm:t>
    </dgm:pt>
    <dgm:pt modelId="{BDDCB600-499F-4506-956A-FB78788F38D5}">
      <dgm:prSet custT="1"/>
      <dgm:spPr/>
      <dgm:t>
        <a:bodyPr/>
        <a:lstStyle/>
        <a:p>
          <a:r>
            <a:rPr lang="en-GB" sz="800"/>
            <a:t>Performance criteria and objectives for determining the variable component of the remuneration</a:t>
          </a:r>
          <a:endParaRPr lang="en-US" sz="800">
            <a:solidFill>
              <a:sysClr val="windowText" lastClr="000000"/>
            </a:solidFill>
            <a:latin typeface="+mj-lt"/>
          </a:endParaRPr>
        </a:p>
      </dgm:t>
    </dgm:pt>
    <dgm:pt modelId="{B4471FDB-B161-4688-B3B6-8D299D3A5A29}" type="sibTrans" cxnId="{FAA1AC3D-B9D4-4723-8188-0E1DA8668287}">
      <dgm:prSet/>
      <dgm:spPr/>
      <dgm:t>
        <a:bodyPr/>
        <a:lstStyle/>
        <a:p>
          <a:endParaRPr lang="en-US" sz="900">
            <a:latin typeface="+mj-lt"/>
          </a:endParaRPr>
        </a:p>
      </dgm:t>
    </dgm:pt>
    <dgm:pt modelId="{0C85B342-DB50-4A8F-9D5E-053B56F47AAB}" type="parTrans" cxnId="{FAA1AC3D-B9D4-4723-8188-0E1DA8668287}">
      <dgm:prSet custT="1"/>
      <dgm:spPr/>
      <dgm:t>
        <a:bodyPr/>
        <a:lstStyle/>
        <a:p>
          <a:endParaRPr lang="en-US" sz="900">
            <a:latin typeface="+mj-lt"/>
          </a:endParaRPr>
        </a:p>
      </dgm:t>
    </dgm:pt>
    <dgm:pt modelId="{369EFE18-2C24-4CB0-BDD2-677DFCF7967E}">
      <dgm:prSet custT="1"/>
      <dgm:spPr/>
      <dgm:t>
        <a:bodyPr/>
        <a:lstStyle/>
        <a:p>
          <a:r>
            <a:rPr lang="en-US" sz="900">
              <a:latin typeface="+mj-lt"/>
            </a:rPr>
            <a:t>Standard performance criteria and objectives</a:t>
          </a:r>
        </a:p>
      </dgm:t>
    </dgm:pt>
    <dgm:pt modelId="{3CF74CE5-EDB7-4E5C-8D47-747A10014DA1}" type="sibTrans" cxnId="{62050AA8-9A45-4696-9D78-5D4C84C2AC56}">
      <dgm:prSet/>
      <dgm:spPr/>
      <dgm:t>
        <a:bodyPr/>
        <a:lstStyle/>
        <a:p>
          <a:endParaRPr lang="en-US" sz="900">
            <a:latin typeface="+mj-lt"/>
          </a:endParaRPr>
        </a:p>
      </dgm:t>
    </dgm:pt>
    <dgm:pt modelId="{AC54C999-7AD0-4198-A69F-CB7CBCACFD57}" type="parTrans" cxnId="{62050AA8-9A45-4696-9D78-5D4C84C2AC56}">
      <dgm:prSet custT="1"/>
      <dgm:spPr/>
      <dgm:t>
        <a:bodyPr/>
        <a:lstStyle/>
        <a:p>
          <a:endParaRPr lang="en-US" sz="900">
            <a:latin typeface="+mj-lt"/>
          </a:endParaRPr>
        </a:p>
      </dgm:t>
    </dgm:pt>
    <dgm:pt modelId="{3BF24680-96B2-4468-8484-6D62497E482C}" type="pres">
      <dgm:prSet presAssocID="{262885E0-7952-41E1-BBB5-25063B210CAE}" presName="cycle" presStyleCnt="0">
        <dgm:presLayoutVars>
          <dgm:chMax val="1"/>
          <dgm:dir/>
          <dgm:animLvl val="ctr"/>
          <dgm:resizeHandles val="exact"/>
        </dgm:presLayoutVars>
      </dgm:prSet>
      <dgm:spPr/>
      <dgm:t>
        <a:bodyPr/>
        <a:lstStyle/>
        <a:p>
          <a:endParaRPr lang="en-US"/>
        </a:p>
      </dgm:t>
    </dgm:pt>
    <dgm:pt modelId="{70E82AB5-3E7D-47DE-920C-5FD53465D5F4}" type="pres">
      <dgm:prSet presAssocID="{3C43D114-2F3A-420D-B6D8-EEA0CDB49CAA}" presName="centerShape" presStyleLbl="node0" presStyleIdx="0" presStyleCnt="1" custScaleX="183943" custScaleY="101487"/>
      <dgm:spPr/>
      <dgm:t>
        <a:bodyPr/>
        <a:lstStyle/>
        <a:p>
          <a:endParaRPr lang="en-US"/>
        </a:p>
      </dgm:t>
    </dgm:pt>
    <dgm:pt modelId="{AC15F05D-A0A7-4017-A02B-E05AF4E5662F}" type="pres">
      <dgm:prSet presAssocID="{AC54C999-7AD0-4198-A69F-CB7CBCACFD57}" presName="Name9" presStyleLbl="parChTrans1D2" presStyleIdx="0" presStyleCnt="4"/>
      <dgm:spPr/>
      <dgm:t>
        <a:bodyPr/>
        <a:lstStyle/>
        <a:p>
          <a:endParaRPr lang="en-US"/>
        </a:p>
      </dgm:t>
    </dgm:pt>
    <dgm:pt modelId="{4D0EFE2F-A758-4B96-BD3C-1C9A83D405BF}" type="pres">
      <dgm:prSet presAssocID="{AC54C999-7AD0-4198-A69F-CB7CBCACFD57}" presName="connTx" presStyleLbl="parChTrans1D2" presStyleIdx="0" presStyleCnt="4"/>
      <dgm:spPr/>
      <dgm:t>
        <a:bodyPr/>
        <a:lstStyle/>
        <a:p>
          <a:endParaRPr lang="en-US"/>
        </a:p>
      </dgm:t>
    </dgm:pt>
    <dgm:pt modelId="{ED56FF11-FE4B-4599-8459-9730433B84EE}" type="pres">
      <dgm:prSet presAssocID="{369EFE18-2C24-4CB0-BDD2-677DFCF7967E}" presName="node" presStyleLbl="node1" presStyleIdx="0" presStyleCnt="4" custScaleX="170516" custScaleY="117856">
        <dgm:presLayoutVars>
          <dgm:bulletEnabled val="1"/>
        </dgm:presLayoutVars>
      </dgm:prSet>
      <dgm:spPr/>
      <dgm:t>
        <a:bodyPr/>
        <a:lstStyle/>
        <a:p>
          <a:endParaRPr lang="en-US"/>
        </a:p>
      </dgm:t>
    </dgm:pt>
    <dgm:pt modelId="{0BC69E17-45EE-482A-BF8A-6D000D330B95}" type="pres">
      <dgm:prSet presAssocID="{0C85B342-DB50-4A8F-9D5E-053B56F47AAB}" presName="Name9" presStyleLbl="parChTrans1D2" presStyleIdx="1" presStyleCnt="4"/>
      <dgm:spPr/>
      <dgm:t>
        <a:bodyPr/>
        <a:lstStyle/>
        <a:p>
          <a:endParaRPr lang="en-US"/>
        </a:p>
      </dgm:t>
    </dgm:pt>
    <dgm:pt modelId="{1B765045-B512-44F4-AE85-E5643D5C96BA}" type="pres">
      <dgm:prSet presAssocID="{0C85B342-DB50-4A8F-9D5E-053B56F47AAB}" presName="connTx" presStyleLbl="parChTrans1D2" presStyleIdx="1" presStyleCnt="4"/>
      <dgm:spPr/>
      <dgm:t>
        <a:bodyPr/>
        <a:lstStyle/>
        <a:p>
          <a:endParaRPr lang="en-US"/>
        </a:p>
      </dgm:t>
    </dgm:pt>
    <dgm:pt modelId="{B1DEBF0F-5F7E-4255-B49B-70ECFFE818D2}" type="pres">
      <dgm:prSet presAssocID="{BDDCB600-499F-4506-956A-FB78788F38D5}" presName="node" presStyleLbl="node1" presStyleIdx="1" presStyleCnt="4" custScaleX="172529" custScaleY="124580" custRadScaleRad="175729" custRadScaleInc="3264">
        <dgm:presLayoutVars>
          <dgm:bulletEnabled val="1"/>
        </dgm:presLayoutVars>
      </dgm:prSet>
      <dgm:spPr/>
      <dgm:t>
        <a:bodyPr/>
        <a:lstStyle/>
        <a:p>
          <a:endParaRPr lang="en-US"/>
        </a:p>
      </dgm:t>
    </dgm:pt>
    <dgm:pt modelId="{620575FF-1E69-463A-A97A-D36F0214AF41}" type="pres">
      <dgm:prSet presAssocID="{F0C689F2-1387-4A93-B880-A2291AEC1CB3}" presName="Name9" presStyleLbl="parChTrans1D2" presStyleIdx="2" presStyleCnt="4"/>
      <dgm:spPr/>
      <dgm:t>
        <a:bodyPr/>
        <a:lstStyle/>
        <a:p>
          <a:endParaRPr lang="en-US"/>
        </a:p>
      </dgm:t>
    </dgm:pt>
    <dgm:pt modelId="{4F8A3999-E5B2-4999-9923-BC58E60D7FCA}" type="pres">
      <dgm:prSet presAssocID="{F0C689F2-1387-4A93-B880-A2291AEC1CB3}" presName="connTx" presStyleLbl="parChTrans1D2" presStyleIdx="2" presStyleCnt="4"/>
      <dgm:spPr/>
      <dgm:t>
        <a:bodyPr/>
        <a:lstStyle/>
        <a:p>
          <a:endParaRPr lang="en-US"/>
        </a:p>
      </dgm:t>
    </dgm:pt>
    <dgm:pt modelId="{9656F914-AB97-40B4-9726-0CB3A9919090}" type="pres">
      <dgm:prSet presAssocID="{B29E4AC3-7D93-49CD-A316-4E21DD16C5B7}" presName="node" presStyleLbl="node1" presStyleIdx="2" presStyleCnt="4" custScaleX="173715" custScaleY="114584">
        <dgm:presLayoutVars>
          <dgm:bulletEnabled val="1"/>
        </dgm:presLayoutVars>
      </dgm:prSet>
      <dgm:spPr/>
      <dgm:t>
        <a:bodyPr/>
        <a:lstStyle/>
        <a:p>
          <a:endParaRPr lang="en-US"/>
        </a:p>
      </dgm:t>
    </dgm:pt>
    <dgm:pt modelId="{6115BBFB-A724-434A-879B-C10E27C465FA}" type="pres">
      <dgm:prSet presAssocID="{62F956F4-A7CD-4D6E-AFD6-471D6B0827F3}" presName="Name9" presStyleLbl="parChTrans1D2" presStyleIdx="3" presStyleCnt="4"/>
      <dgm:spPr/>
      <dgm:t>
        <a:bodyPr/>
        <a:lstStyle/>
        <a:p>
          <a:endParaRPr lang="en-US"/>
        </a:p>
      </dgm:t>
    </dgm:pt>
    <dgm:pt modelId="{016DFF97-4CDE-449A-915F-2BDBD95BECCA}" type="pres">
      <dgm:prSet presAssocID="{62F956F4-A7CD-4D6E-AFD6-471D6B0827F3}" presName="connTx" presStyleLbl="parChTrans1D2" presStyleIdx="3" presStyleCnt="4"/>
      <dgm:spPr/>
      <dgm:t>
        <a:bodyPr/>
        <a:lstStyle/>
        <a:p>
          <a:endParaRPr lang="en-US"/>
        </a:p>
      </dgm:t>
    </dgm:pt>
    <dgm:pt modelId="{0C62D884-EC83-4B27-B50B-F5903FF8E95D}" type="pres">
      <dgm:prSet presAssocID="{C31EBC0E-F37F-4D7A-B369-55BDC2376D43}" presName="node" presStyleLbl="node1" presStyleIdx="3" presStyleCnt="4" custScaleX="163863" custScaleY="128027" custRadScaleRad="187401" custRadScaleInc="1836">
        <dgm:presLayoutVars>
          <dgm:bulletEnabled val="1"/>
        </dgm:presLayoutVars>
      </dgm:prSet>
      <dgm:spPr/>
      <dgm:t>
        <a:bodyPr/>
        <a:lstStyle/>
        <a:p>
          <a:endParaRPr lang="en-US"/>
        </a:p>
      </dgm:t>
    </dgm:pt>
  </dgm:ptLst>
  <dgm:cxnLst>
    <dgm:cxn modelId="{8F791DF7-4A69-4B35-AEDC-311C66703091}" srcId="{3C43D114-2F3A-420D-B6D8-EEA0CDB49CAA}" destId="{B29E4AC3-7D93-49CD-A316-4E21DD16C5B7}" srcOrd="2" destOrd="0" parTransId="{F0C689F2-1387-4A93-B880-A2291AEC1CB3}" sibTransId="{6EB6B972-1975-443E-B974-009EF7915088}"/>
    <dgm:cxn modelId="{EB9AD568-BCF2-409C-9E55-202E35BEA15D}" type="presOf" srcId="{AC54C999-7AD0-4198-A69F-CB7CBCACFD57}" destId="{AC15F05D-A0A7-4017-A02B-E05AF4E5662F}" srcOrd="0" destOrd="0" presId="urn:microsoft.com/office/officeart/2005/8/layout/radial1"/>
    <dgm:cxn modelId="{4FAB5680-5DCF-466A-8A00-3E73C88E79E0}" type="presOf" srcId="{C31EBC0E-F37F-4D7A-B369-55BDC2376D43}" destId="{0C62D884-EC83-4B27-B50B-F5903FF8E95D}" srcOrd="0" destOrd="0" presId="urn:microsoft.com/office/officeart/2005/8/layout/radial1"/>
    <dgm:cxn modelId="{12473A72-A168-455B-AD44-8944326F1AC2}" srcId="{3C43D114-2F3A-420D-B6D8-EEA0CDB49CAA}" destId="{C31EBC0E-F37F-4D7A-B369-55BDC2376D43}" srcOrd="3" destOrd="0" parTransId="{62F956F4-A7CD-4D6E-AFD6-471D6B0827F3}" sibTransId="{97E15C1B-5FFA-477F-B860-D7DCBDBF2D22}"/>
    <dgm:cxn modelId="{2C4D8512-94F5-4BFF-8DB2-4D9A8AFB2DA9}" type="presOf" srcId="{62F956F4-A7CD-4D6E-AFD6-471D6B0827F3}" destId="{016DFF97-4CDE-449A-915F-2BDBD95BECCA}" srcOrd="1" destOrd="0" presId="urn:microsoft.com/office/officeart/2005/8/layout/radial1"/>
    <dgm:cxn modelId="{FF6D181E-95E9-46CD-A308-C082E0C010AA}" type="presOf" srcId="{369EFE18-2C24-4CB0-BDD2-677DFCF7967E}" destId="{ED56FF11-FE4B-4599-8459-9730433B84EE}" srcOrd="0" destOrd="0" presId="urn:microsoft.com/office/officeart/2005/8/layout/radial1"/>
    <dgm:cxn modelId="{981C5075-503A-4C3E-8906-FC483ED0828A}" type="presOf" srcId="{F0C689F2-1387-4A93-B880-A2291AEC1CB3}" destId="{4F8A3999-E5B2-4999-9923-BC58E60D7FCA}" srcOrd="1" destOrd="0" presId="urn:microsoft.com/office/officeart/2005/8/layout/radial1"/>
    <dgm:cxn modelId="{9467CD29-79F0-444E-B775-4637DFD1110A}" type="presOf" srcId="{B29E4AC3-7D93-49CD-A316-4E21DD16C5B7}" destId="{9656F914-AB97-40B4-9726-0CB3A9919090}" srcOrd="0" destOrd="0" presId="urn:microsoft.com/office/officeart/2005/8/layout/radial1"/>
    <dgm:cxn modelId="{D17709CD-E619-4D40-9DAD-02135D937910}" type="presOf" srcId="{3C43D114-2F3A-420D-B6D8-EEA0CDB49CAA}" destId="{70E82AB5-3E7D-47DE-920C-5FD53465D5F4}" srcOrd="0" destOrd="0" presId="urn:microsoft.com/office/officeart/2005/8/layout/radial1"/>
    <dgm:cxn modelId="{AB69296D-FBAB-4C26-A2D7-4CFC1E93BF8C}" type="presOf" srcId="{0C85B342-DB50-4A8F-9D5E-053B56F47AAB}" destId="{0BC69E17-45EE-482A-BF8A-6D000D330B95}" srcOrd="0" destOrd="0" presId="urn:microsoft.com/office/officeart/2005/8/layout/radial1"/>
    <dgm:cxn modelId="{3A27F70B-E497-453D-953E-B106812E4ECA}" srcId="{262885E0-7952-41E1-BBB5-25063B210CAE}" destId="{3C43D114-2F3A-420D-B6D8-EEA0CDB49CAA}" srcOrd="0" destOrd="0" parTransId="{E102BAE1-0162-4EC2-80C7-B5BDE70AB5CC}" sibTransId="{5E65A2FA-B161-44BC-8B16-003CEDF4C66E}"/>
    <dgm:cxn modelId="{2250EA92-340D-4205-A495-9A7D31668DAF}" type="presOf" srcId="{262885E0-7952-41E1-BBB5-25063B210CAE}" destId="{3BF24680-96B2-4468-8484-6D62497E482C}" srcOrd="0" destOrd="0" presId="urn:microsoft.com/office/officeart/2005/8/layout/radial1"/>
    <dgm:cxn modelId="{6497089A-22C2-432A-A4F9-442C41007056}" type="presOf" srcId="{0C85B342-DB50-4A8F-9D5E-053B56F47AAB}" destId="{1B765045-B512-44F4-AE85-E5643D5C96BA}" srcOrd="1" destOrd="0" presId="urn:microsoft.com/office/officeart/2005/8/layout/radial1"/>
    <dgm:cxn modelId="{62050AA8-9A45-4696-9D78-5D4C84C2AC56}" srcId="{3C43D114-2F3A-420D-B6D8-EEA0CDB49CAA}" destId="{369EFE18-2C24-4CB0-BDD2-677DFCF7967E}" srcOrd="0" destOrd="0" parTransId="{AC54C999-7AD0-4198-A69F-CB7CBCACFD57}" sibTransId="{3CF74CE5-EDB7-4E5C-8D47-747A10014DA1}"/>
    <dgm:cxn modelId="{70087332-B3FD-41BD-A397-59A1BD466179}" type="presOf" srcId="{F0C689F2-1387-4A93-B880-A2291AEC1CB3}" destId="{620575FF-1E69-463A-A97A-D36F0214AF41}" srcOrd="0" destOrd="0" presId="urn:microsoft.com/office/officeart/2005/8/layout/radial1"/>
    <dgm:cxn modelId="{8CC737D1-31D9-4013-AD1B-481E8F7F11C6}" type="presOf" srcId="{BDDCB600-499F-4506-956A-FB78788F38D5}" destId="{B1DEBF0F-5F7E-4255-B49B-70ECFFE818D2}" srcOrd="0" destOrd="0" presId="urn:microsoft.com/office/officeart/2005/8/layout/radial1"/>
    <dgm:cxn modelId="{71FF5CBD-AE8D-4D2C-95F2-7A215DD5AEEA}" type="presOf" srcId="{62F956F4-A7CD-4D6E-AFD6-471D6B0827F3}" destId="{6115BBFB-A724-434A-879B-C10E27C465FA}" srcOrd="0" destOrd="0" presId="urn:microsoft.com/office/officeart/2005/8/layout/radial1"/>
    <dgm:cxn modelId="{E00F8C46-5970-401B-ACC0-B68230E32A4D}" type="presOf" srcId="{AC54C999-7AD0-4198-A69F-CB7CBCACFD57}" destId="{4D0EFE2F-A758-4B96-BD3C-1C9A83D405BF}" srcOrd="1" destOrd="0" presId="urn:microsoft.com/office/officeart/2005/8/layout/radial1"/>
    <dgm:cxn modelId="{8C101339-5F9C-4965-BEFE-F7E6F305FDFB}" srcId="{262885E0-7952-41E1-BBB5-25063B210CAE}" destId="{85BDD973-3F32-4ECA-9567-89E611F27842}" srcOrd="1" destOrd="0" parTransId="{87E59C01-4A52-4E4D-BEEA-AB7FEE9B972F}" sibTransId="{041A9767-94CC-41DC-8516-10204F12E76B}"/>
    <dgm:cxn modelId="{FAA1AC3D-B9D4-4723-8188-0E1DA8668287}" srcId="{3C43D114-2F3A-420D-B6D8-EEA0CDB49CAA}" destId="{BDDCB600-499F-4506-956A-FB78788F38D5}" srcOrd="1" destOrd="0" parTransId="{0C85B342-DB50-4A8F-9D5E-053B56F47AAB}" sibTransId="{B4471FDB-B161-4688-B3B6-8D299D3A5A29}"/>
    <dgm:cxn modelId="{5BC344FC-A30E-49E7-B279-4CF032E683D3}" srcId="{262885E0-7952-41E1-BBB5-25063B210CAE}" destId="{65B2C71A-27DD-4C38-A732-0CFBDD8AD698}" srcOrd="2" destOrd="0" parTransId="{68D5361C-C8FF-4219-9288-3ED8BF5E4152}" sibTransId="{FC1D46DF-62CD-4B40-A31D-C94186A90513}"/>
    <dgm:cxn modelId="{755D5C82-3A12-42DF-B457-CCE96B8C0B75}" type="presParOf" srcId="{3BF24680-96B2-4468-8484-6D62497E482C}" destId="{70E82AB5-3E7D-47DE-920C-5FD53465D5F4}" srcOrd="0" destOrd="0" presId="urn:microsoft.com/office/officeart/2005/8/layout/radial1"/>
    <dgm:cxn modelId="{CB148712-B9A0-4710-A392-4E4C62C05D56}" type="presParOf" srcId="{3BF24680-96B2-4468-8484-6D62497E482C}" destId="{AC15F05D-A0A7-4017-A02B-E05AF4E5662F}" srcOrd="1" destOrd="0" presId="urn:microsoft.com/office/officeart/2005/8/layout/radial1"/>
    <dgm:cxn modelId="{DD93F6BE-F60A-4986-AC55-06A4911FD6EB}" type="presParOf" srcId="{AC15F05D-A0A7-4017-A02B-E05AF4E5662F}" destId="{4D0EFE2F-A758-4B96-BD3C-1C9A83D405BF}" srcOrd="0" destOrd="0" presId="urn:microsoft.com/office/officeart/2005/8/layout/radial1"/>
    <dgm:cxn modelId="{7196398E-4850-4762-9810-2153735C734A}" type="presParOf" srcId="{3BF24680-96B2-4468-8484-6D62497E482C}" destId="{ED56FF11-FE4B-4599-8459-9730433B84EE}" srcOrd="2" destOrd="0" presId="urn:microsoft.com/office/officeart/2005/8/layout/radial1"/>
    <dgm:cxn modelId="{62094CAC-A1DE-4623-9E43-83140CA43BB5}" type="presParOf" srcId="{3BF24680-96B2-4468-8484-6D62497E482C}" destId="{0BC69E17-45EE-482A-BF8A-6D000D330B95}" srcOrd="3" destOrd="0" presId="urn:microsoft.com/office/officeart/2005/8/layout/radial1"/>
    <dgm:cxn modelId="{3B460D35-13D2-41BB-8651-69E8E2E19537}" type="presParOf" srcId="{0BC69E17-45EE-482A-BF8A-6D000D330B95}" destId="{1B765045-B512-44F4-AE85-E5643D5C96BA}" srcOrd="0" destOrd="0" presId="urn:microsoft.com/office/officeart/2005/8/layout/radial1"/>
    <dgm:cxn modelId="{761538EF-60A4-424D-8347-C4F72E2BE30B}" type="presParOf" srcId="{3BF24680-96B2-4468-8484-6D62497E482C}" destId="{B1DEBF0F-5F7E-4255-B49B-70ECFFE818D2}" srcOrd="4" destOrd="0" presId="urn:microsoft.com/office/officeart/2005/8/layout/radial1"/>
    <dgm:cxn modelId="{189B98E8-FF53-41CE-BB1B-B2CD7393AA3F}" type="presParOf" srcId="{3BF24680-96B2-4468-8484-6D62497E482C}" destId="{620575FF-1E69-463A-A97A-D36F0214AF41}" srcOrd="5" destOrd="0" presId="urn:microsoft.com/office/officeart/2005/8/layout/radial1"/>
    <dgm:cxn modelId="{7C613BAC-3B1E-4E02-B75D-73651D0B2917}" type="presParOf" srcId="{620575FF-1E69-463A-A97A-D36F0214AF41}" destId="{4F8A3999-E5B2-4999-9923-BC58E60D7FCA}" srcOrd="0" destOrd="0" presId="urn:microsoft.com/office/officeart/2005/8/layout/radial1"/>
    <dgm:cxn modelId="{7A25FDAC-CEB0-48DB-891C-09E59DC5AA5C}" type="presParOf" srcId="{3BF24680-96B2-4468-8484-6D62497E482C}" destId="{9656F914-AB97-40B4-9726-0CB3A9919090}" srcOrd="6" destOrd="0" presId="urn:microsoft.com/office/officeart/2005/8/layout/radial1"/>
    <dgm:cxn modelId="{BBAEFAF7-316C-4A51-804C-9DA391F93FFB}" type="presParOf" srcId="{3BF24680-96B2-4468-8484-6D62497E482C}" destId="{6115BBFB-A724-434A-879B-C10E27C465FA}" srcOrd="7" destOrd="0" presId="urn:microsoft.com/office/officeart/2005/8/layout/radial1"/>
    <dgm:cxn modelId="{C54A2351-AE56-437E-BB81-E0E1DA1EA5EB}" type="presParOf" srcId="{6115BBFB-A724-434A-879B-C10E27C465FA}" destId="{016DFF97-4CDE-449A-915F-2BDBD95BECCA}" srcOrd="0" destOrd="0" presId="urn:microsoft.com/office/officeart/2005/8/layout/radial1"/>
    <dgm:cxn modelId="{60D1C30B-7B05-4AE5-BDC6-06CD0B12FDBA}" type="presParOf" srcId="{3BF24680-96B2-4468-8484-6D62497E482C}" destId="{0C62D884-EC83-4B27-B50B-F5903FF8E95D}" srcOrd="8" destOrd="0" presId="urn:microsoft.com/office/officeart/2005/8/layout/radial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184681-2C73-413B-A5D6-7A98473CA50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o-RO"/>
        </a:p>
      </dgm:t>
    </dgm:pt>
    <dgm:pt modelId="{B8FE7F91-720A-43E5-93D5-9E776DBF7961}">
      <dgm:prSet phldrT="[Text]">
        <dgm:style>
          <a:lnRef idx="1">
            <a:schemeClr val="accent2"/>
          </a:lnRef>
          <a:fillRef idx="2">
            <a:schemeClr val="accent2"/>
          </a:fillRef>
          <a:effectRef idx="1">
            <a:schemeClr val="accent2"/>
          </a:effectRef>
          <a:fontRef idx="minor">
            <a:schemeClr val="dk1"/>
          </a:fontRef>
        </dgm:style>
      </dgm:prSet>
      <dgm:spPr>
        <a:xfrm>
          <a:off x="2095239" y="839"/>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ro-RO">
              <a:solidFill>
                <a:sysClr val="windowText" lastClr="000000"/>
              </a:solidFill>
              <a:latin typeface="Calibri"/>
              <a:ea typeface="+mn-ea"/>
              <a:cs typeface="+mn-cs"/>
            </a:rPr>
            <a:t>DIRECTOR GENERAL</a:t>
          </a:r>
        </a:p>
      </dgm:t>
    </dgm:pt>
    <dgm:pt modelId="{CA2A3C56-A444-4763-B012-7AEFD2365D47}" type="parTrans" cxnId="{F6900171-69BD-4221-80BF-A0C7910022FF}">
      <dgm:prSet/>
      <dgm:spPr/>
      <dgm:t>
        <a:bodyPr/>
        <a:lstStyle/>
        <a:p>
          <a:endParaRPr lang="ro-RO"/>
        </a:p>
      </dgm:t>
    </dgm:pt>
    <dgm:pt modelId="{652065C0-DBEB-4204-B8FD-2B8AE7EC629B}" type="sibTrans" cxnId="{F6900171-69BD-4221-80BF-A0C7910022FF}">
      <dgm:prSet/>
      <dgm:spPr/>
      <dgm:t>
        <a:bodyPr/>
        <a:lstStyle/>
        <a:p>
          <a:endParaRPr lang="ro-RO"/>
        </a:p>
      </dgm:t>
    </dgm:pt>
    <dgm:pt modelId="{A56AE8FC-2B68-4370-AAEC-F2AEB080327B}">
      <dgm:prSet phldrT="[Text]">
        <dgm:style>
          <a:lnRef idx="1">
            <a:schemeClr val="accent2"/>
          </a:lnRef>
          <a:fillRef idx="2">
            <a:schemeClr val="accent2"/>
          </a:fillRef>
          <a:effectRef idx="1">
            <a:schemeClr val="accent2"/>
          </a:effectRef>
          <a:fontRef idx="minor">
            <a:schemeClr val="dk1"/>
          </a:fontRef>
        </dgm:style>
      </dgm:prSet>
      <dgm:spPr>
        <a:xfrm>
          <a:off x="527175" y="920942"/>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en-GB">
              <a:solidFill>
                <a:sysClr val="windowText" lastClr="000000"/>
              </a:solidFill>
              <a:latin typeface="Calibri"/>
              <a:ea typeface="+mn-ea"/>
              <a:cs typeface="+mn-cs"/>
            </a:rPr>
            <a:t>I</a:t>
          </a:r>
          <a:r>
            <a:rPr lang="ro-RO">
              <a:solidFill>
                <a:sysClr val="windowText" lastClr="000000"/>
              </a:solidFill>
              <a:latin typeface="Calibri"/>
              <a:ea typeface="+mn-ea"/>
              <a:cs typeface="+mn-cs"/>
            </a:rPr>
            <a:t>NTERN</a:t>
          </a:r>
          <a:r>
            <a:rPr lang="en-GB">
              <a:solidFill>
                <a:sysClr val="windowText" lastClr="000000"/>
              </a:solidFill>
              <a:latin typeface="Calibri"/>
              <a:ea typeface="+mn-ea"/>
              <a:cs typeface="+mn-cs"/>
            </a:rPr>
            <a:t>AL AUDIT</a:t>
          </a:r>
          <a:endParaRPr lang="ro-RO">
            <a:solidFill>
              <a:sysClr val="windowText" lastClr="000000"/>
            </a:solidFill>
            <a:latin typeface="Calibri"/>
            <a:ea typeface="+mn-ea"/>
            <a:cs typeface="+mn-cs"/>
          </a:endParaRPr>
        </a:p>
      </dgm:t>
    </dgm:pt>
    <dgm:pt modelId="{F5AF8BED-1E4E-4838-9BFB-F0FB70BDF843}" type="parTrans" cxnId="{19BD6304-13BA-4940-AB21-8AE8E490FF4C}">
      <dgm:prSet/>
      <dgm:spPr>
        <a:xfrm>
          <a:off x="1175135" y="648799"/>
          <a:ext cx="1568064" cy="272143"/>
        </a:xfrm>
        <a:noFill/>
        <a:ln w="25400" cap="flat" cmpd="sng" algn="ctr">
          <a:solidFill>
            <a:srgbClr val="3366CC">
              <a:shade val="60000"/>
              <a:hueOff val="0"/>
              <a:satOff val="0"/>
              <a:lumOff val="0"/>
              <a:alphaOff val="0"/>
            </a:srgbClr>
          </a:solidFill>
          <a:prstDash val="solid"/>
        </a:ln>
        <a:effectLst/>
      </dgm:spPr>
      <dgm:t>
        <a:bodyPr/>
        <a:lstStyle/>
        <a:p>
          <a:endParaRPr lang="ro-RO"/>
        </a:p>
      </dgm:t>
    </dgm:pt>
    <dgm:pt modelId="{B9473D85-D91E-4D29-B8D3-B2EE1E106F52}" type="sibTrans" cxnId="{19BD6304-13BA-4940-AB21-8AE8E490FF4C}">
      <dgm:prSet/>
      <dgm:spPr/>
      <dgm:t>
        <a:bodyPr/>
        <a:lstStyle/>
        <a:p>
          <a:endParaRPr lang="ro-RO"/>
        </a:p>
      </dgm:t>
    </dgm:pt>
    <dgm:pt modelId="{13D1AAF1-0860-46B1-A334-A36C847A094A}">
      <dgm:prSet phldrT="[Text]">
        <dgm:style>
          <a:lnRef idx="1">
            <a:schemeClr val="accent2"/>
          </a:lnRef>
          <a:fillRef idx="2">
            <a:schemeClr val="accent2"/>
          </a:fillRef>
          <a:effectRef idx="1">
            <a:schemeClr val="accent2"/>
          </a:effectRef>
          <a:fontRef idx="minor">
            <a:schemeClr val="dk1"/>
          </a:fontRef>
        </dgm:style>
      </dgm:prSet>
      <dgm:spPr>
        <a:xfrm>
          <a:off x="1311207" y="1841046"/>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en-GB">
              <a:solidFill>
                <a:sysClr val="windowText" lastClr="000000"/>
              </a:solidFill>
              <a:latin typeface="Calibri"/>
              <a:ea typeface="+mn-ea"/>
              <a:cs typeface="+mn-cs"/>
            </a:rPr>
            <a:t>RISK MANAGEMENT TEAM</a:t>
          </a:r>
          <a:r>
            <a:rPr lang="ro-RO">
              <a:solidFill>
                <a:sysClr val="windowText" lastClr="000000"/>
              </a:solidFill>
              <a:latin typeface="Calibri"/>
              <a:ea typeface="+mn-ea"/>
              <a:cs typeface="+mn-cs"/>
            </a:rPr>
            <a:t> (EGR)</a:t>
          </a:r>
        </a:p>
      </dgm:t>
    </dgm:pt>
    <dgm:pt modelId="{4F890365-0A5A-4E74-A13F-E9A0203C8F9C}" type="parTrans" cxnId="{E1A21306-664C-4528-AEA6-DAFD7AEC07C5}">
      <dgm:prSet/>
      <dgm:spPr>
        <a:xfrm>
          <a:off x="1959167" y="1568903"/>
          <a:ext cx="784032" cy="272143"/>
        </a:xfrm>
        <a:noFill/>
        <a:ln w="25400" cap="flat" cmpd="sng" algn="ctr">
          <a:solidFill>
            <a:srgbClr val="3366CC">
              <a:shade val="80000"/>
              <a:hueOff val="0"/>
              <a:satOff val="0"/>
              <a:lumOff val="0"/>
              <a:alphaOff val="0"/>
            </a:srgbClr>
          </a:solidFill>
          <a:prstDash val="solid"/>
        </a:ln>
        <a:effectLst/>
      </dgm:spPr>
      <dgm:t>
        <a:bodyPr/>
        <a:lstStyle/>
        <a:p>
          <a:endParaRPr lang="ro-RO"/>
        </a:p>
      </dgm:t>
    </dgm:pt>
    <dgm:pt modelId="{D9BD89E3-6638-4ECB-B34B-DFEBD19B5E2A}" type="sibTrans" cxnId="{E1A21306-664C-4528-AEA6-DAFD7AEC07C5}">
      <dgm:prSet/>
      <dgm:spPr/>
      <dgm:t>
        <a:bodyPr/>
        <a:lstStyle/>
        <a:p>
          <a:endParaRPr lang="ro-RO"/>
        </a:p>
      </dgm:t>
    </dgm:pt>
    <dgm:pt modelId="{03274351-8C3B-483A-86FE-D87A7E0C042C}">
      <dgm:prSet phldrT="[Text]">
        <dgm:style>
          <a:lnRef idx="1">
            <a:schemeClr val="accent2"/>
          </a:lnRef>
          <a:fillRef idx="2">
            <a:schemeClr val="accent2"/>
          </a:fillRef>
          <a:effectRef idx="1">
            <a:schemeClr val="accent2"/>
          </a:effectRef>
          <a:fontRef idx="minor">
            <a:schemeClr val="dk1"/>
          </a:fontRef>
        </dgm:style>
      </dgm:prSet>
      <dgm:spPr>
        <a:xfrm>
          <a:off x="3644253" y="920942"/>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ro-RO">
              <a:solidFill>
                <a:sysClr val="windowText" lastClr="000000"/>
              </a:solidFill>
              <a:latin typeface="Calibri"/>
              <a:ea typeface="+mn-ea"/>
              <a:cs typeface="+mn-cs"/>
            </a:rPr>
            <a:t>SMICM-SSO</a:t>
          </a:r>
        </a:p>
      </dgm:t>
    </dgm:pt>
    <dgm:pt modelId="{69E7048B-C566-4938-A641-0F4F4D0B0408}" type="parTrans" cxnId="{E57C61F0-2706-454D-9AE7-BAA0842562B6}">
      <dgm:prSet>
        <dgm:style>
          <a:lnRef idx="2">
            <a:schemeClr val="accent1"/>
          </a:lnRef>
          <a:fillRef idx="0">
            <a:schemeClr val="accent1"/>
          </a:fillRef>
          <a:effectRef idx="1">
            <a:schemeClr val="accent1"/>
          </a:effectRef>
          <a:fontRef idx="minor">
            <a:schemeClr val="tx1"/>
          </a:fontRef>
        </dgm:style>
      </dgm:prSet>
      <dgm:spPr>
        <a:xfrm>
          <a:off x="2743200" y="648799"/>
          <a:ext cx="1549014" cy="272143"/>
        </a:xfrm>
        <a:noFill/>
        <a:ln w="25400" cap="flat" cmpd="sng" algn="ctr">
          <a:solidFill>
            <a:srgbClr val="3366CC"/>
          </a:solidFill>
          <a:prstDash val="solid"/>
        </a:ln>
        <a:effectLst>
          <a:outerShdw blurRad="40000" dist="20000" dir="5400000" rotWithShape="0">
            <a:srgbClr val="000000">
              <a:alpha val="38000"/>
            </a:srgbClr>
          </a:outerShdw>
        </a:effectLst>
      </dgm:spPr>
      <dgm:t>
        <a:bodyPr/>
        <a:lstStyle/>
        <a:p>
          <a:endParaRPr lang="ro-RO"/>
        </a:p>
      </dgm:t>
    </dgm:pt>
    <dgm:pt modelId="{914FD0F2-6ACE-4621-ABF7-CAE1325D34A2}" type="sibTrans" cxnId="{E57C61F0-2706-454D-9AE7-BAA0842562B6}">
      <dgm:prSet/>
      <dgm:spPr/>
      <dgm:t>
        <a:bodyPr/>
        <a:lstStyle/>
        <a:p>
          <a:endParaRPr lang="ro-RO"/>
        </a:p>
      </dgm:t>
    </dgm:pt>
    <dgm:pt modelId="{B46267D2-BC64-4C87-8A22-22500E5EE488}">
      <dgm:prSet>
        <dgm:style>
          <a:lnRef idx="1">
            <a:schemeClr val="accent2"/>
          </a:lnRef>
          <a:fillRef idx="2">
            <a:schemeClr val="accent2"/>
          </a:fillRef>
          <a:effectRef idx="1">
            <a:schemeClr val="accent2"/>
          </a:effectRef>
          <a:fontRef idx="minor">
            <a:schemeClr val="dk1"/>
          </a:fontRef>
        </dgm:style>
      </dgm:prSet>
      <dgm:spPr>
        <a:xfrm>
          <a:off x="2095239" y="920942"/>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ro-RO">
              <a:solidFill>
                <a:sysClr val="windowText" lastClr="000000"/>
              </a:solidFill>
              <a:latin typeface="Calibri"/>
              <a:ea typeface="+mn-ea"/>
              <a:cs typeface="+mn-cs"/>
            </a:rPr>
            <a:t>SCIM</a:t>
          </a:r>
          <a:r>
            <a:rPr lang="en-GB">
              <a:solidFill>
                <a:sysClr val="windowText" lastClr="000000"/>
              </a:solidFill>
              <a:latin typeface="Calibri"/>
              <a:ea typeface="+mn-ea"/>
              <a:cs typeface="+mn-cs"/>
            </a:rPr>
            <a:t> COMMITTEE</a:t>
          </a:r>
          <a:endParaRPr lang="ro-RO">
            <a:solidFill>
              <a:sysClr val="windowText" lastClr="000000"/>
            </a:solidFill>
            <a:latin typeface="Calibri"/>
            <a:ea typeface="+mn-ea"/>
            <a:cs typeface="+mn-cs"/>
          </a:endParaRPr>
        </a:p>
      </dgm:t>
    </dgm:pt>
    <dgm:pt modelId="{87A7253E-1D69-4F25-BBE2-276A268FF3F4}" type="parTrans" cxnId="{D6D5ADF9-D0D9-4F21-9823-F078CA79F2BF}">
      <dgm:prSet/>
      <dgm:spPr>
        <a:xfrm>
          <a:off x="2697480" y="648799"/>
          <a:ext cx="91440" cy="272143"/>
        </a:xfrm>
        <a:noFill/>
        <a:ln w="25400" cap="flat" cmpd="sng" algn="ctr">
          <a:solidFill>
            <a:srgbClr val="3366CC">
              <a:shade val="60000"/>
              <a:hueOff val="0"/>
              <a:satOff val="0"/>
              <a:lumOff val="0"/>
              <a:alphaOff val="0"/>
            </a:srgbClr>
          </a:solidFill>
          <a:prstDash val="solid"/>
        </a:ln>
        <a:effectLst/>
      </dgm:spPr>
      <dgm:t>
        <a:bodyPr/>
        <a:lstStyle/>
        <a:p>
          <a:endParaRPr lang="ro-RO"/>
        </a:p>
      </dgm:t>
    </dgm:pt>
    <dgm:pt modelId="{002A7732-7E1F-4B50-A470-53DD60C7B124}" type="sibTrans" cxnId="{D6D5ADF9-D0D9-4F21-9823-F078CA79F2BF}">
      <dgm:prSet/>
      <dgm:spPr/>
      <dgm:t>
        <a:bodyPr/>
        <a:lstStyle/>
        <a:p>
          <a:endParaRPr lang="ro-RO"/>
        </a:p>
      </dgm:t>
    </dgm:pt>
    <dgm:pt modelId="{3C98EEF7-83E5-468A-B32D-C6A338C6EE00}">
      <dgm:prSet>
        <dgm:style>
          <a:lnRef idx="1">
            <a:schemeClr val="accent2"/>
          </a:lnRef>
          <a:fillRef idx="2">
            <a:schemeClr val="accent2"/>
          </a:fillRef>
          <a:effectRef idx="1">
            <a:schemeClr val="accent2"/>
          </a:effectRef>
          <a:fontRef idx="minor">
            <a:schemeClr val="dk1"/>
          </a:fontRef>
        </dgm:style>
      </dgm:prSet>
      <dgm:spPr>
        <a:xfrm>
          <a:off x="1635187" y="2761150"/>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en-GB">
              <a:solidFill>
                <a:sysClr val="windowText" lastClr="000000"/>
              </a:solidFill>
              <a:latin typeface="Calibri"/>
              <a:ea typeface="+mn-ea"/>
              <a:cs typeface="+mn-cs"/>
            </a:rPr>
            <a:t>WG</a:t>
          </a:r>
          <a:r>
            <a:rPr lang="ro-RO">
              <a:solidFill>
                <a:sysClr val="windowText" lastClr="000000"/>
              </a:solidFill>
              <a:latin typeface="Calibri"/>
              <a:ea typeface="+mn-ea"/>
              <a:cs typeface="+mn-cs"/>
            </a:rPr>
            <a:t> - EGR</a:t>
          </a:r>
        </a:p>
      </dgm:t>
    </dgm:pt>
    <dgm:pt modelId="{95F04D1D-A294-46D7-B173-B20F283D1704}" type="parTrans" cxnId="{8925C181-2589-4922-A11E-C1A031790634}">
      <dgm:prSet/>
      <dgm:spPr>
        <a:xfrm>
          <a:off x="1440799" y="2489007"/>
          <a:ext cx="194388" cy="596123"/>
        </a:xfrm>
        <a:noFill/>
        <a:ln w="25400" cap="flat" cmpd="sng" algn="ctr">
          <a:solidFill>
            <a:srgbClr val="3366CC">
              <a:shade val="80000"/>
              <a:hueOff val="0"/>
              <a:satOff val="0"/>
              <a:lumOff val="0"/>
              <a:alphaOff val="0"/>
            </a:srgbClr>
          </a:solidFill>
          <a:prstDash val="solid"/>
        </a:ln>
        <a:effectLst/>
      </dgm:spPr>
      <dgm:t>
        <a:bodyPr/>
        <a:lstStyle/>
        <a:p>
          <a:endParaRPr lang="ro-RO"/>
        </a:p>
      </dgm:t>
    </dgm:pt>
    <dgm:pt modelId="{7D18792C-F13B-41BC-B282-C8F95E1FEA33}" type="sibTrans" cxnId="{8925C181-2589-4922-A11E-C1A031790634}">
      <dgm:prSet/>
      <dgm:spPr/>
      <dgm:t>
        <a:bodyPr/>
        <a:lstStyle/>
        <a:p>
          <a:endParaRPr lang="ro-RO"/>
        </a:p>
      </dgm:t>
    </dgm:pt>
    <dgm:pt modelId="{0C1ADB43-FEC2-4FBF-B41E-6210AF5303DD}">
      <dgm:prSet>
        <dgm:style>
          <a:lnRef idx="1">
            <a:schemeClr val="accent2"/>
          </a:lnRef>
          <a:fillRef idx="2">
            <a:schemeClr val="accent2"/>
          </a:fillRef>
          <a:effectRef idx="1">
            <a:schemeClr val="accent2"/>
          </a:effectRef>
          <a:fontRef idx="minor">
            <a:schemeClr val="dk1"/>
          </a:fontRef>
        </dgm:style>
      </dgm:prSet>
      <dgm:spPr>
        <a:xfrm>
          <a:off x="2879271" y="1841046"/>
          <a:ext cx="1295920" cy="647960"/>
        </a:xfr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gm:spPr>
      <dgm:t>
        <a:bodyPr/>
        <a:lstStyle/>
        <a:p>
          <a:r>
            <a:rPr lang="en-GB">
              <a:solidFill>
                <a:sysClr val="windowText" lastClr="000000"/>
              </a:solidFill>
              <a:latin typeface="Calibri"/>
              <a:ea typeface="+mn-ea"/>
              <a:cs typeface="+mn-cs"/>
            </a:rPr>
            <a:t>WG</a:t>
          </a:r>
          <a:r>
            <a:rPr lang="ro-RO">
              <a:solidFill>
                <a:sysClr val="windowText" lastClr="000000"/>
              </a:solidFill>
              <a:latin typeface="Calibri"/>
              <a:ea typeface="+mn-ea"/>
              <a:cs typeface="+mn-cs"/>
            </a:rPr>
            <a:t> - SCIM</a:t>
          </a:r>
        </a:p>
      </dgm:t>
    </dgm:pt>
    <dgm:pt modelId="{77A42907-130F-42D2-AEE6-AD4329AF3837}" type="parTrans" cxnId="{B28881B5-1A1D-415E-84CE-A521F99D3A3D}">
      <dgm:prSet/>
      <dgm:spPr>
        <a:xfrm>
          <a:off x="2743200" y="1568903"/>
          <a:ext cx="784032" cy="272143"/>
        </a:xfrm>
        <a:noFill/>
        <a:ln w="25400" cap="flat" cmpd="sng" algn="ctr">
          <a:solidFill>
            <a:srgbClr val="3366CC">
              <a:shade val="80000"/>
              <a:hueOff val="0"/>
              <a:satOff val="0"/>
              <a:lumOff val="0"/>
              <a:alphaOff val="0"/>
            </a:srgbClr>
          </a:solidFill>
          <a:prstDash val="solid"/>
        </a:ln>
        <a:effectLst/>
      </dgm:spPr>
      <dgm:t>
        <a:bodyPr/>
        <a:lstStyle/>
        <a:p>
          <a:endParaRPr lang="ro-RO"/>
        </a:p>
      </dgm:t>
    </dgm:pt>
    <dgm:pt modelId="{E9D1B028-5B6B-4280-9761-E161FF3AAA11}" type="sibTrans" cxnId="{B28881B5-1A1D-415E-84CE-A521F99D3A3D}">
      <dgm:prSet/>
      <dgm:spPr/>
      <dgm:t>
        <a:bodyPr/>
        <a:lstStyle/>
        <a:p>
          <a:endParaRPr lang="ro-RO"/>
        </a:p>
      </dgm:t>
    </dgm:pt>
    <dgm:pt modelId="{221516FB-BBA7-42B5-BAA3-64768433D4A5}" type="pres">
      <dgm:prSet presAssocID="{55184681-2C73-413B-A5D6-7A98473CA50B}" presName="hierChild1" presStyleCnt="0">
        <dgm:presLayoutVars>
          <dgm:orgChart val="1"/>
          <dgm:chPref val="1"/>
          <dgm:dir/>
          <dgm:animOne val="branch"/>
          <dgm:animLvl val="lvl"/>
          <dgm:resizeHandles/>
        </dgm:presLayoutVars>
      </dgm:prSet>
      <dgm:spPr/>
      <dgm:t>
        <a:bodyPr/>
        <a:lstStyle/>
        <a:p>
          <a:endParaRPr lang="ro-RO"/>
        </a:p>
      </dgm:t>
    </dgm:pt>
    <dgm:pt modelId="{5B803A9C-AA61-49D5-AAA2-A660F45724F0}" type="pres">
      <dgm:prSet presAssocID="{B8FE7F91-720A-43E5-93D5-9E776DBF7961}" presName="hierRoot1" presStyleCnt="0">
        <dgm:presLayoutVars>
          <dgm:hierBranch val="init"/>
        </dgm:presLayoutVars>
      </dgm:prSet>
      <dgm:spPr/>
    </dgm:pt>
    <dgm:pt modelId="{430F7660-0DBF-4A58-9221-7CD431255A12}" type="pres">
      <dgm:prSet presAssocID="{B8FE7F91-720A-43E5-93D5-9E776DBF7961}" presName="rootComposite1" presStyleCnt="0"/>
      <dgm:spPr/>
    </dgm:pt>
    <dgm:pt modelId="{50E76681-9782-4F41-B066-B986445653C3}" type="pres">
      <dgm:prSet presAssocID="{B8FE7F91-720A-43E5-93D5-9E776DBF7961}" presName="rootText1" presStyleLbl="node0" presStyleIdx="0" presStyleCnt="1">
        <dgm:presLayoutVars>
          <dgm:chPref val="3"/>
        </dgm:presLayoutVars>
      </dgm:prSet>
      <dgm:spPr>
        <a:prstGeom prst="rect">
          <a:avLst/>
        </a:prstGeom>
      </dgm:spPr>
      <dgm:t>
        <a:bodyPr/>
        <a:lstStyle/>
        <a:p>
          <a:endParaRPr lang="ro-RO"/>
        </a:p>
      </dgm:t>
    </dgm:pt>
    <dgm:pt modelId="{E40D0F9D-2EF6-4E8D-BEFE-3984B3E89C44}" type="pres">
      <dgm:prSet presAssocID="{B8FE7F91-720A-43E5-93D5-9E776DBF7961}" presName="rootConnector1" presStyleLbl="node1" presStyleIdx="0" presStyleCnt="0"/>
      <dgm:spPr/>
      <dgm:t>
        <a:bodyPr/>
        <a:lstStyle/>
        <a:p>
          <a:endParaRPr lang="ro-RO"/>
        </a:p>
      </dgm:t>
    </dgm:pt>
    <dgm:pt modelId="{209548DB-FD8A-414F-BE15-BA1A1889C400}" type="pres">
      <dgm:prSet presAssocID="{B8FE7F91-720A-43E5-93D5-9E776DBF7961}" presName="hierChild2" presStyleCnt="0"/>
      <dgm:spPr/>
    </dgm:pt>
    <dgm:pt modelId="{4549E2C2-D1EF-4B2C-A1C6-A5920AD5924F}" type="pres">
      <dgm:prSet presAssocID="{F5AF8BED-1E4E-4838-9BFB-F0FB70BDF843}" presName="Name37" presStyleLbl="parChTrans1D2" presStyleIdx="0" presStyleCnt="3"/>
      <dgm:spPr>
        <a:custGeom>
          <a:avLst/>
          <a:gdLst/>
          <a:ahLst/>
          <a:cxnLst/>
          <a:rect l="0" t="0" r="0" b="0"/>
          <a:pathLst>
            <a:path>
              <a:moveTo>
                <a:pt x="1568064" y="0"/>
              </a:moveTo>
              <a:lnTo>
                <a:pt x="1568064" y="136071"/>
              </a:lnTo>
              <a:lnTo>
                <a:pt x="0" y="136071"/>
              </a:lnTo>
              <a:lnTo>
                <a:pt x="0" y="272143"/>
              </a:lnTo>
            </a:path>
          </a:pathLst>
        </a:custGeom>
      </dgm:spPr>
      <dgm:t>
        <a:bodyPr/>
        <a:lstStyle/>
        <a:p>
          <a:endParaRPr lang="ro-RO"/>
        </a:p>
      </dgm:t>
    </dgm:pt>
    <dgm:pt modelId="{6F17C918-E24C-45D7-8A70-9284B5675C11}" type="pres">
      <dgm:prSet presAssocID="{A56AE8FC-2B68-4370-AAEC-F2AEB080327B}" presName="hierRoot2" presStyleCnt="0">
        <dgm:presLayoutVars>
          <dgm:hierBranch val="init"/>
        </dgm:presLayoutVars>
      </dgm:prSet>
      <dgm:spPr/>
    </dgm:pt>
    <dgm:pt modelId="{71A95DCA-75CF-44AF-91BF-E8BC3FC2E09D}" type="pres">
      <dgm:prSet presAssocID="{A56AE8FC-2B68-4370-AAEC-F2AEB080327B}" presName="rootComposite" presStyleCnt="0"/>
      <dgm:spPr/>
    </dgm:pt>
    <dgm:pt modelId="{770B8E7D-2125-47CD-8061-2A1D2D7E04D1}" type="pres">
      <dgm:prSet presAssocID="{A56AE8FC-2B68-4370-AAEC-F2AEB080327B}" presName="rootText" presStyleLbl="node2" presStyleIdx="0" presStyleCnt="3">
        <dgm:presLayoutVars>
          <dgm:chPref val="3"/>
        </dgm:presLayoutVars>
      </dgm:prSet>
      <dgm:spPr>
        <a:prstGeom prst="rect">
          <a:avLst/>
        </a:prstGeom>
      </dgm:spPr>
      <dgm:t>
        <a:bodyPr/>
        <a:lstStyle/>
        <a:p>
          <a:endParaRPr lang="ro-RO"/>
        </a:p>
      </dgm:t>
    </dgm:pt>
    <dgm:pt modelId="{F37A203D-BC68-45F7-88C2-6E8911E5CAFD}" type="pres">
      <dgm:prSet presAssocID="{A56AE8FC-2B68-4370-AAEC-F2AEB080327B}" presName="rootConnector" presStyleLbl="node2" presStyleIdx="0" presStyleCnt="3"/>
      <dgm:spPr/>
      <dgm:t>
        <a:bodyPr/>
        <a:lstStyle/>
        <a:p>
          <a:endParaRPr lang="ro-RO"/>
        </a:p>
      </dgm:t>
    </dgm:pt>
    <dgm:pt modelId="{7BF416CE-34DF-4CE4-967D-9CAE8B40B8FA}" type="pres">
      <dgm:prSet presAssocID="{A56AE8FC-2B68-4370-AAEC-F2AEB080327B}" presName="hierChild4" presStyleCnt="0"/>
      <dgm:spPr/>
    </dgm:pt>
    <dgm:pt modelId="{B6F893EC-6A9B-4ED5-B80A-C723A862D65F}" type="pres">
      <dgm:prSet presAssocID="{A56AE8FC-2B68-4370-AAEC-F2AEB080327B}" presName="hierChild5" presStyleCnt="0"/>
      <dgm:spPr/>
    </dgm:pt>
    <dgm:pt modelId="{8D5FF00B-736F-4499-916B-7EA98EC5EFC8}" type="pres">
      <dgm:prSet presAssocID="{87A7253E-1D69-4F25-BBE2-276A268FF3F4}" presName="Name37" presStyleLbl="parChTrans1D2" presStyleIdx="1" presStyleCnt="3"/>
      <dgm:spPr>
        <a:custGeom>
          <a:avLst/>
          <a:gdLst/>
          <a:ahLst/>
          <a:cxnLst/>
          <a:rect l="0" t="0" r="0" b="0"/>
          <a:pathLst>
            <a:path>
              <a:moveTo>
                <a:pt x="45720" y="0"/>
              </a:moveTo>
              <a:lnTo>
                <a:pt x="45720" y="272143"/>
              </a:lnTo>
            </a:path>
          </a:pathLst>
        </a:custGeom>
      </dgm:spPr>
      <dgm:t>
        <a:bodyPr/>
        <a:lstStyle/>
        <a:p>
          <a:endParaRPr lang="ro-RO"/>
        </a:p>
      </dgm:t>
    </dgm:pt>
    <dgm:pt modelId="{2063841A-B924-4ECE-AEDD-864134E527B3}" type="pres">
      <dgm:prSet presAssocID="{B46267D2-BC64-4C87-8A22-22500E5EE488}" presName="hierRoot2" presStyleCnt="0">
        <dgm:presLayoutVars>
          <dgm:hierBranch val="init"/>
        </dgm:presLayoutVars>
      </dgm:prSet>
      <dgm:spPr/>
    </dgm:pt>
    <dgm:pt modelId="{D789DB8B-FF6C-4BAD-8935-2906BEB541AB}" type="pres">
      <dgm:prSet presAssocID="{B46267D2-BC64-4C87-8A22-22500E5EE488}" presName="rootComposite" presStyleCnt="0"/>
      <dgm:spPr/>
    </dgm:pt>
    <dgm:pt modelId="{FC6773D2-344A-4E1C-B1F6-D7A005FD73D5}" type="pres">
      <dgm:prSet presAssocID="{B46267D2-BC64-4C87-8A22-22500E5EE488}" presName="rootText" presStyleLbl="node2" presStyleIdx="1" presStyleCnt="3">
        <dgm:presLayoutVars>
          <dgm:chPref val="3"/>
        </dgm:presLayoutVars>
      </dgm:prSet>
      <dgm:spPr>
        <a:prstGeom prst="rect">
          <a:avLst/>
        </a:prstGeom>
      </dgm:spPr>
      <dgm:t>
        <a:bodyPr/>
        <a:lstStyle/>
        <a:p>
          <a:endParaRPr lang="ro-RO"/>
        </a:p>
      </dgm:t>
    </dgm:pt>
    <dgm:pt modelId="{4FB5DD27-47D1-45BF-B91A-81C15CE97F4F}" type="pres">
      <dgm:prSet presAssocID="{B46267D2-BC64-4C87-8A22-22500E5EE488}" presName="rootConnector" presStyleLbl="node2" presStyleIdx="1" presStyleCnt="3"/>
      <dgm:spPr/>
      <dgm:t>
        <a:bodyPr/>
        <a:lstStyle/>
        <a:p>
          <a:endParaRPr lang="ro-RO"/>
        </a:p>
      </dgm:t>
    </dgm:pt>
    <dgm:pt modelId="{AFD0787E-A313-4D2D-8934-C588E7A9BA6F}" type="pres">
      <dgm:prSet presAssocID="{B46267D2-BC64-4C87-8A22-22500E5EE488}" presName="hierChild4" presStyleCnt="0"/>
      <dgm:spPr/>
    </dgm:pt>
    <dgm:pt modelId="{0AF698FA-8B61-4465-B57B-613E0D0E4690}" type="pres">
      <dgm:prSet presAssocID="{4F890365-0A5A-4E74-A13F-E9A0203C8F9C}" presName="Name37" presStyleLbl="parChTrans1D3" presStyleIdx="0" presStyleCnt="2"/>
      <dgm:spPr>
        <a:custGeom>
          <a:avLst/>
          <a:gdLst/>
          <a:ahLst/>
          <a:cxnLst/>
          <a:rect l="0" t="0" r="0" b="0"/>
          <a:pathLst>
            <a:path>
              <a:moveTo>
                <a:pt x="784032" y="0"/>
              </a:moveTo>
              <a:lnTo>
                <a:pt x="784032" y="136071"/>
              </a:lnTo>
              <a:lnTo>
                <a:pt x="0" y="136071"/>
              </a:lnTo>
              <a:lnTo>
                <a:pt x="0" y="272143"/>
              </a:lnTo>
            </a:path>
          </a:pathLst>
        </a:custGeom>
      </dgm:spPr>
      <dgm:t>
        <a:bodyPr/>
        <a:lstStyle/>
        <a:p>
          <a:endParaRPr lang="ro-RO"/>
        </a:p>
      </dgm:t>
    </dgm:pt>
    <dgm:pt modelId="{491F009E-C308-490B-9A3B-F36C6CFD305E}" type="pres">
      <dgm:prSet presAssocID="{13D1AAF1-0860-46B1-A334-A36C847A094A}" presName="hierRoot2" presStyleCnt="0">
        <dgm:presLayoutVars>
          <dgm:hierBranch val="init"/>
        </dgm:presLayoutVars>
      </dgm:prSet>
      <dgm:spPr/>
    </dgm:pt>
    <dgm:pt modelId="{D1C918D0-39BD-4C09-8BA4-15D391E5E47A}" type="pres">
      <dgm:prSet presAssocID="{13D1AAF1-0860-46B1-A334-A36C847A094A}" presName="rootComposite" presStyleCnt="0"/>
      <dgm:spPr/>
    </dgm:pt>
    <dgm:pt modelId="{8ABF23AF-F28F-4C1E-8094-D8B372E162BB}" type="pres">
      <dgm:prSet presAssocID="{13D1AAF1-0860-46B1-A334-A36C847A094A}" presName="rootText" presStyleLbl="node3" presStyleIdx="0" presStyleCnt="2">
        <dgm:presLayoutVars>
          <dgm:chPref val="3"/>
        </dgm:presLayoutVars>
      </dgm:prSet>
      <dgm:spPr>
        <a:prstGeom prst="rect">
          <a:avLst/>
        </a:prstGeom>
      </dgm:spPr>
      <dgm:t>
        <a:bodyPr/>
        <a:lstStyle/>
        <a:p>
          <a:endParaRPr lang="ro-RO"/>
        </a:p>
      </dgm:t>
    </dgm:pt>
    <dgm:pt modelId="{91E608F4-9CDC-4DFF-BEF7-10E1E03A8904}" type="pres">
      <dgm:prSet presAssocID="{13D1AAF1-0860-46B1-A334-A36C847A094A}" presName="rootConnector" presStyleLbl="node3" presStyleIdx="0" presStyleCnt="2"/>
      <dgm:spPr/>
      <dgm:t>
        <a:bodyPr/>
        <a:lstStyle/>
        <a:p>
          <a:endParaRPr lang="ro-RO"/>
        </a:p>
      </dgm:t>
    </dgm:pt>
    <dgm:pt modelId="{6DAFE926-9894-42A2-9ECB-62915137B771}" type="pres">
      <dgm:prSet presAssocID="{13D1AAF1-0860-46B1-A334-A36C847A094A}" presName="hierChild4" presStyleCnt="0"/>
      <dgm:spPr/>
    </dgm:pt>
    <dgm:pt modelId="{0AD2A2B6-142E-4423-8627-8EE4826B032E}" type="pres">
      <dgm:prSet presAssocID="{95F04D1D-A294-46D7-B173-B20F283D1704}" presName="Name37" presStyleLbl="parChTrans1D4" presStyleIdx="0" presStyleCnt="1"/>
      <dgm:spPr>
        <a:custGeom>
          <a:avLst/>
          <a:gdLst/>
          <a:ahLst/>
          <a:cxnLst/>
          <a:rect l="0" t="0" r="0" b="0"/>
          <a:pathLst>
            <a:path>
              <a:moveTo>
                <a:pt x="0" y="0"/>
              </a:moveTo>
              <a:lnTo>
                <a:pt x="0" y="596123"/>
              </a:lnTo>
              <a:lnTo>
                <a:pt x="194388" y="596123"/>
              </a:lnTo>
            </a:path>
          </a:pathLst>
        </a:custGeom>
      </dgm:spPr>
      <dgm:t>
        <a:bodyPr/>
        <a:lstStyle/>
        <a:p>
          <a:endParaRPr lang="ro-RO"/>
        </a:p>
      </dgm:t>
    </dgm:pt>
    <dgm:pt modelId="{B1503B13-9F9A-4CC8-AA6F-5BA832F6FE1F}" type="pres">
      <dgm:prSet presAssocID="{3C98EEF7-83E5-468A-B32D-C6A338C6EE00}" presName="hierRoot2" presStyleCnt="0">
        <dgm:presLayoutVars>
          <dgm:hierBranch val="init"/>
        </dgm:presLayoutVars>
      </dgm:prSet>
      <dgm:spPr/>
    </dgm:pt>
    <dgm:pt modelId="{2F2CA028-F49C-431E-889C-6120B76B0221}" type="pres">
      <dgm:prSet presAssocID="{3C98EEF7-83E5-468A-B32D-C6A338C6EE00}" presName="rootComposite" presStyleCnt="0"/>
      <dgm:spPr/>
    </dgm:pt>
    <dgm:pt modelId="{9BC1C0E0-6BB6-4B7B-8998-C7FB84CB810C}" type="pres">
      <dgm:prSet presAssocID="{3C98EEF7-83E5-468A-B32D-C6A338C6EE00}" presName="rootText" presStyleLbl="node4" presStyleIdx="0" presStyleCnt="1">
        <dgm:presLayoutVars>
          <dgm:chPref val="3"/>
        </dgm:presLayoutVars>
      </dgm:prSet>
      <dgm:spPr>
        <a:prstGeom prst="rect">
          <a:avLst/>
        </a:prstGeom>
      </dgm:spPr>
      <dgm:t>
        <a:bodyPr/>
        <a:lstStyle/>
        <a:p>
          <a:endParaRPr lang="ro-RO"/>
        </a:p>
      </dgm:t>
    </dgm:pt>
    <dgm:pt modelId="{AD9058A4-5497-4379-95D0-BEEC568C7B32}" type="pres">
      <dgm:prSet presAssocID="{3C98EEF7-83E5-468A-B32D-C6A338C6EE00}" presName="rootConnector" presStyleLbl="node4" presStyleIdx="0" presStyleCnt="1"/>
      <dgm:spPr/>
      <dgm:t>
        <a:bodyPr/>
        <a:lstStyle/>
        <a:p>
          <a:endParaRPr lang="ro-RO"/>
        </a:p>
      </dgm:t>
    </dgm:pt>
    <dgm:pt modelId="{6665C7A8-E369-4867-9720-8B412E9F6DD8}" type="pres">
      <dgm:prSet presAssocID="{3C98EEF7-83E5-468A-B32D-C6A338C6EE00}" presName="hierChild4" presStyleCnt="0"/>
      <dgm:spPr/>
    </dgm:pt>
    <dgm:pt modelId="{F67D61E2-5815-490F-90ED-5EEFFBF8F8A2}" type="pres">
      <dgm:prSet presAssocID="{3C98EEF7-83E5-468A-B32D-C6A338C6EE00}" presName="hierChild5" presStyleCnt="0"/>
      <dgm:spPr/>
    </dgm:pt>
    <dgm:pt modelId="{25077F8E-8714-41B4-A8A2-1C3DD602F2D3}" type="pres">
      <dgm:prSet presAssocID="{13D1AAF1-0860-46B1-A334-A36C847A094A}" presName="hierChild5" presStyleCnt="0"/>
      <dgm:spPr/>
    </dgm:pt>
    <dgm:pt modelId="{3A9D0386-3535-4CB5-A5D1-091B6C8E5ED3}" type="pres">
      <dgm:prSet presAssocID="{77A42907-130F-42D2-AEE6-AD4329AF3837}" presName="Name37" presStyleLbl="parChTrans1D3" presStyleIdx="1" presStyleCnt="2"/>
      <dgm:spPr>
        <a:custGeom>
          <a:avLst/>
          <a:gdLst/>
          <a:ahLst/>
          <a:cxnLst/>
          <a:rect l="0" t="0" r="0" b="0"/>
          <a:pathLst>
            <a:path>
              <a:moveTo>
                <a:pt x="0" y="0"/>
              </a:moveTo>
              <a:lnTo>
                <a:pt x="0" y="136071"/>
              </a:lnTo>
              <a:lnTo>
                <a:pt x="784032" y="136071"/>
              </a:lnTo>
              <a:lnTo>
                <a:pt x="784032" y="272143"/>
              </a:lnTo>
            </a:path>
          </a:pathLst>
        </a:custGeom>
      </dgm:spPr>
      <dgm:t>
        <a:bodyPr/>
        <a:lstStyle/>
        <a:p>
          <a:endParaRPr lang="ro-RO"/>
        </a:p>
      </dgm:t>
    </dgm:pt>
    <dgm:pt modelId="{60D97180-D65C-4FD5-9252-2C767F0322C8}" type="pres">
      <dgm:prSet presAssocID="{0C1ADB43-FEC2-4FBF-B41E-6210AF5303DD}" presName="hierRoot2" presStyleCnt="0">
        <dgm:presLayoutVars>
          <dgm:hierBranch val="init"/>
        </dgm:presLayoutVars>
      </dgm:prSet>
      <dgm:spPr/>
    </dgm:pt>
    <dgm:pt modelId="{09B6FF55-DF91-4C5F-8DE5-9E249016A146}" type="pres">
      <dgm:prSet presAssocID="{0C1ADB43-FEC2-4FBF-B41E-6210AF5303DD}" presName="rootComposite" presStyleCnt="0"/>
      <dgm:spPr/>
    </dgm:pt>
    <dgm:pt modelId="{A7B99EDC-864C-4011-8C1E-C43C92F28C59}" type="pres">
      <dgm:prSet presAssocID="{0C1ADB43-FEC2-4FBF-B41E-6210AF5303DD}" presName="rootText" presStyleLbl="node3" presStyleIdx="1" presStyleCnt="2">
        <dgm:presLayoutVars>
          <dgm:chPref val="3"/>
        </dgm:presLayoutVars>
      </dgm:prSet>
      <dgm:spPr>
        <a:prstGeom prst="rect">
          <a:avLst/>
        </a:prstGeom>
      </dgm:spPr>
      <dgm:t>
        <a:bodyPr/>
        <a:lstStyle/>
        <a:p>
          <a:endParaRPr lang="ro-RO"/>
        </a:p>
      </dgm:t>
    </dgm:pt>
    <dgm:pt modelId="{0370F02B-B39F-4957-850A-3C0056FE7D29}" type="pres">
      <dgm:prSet presAssocID="{0C1ADB43-FEC2-4FBF-B41E-6210AF5303DD}" presName="rootConnector" presStyleLbl="node3" presStyleIdx="1" presStyleCnt="2"/>
      <dgm:spPr/>
      <dgm:t>
        <a:bodyPr/>
        <a:lstStyle/>
        <a:p>
          <a:endParaRPr lang="ro-RO"/>
        </a:p>
      </dgm:t>
    </dgm:pt>
    <dgm:pt modelId="{BFBE203D-2AC4-44E3-9A36-A35EA191F52D}" type="pres">
      <dgm:prSet presAssocID="{0C1ADB43-FEC2-4FBF-B41E-6210AF5303DD}" presName="hierChild4" presStyleCnt="0"/>
      <dgm:spPr/>
    </dgm:pt>
    <dgm:pt modelId="{69BB9C43-4C62-4066-A08A-2913C5FD04FD}" type="pres">
      <dgm:prSet presAssocID="{0C1ADB43-FEC2-4FBF-B41E-6210AF5303DD}" presName="hierChild5" presStyleCnt="0"/>
      <dgm:spPr/>
    </dgm:pt>
    <dgm:pt modelId="{0A526823-5AFA-4230-A3F2-F88DD207DADA}" type="pres">
      <dgm:prSet presAssocID="{B46267D2-BC64-4C87-8A22-22500E5EE488}" presName="hierChild5" presStyleCnt="0"/>
      <dgm:spPr/>
    </dgm:pt>
    <dgm:pt modelId="{CF2A86E3-6122-49F7-BAEA-27F3F452C448}" type="pres">
      <dgm:prSet presAssocID="{69E7048B-C566-4938-A641-0F4F4D0B0408}" presName="Name37" presStyleLbl="parChTrans1D2" presStyleIdx="2" presStyleCnt="3"/>
      <dgm:spPr>
        <a:custGeom>
          <a:avLst/>
          <a:gdLst/>
          <a:ahLst/>
          <a:cxnLst/>
          <a:rect l="0" t="0" r="0" b="0"/>
          <a:pathLst>
            <a:path>
              <a:moveTo>
                <a:pt x="0" y="0"/>
              </a:moveTo>
              <a:lnTo>
                <a:pt x="0" y="136071"/>
              </a:lnTo>
              <a:lnTo>
                <a:pt x="1549014" y="136071"/>
              </a:lnTo>
              <a:lnTo>
                <a:pt x="1549014" y="272143"/>
              </a:lnTo>
            </a:path>
          </a:pathLst>
        </a:custGeom>
      </dgm:spPr>
      <dgm:t>
        <a:bodyPr/>
        <a:lstStyle/>
        <a:p>
          <a:endParaRPr lang="ro-RO"/>
        </a:p>
      </dgm:t>
    </dgm:pt>
    <dgm:pt modelId="{A90BDB60-BE4B-4E8A-971B-AB568F3B69B1}" type="pres">
      <dgm:prSet presAssocID="{03274351-8C3B-483A-86FE-D87A7E0C042C}" presName="hierRoot2" presStyleCnt="0">
        <dgm:presLayoutVars>
          <dgm:hierBranch val="init"/>
        </dgm:presLayoutVars>
      </dgm:prSet>
      <dgm:spPr/>
    </dgm:pt>
    <dgm:pt modelId="{62665DAD-0856-49B2-9F71-BBB7EBB9BD06}" type="pres">
      <dgm:prSet presAssocID="{03274351-8C3B-483A-86FE-D87A7E0C042C}" presName="rootComposite" presStyleCnt="0"/>
      <dgm:spPr/>
    </dgm:pt>
    <dgm:pt modelId="{64ABDAA8-3834-428D-85FA-56C526D26CD1}" type="pres">
      <dgm:prSet presAssocID="{03274351-8C3B-483A-86FE-D87A7E0C042C}" presName="rootText" presStyleLbl="node2" presStyleIdx="2" presStyleCnt="3" custLinFactNeighborX="-1470">
        <dgm:presLayoutVars>
          <dgm:chPref val="3"/>
        </dgm:presLayoutVars>
      </dgm:prSet>
      <dgm:spPr>
        <a:prstGeom prst="rect">
          <a:avLst/>
        </a:prstGeom>
      </dgm:spPr>
      <dgm:t>
        <a:bodyPr/>
        <a:lstStyle/>
        <a:p>
          <a:endParaRPr lang="ro-RO"/>
        </a:p>
      </dgm:t>
    </dgm:pt>
    <dgm:pt modelId="{66B0F725-CAD7-4164-AE26-79AAC04527C4}" type="pres">
      <dgm:prSet presAssocID="{03274351-8C3B-483A-86FE-D87A7E0C042C}" presName="rootConnector" presStyleLbl="node2" presStyleIdx="2" presStyleCnt="3"/>
      <dgm:spPr/>
      <dgm:t>
        <a:bodyPr/>
        <a:lstStyle/>
        <a:p>
          <a:endParaRPr lang="ro-RO"/>
        </a:p>
      </dgm:t>
    </dgm:pt>
    <dgm:pt modelId="{5FEABBEE-4143-49B8-A378-286C1B00B6CD}" type="pres">
      <dgm:prSet presAssocID="{03274351-8C3B-483A-86FE-D87A7E0C042C}" presName="hierChild4" presStyleCnt="0"/>
      <dgm:spPr/>
    </dgm:pt>
    <dgm:pt modelId="{2D7EDF6B-50BB-4D18-9F6B-389DD7A32ECA}" type="pres">
      <dgm:prSet presAssocID="{03274351-8C3B-483A-86FE-D87A7E0C042C}" presName="hierChild5" presStyleCnt="0"/>
      <dgm:spPr/>
    </dgm:pt>
    <dgm:pt modelId="{E1BDE83E-F781-467F-863F-DF115645FA53}" type="pres">
      <dgm:prSet presAssocID="{B8FE7F91-720A-43E5-93D5-9E776DBF7961}" presName="hierChild3" presStyleCnt="0"/>
      <dgm:spPr/>
    </dgm:pt>
  </dgm:ptLst>
  <dgm:cxnLst>
    <dgm:cxn modelId="{B28881B5-1A1D-415E-84CE-A521F99D3A3D}" srcId="{B46267D2-BC64-4C87-8A22-22500E5EE488}" destId="{0C1ADB43-FEC2-4FBF-B41E-6210AF5303DD}" srcOrd="1" destOrd="0" parTransId="{77A42907-130F-42D2-AEE6-AD4329AF3837}" sibTransId="{E9D1B028-5B6B-4280-9761-E161FF3AAA11}"/>
    <dgm:cxn modelId="{9A49E365-A074-492C-8AEB-32E3962B2BB5}" type="presOf" srcId="{55184681-2C73-413B-A5D6-7A98473CA50B}" destId="{221516FB-BBA7-42B5-BAA3-64768433D4A5}" srcOrd="0" destOrd="0" presId="urn:microsoft.com/office/officeart/2005/8/layout/orgChart1"/>
    <dgm:cxn modelId="{9D125725-D138-4600-BE36-D2287219180B}" type="presOf" srcId="{0C1ADB43-FEC2-4FBF-B41E-6210AF5303DD}" destId="{0370F02B-B39F-4957-850A-3C0056FE7D29}" srcOrd="1" destOrd="0" presId="urn:microsoft.com/office/officeart/2005/8/layout/orgChart1"/>
    <dgm:cxn modelId="{19BD6304-13BA-4940-AB21-8AE8E490FF4C}" srcId="{B8FE7F91-720A-43E5-93D5-9E776DBF7961}" destId="{A56AE8FC-2B68-4370-AAEC-F2AEB080327B}" srcOrd="0" destOrd="0" parTransId="{F5AF8BED-1E4E-4838-9BFB-F0FB70BDF843}" sibTransId="{B9473D85-D91E-4D29-B8D3-B2EE1E106F52}"/>
    <dgm:cxn modelId="{EA85EE7D-5A88-4EE2-B55A-85F906285F48}" type="presOf" srcId="{13D1AAF1-0860-46B1-A334-A36C847A094A}" destId="{8ABF23AF-F28F-4C1E-8094-D8B372E162BB}" srcOrd="0" destOrd="0" presId="urn:microsoft.com/office/officeart/2005/8/layout/orgChart1"/>
    <dgm:cxn modelId="{17AE4FC4-8188-4E46-AB4C-1DB18520F79E}" type="presOf" srcId="{A56AE8FC-2B68-4370-AAEC-F2AEB080327B}" destId="{770B8E7D-2125-47CD-8061-2A1D2D7E04D1}" srcOrd="0" destOrd="0" presId="urn:microsoft.com/office/officeart/2005/8/layout/orgChart1"/>
    <dgm:cxn modelId="{CBF87E08-075A-4F8D-A498-F66A1D000378}" type="presOf" srcId="{95F04D1D-A294-46D7-B173-B20F283D1704}" destId="{0AD2A2B6-142E-4423-8627-8EE4826B032E}" srcOrd="0" destOrd="0" presId="urn:microsoft.com/office/officeart/2005/8/layout/orgChart1"/>
    <dgm:cxn modelId="{79D9178E-F825-46C5-A97F-43179BB2BE2A}" type="presOf" srcId="{69E7048B-C566-4938-A641-0F4F4D0B0408}" destId="{CF2A86E3-6122-49F7-BAEA-27F3F452C448}" srcOrd="0" destOrd="0" presId="urn:microsoft.com/office/officeart/2005/8/layout/orgChart1"/>
    <dgm:cxn modelId="{4787AE8A-666E-448D-9D97-5B609DD93DF7}" type="presOf" srcId="{B8FE7F91-720A-43E5-93D5-9E776DBF7961}" destId="{E40D0F9D-2EF6-4E8D-BEFE-3984B3E89C44}" srcOrd="1" destOrd="0" presId="urn:microsoft.com/office/officeart/2005/8/layout/orgChart1"/>
    <dgm:cxn modelId="{E57C61F0-2706-454D-9AE7-BAA0842562B6}" srcId="{B8FE7F91-720A-43E5-93D5-9E776DBF7961}" destId="{03274351-8C3B-483A-86FE-D87A7E0C042C}" srcOrd="2" destOrd="0" parTransId="{69E7048B-C566-4938-A641-0F4F4D0B0408}" sibTransId="{914FD0F2-6ACE-4621-ABF7-CAE1325D34A2}"/>
    <dgm:cxn modelId="{D6D5ADF9-D0D9-4F21-9823-F078CA79F2BF}" srcId="{B8FE7F91-720A-43E5-93D5-9E776DBF7961}" destId="{B46267D2-BC64-4C87-8A22-22500E5EE488}" srcOrd="1" destOrd="0" parTransId="{87A7253E-1D69-4F25-BBE2-276A268FF3F4}" sibTransId="{002A7732-7E1F-4B50-A470-53DD60C7B124}"/>
    <dgm:cxn modelId="{A139704B-72F4-4C77-87F6-7CD75703DA1F}" type="presOf" srcId="{4F890365-0A5A-4E74-A13F-E9A0203C8F9C}" destId="{0AF698FA-8B61-4465-B57B-613E0D0E4690}" srcOrd="0" destOrd="0" presId="urn:microsoft.com/office/officeart/2005/8/layout/orgChart1"/>
    <dgm:cxn modelId="{026CD9C5-5D12-4061-BE0F-AA7BF93573EF}" type="presOf" srcId="{3C98EEF7-83E5-468A-B32D-C6A338C6EE00}" destId="{AD9058A4-5497-4379-95D0-BEEC568C7B32}" srcOrd="1" destOrd="0" presId="urn:microsoft.com/office/officeart/2005/8/layout/orgChart1"/>
    <dgm:cxn modelId="{E1A21306-664C-4528-AEA6-DAFD7AEC07C5}" srcId="{B46267D2-BC64-4C87-8A22-22500E5EE488}" destId="{13D1AAF1-0860-46B1-A334-A36C847A094A}" srcOrd="0" destOrd="0" parTransId="{4F890365-0A5A-4E74-A13F-E9A0203C8F9C}" sibTransId="{D9BD89E3-6638-4ECB-B34B-DFEBD19B5E2A}"/>
    <dgm:cxn modelId="{62222C81-342C-4734-82E1-323DEDA3FF3E}" type="presOf" srcId="{A56AE8FC-2B68-4370-AAEC-F2AEB080327B}" destId="{F37A203D-BC68-45F7-88C2-6E8911E5CAFD}" srcOrd="1" destOrd="0" presId="urn:microsoft.com/office/officeart/2005/8/layout/orgChart1"/>
    <dgm:cxn modelId="{DF6C9D39-06BB-46E5-8F78-735DD4B74887}" type="presOf" srcId="{0C1ADB43-FEC2-4FBF-B41E-6210AF5303DD}" destId="{A7B99EDC-864C-4011-8C1E-C43C92F28C59}" srcOrd="0" destOrd="0" presId="urn:microsoft.com/office/officeart/2005/8/layout/orgChart1"/>
    <dgm:cxn modelId="{12CF599B-386A-4145-9E2C-B597A4D3422F}" type="presOf" srcId="{F5AF8BED-1E4E-4838-9BFB-F0FB70BDF843}" destId="{4549E2C2-D1EF-4B2C-A1C6-A5920AD5924F}" srcOrd="0" destOrd="0" presId="urn:microsoft.com/office/officeart/2005/8/layout/orgChart1"/>
    <dgm:cxn modelId="{8925C181-2589-4922-A11E-C1A031790634}" srcId="{13D1AAF1-0860-46B1-A334-A36C847A094A}" destId="{3C98EEF7-83E5-468A-B32D-C6A338C6EE00}" srcOrd="0" destOrd="0" parTransId="{95F04D1D-A294-46D7-B173-B20F283D1704}" sibTransId="{7D18792C-F13B-41BC-B282-C8F95E1FEA33}"/>
    <dgm:cxn modelId="{8A97E866-513E-46F2-A16C-E7DCCF909039}" type="presOf" srcId="{3C98EEF7-83E5-468A-B32D-C6A338C6EE00}" destId="{9BC1C0E0-6BB6-4B7B-8998-C7FB84CB810C}" srcOrd="0" destOrd="0" presId="urn:microsoft.com/office/officeart/2005/8/layout/orgChart1"/>
    <dgm:cxn modelId="{A6C37D46-0731-49E0-BFC7-B729FC90198F}" type="presOf" srcId="{B46267D2-BC64-4C87-8A22-22500E5EE488}" destId="{FC6773D2-344A-4E1C-B1F6-D7A005FD73D5}" srcOrd="0" destOrd="0" presId="urn:microsoft.com/office/officeart/2005/8/layout/orgChart1"/>
    <dgm:cxn modelId="{37102394-5F07-47FF-8F90-29EA314B1BF6}" type="presOf" srcId="{13D1AAF1-0860-46B1-A334-A36C847A094A}" destId="{91E608F4-9CDC-4DFF-BEF7-10E1E03A8904}" srcOrd="1" destOrd="0" presId="urn:microsoft.com/office/officeart/2005/8/layout/orgChart1"/>
    <dgm:cxn modelId="{16E12C31-697C-4AC1-AAD5-43FDCA5529F4}" type="presOf" srcId="{77A42907-130F-42D2-AEE6-AD4329AF3837}" destId="{3A9D0386-3535-4CB5-A5D1-091B6C8E5ED3}" srcOrd="0" destOrd="0" presId="urn:microsoft.com/office/officeart/2005/8/layout/orgChart1"/>
    <dgm:cxn modelId="{8BBD3028-6E99-4B11-B04B-3045AFDEE426}" type="presOf" srcId="{03274351-8C3B-483A-86FE-D87A7E0C042C}" destId="{64ABDAA8-3834-428D-85FA-56C526D26CD1}" srcOrd="0" destOrd="0" presId="urn:microsoft.com/office/officeart/2005/8/layout/orgChart1"/>
    <dgm:cxn modelId="{ABC88C29-3537-4420-8018-E4ED71831A84}" type="presOf" srcId="{03274351-8C3B-483A-86FE-D87A7E0C042C}" destId="{66B0F725-CAD7-4164-AE26-79AAC04527C4}" srcOrd="1" destOrd="0" presId="urn:microsoft.com/office/officeart/2005/8/layout/orgChart1"/>
    <dgm:cxn modelId="{94AC6A71-36EC-4999-B16E-63E15712B19D}" type="presOf" srcId="{B46267D2-BC64-4C87-8A22-22500E5EE488}" destId="{4FB5DD27-47D1-45BF-B91A-81C15CE97F4F}" srcOrd="1" destOrd="0" presId="urn:microsoft.com/office/officeart/2005/8/layout/orgChart1"/>
    <dgm:cxn modelId="{F6900171-69BD-4221-80BF-A0C7910022FF}" srcId="{55184681-2C73-413B-A5D6-7A98473CA50B}" destId="{B8FE7F91-720A-43E5-93D5-9E776DBF7961}" srcOrd="0" destOrd="0" parTransId="{CA2A3C56-A444-4763-B012-7AEFD2365D47}" sibTransId="{652065C0-DBEB-4204-B8FD-2B8AE7EC629B}"/>
    <dgm:cxn modelId="{49B019E8-E939-4DBD-B576-6A90FC155396}" type="presOf" srcId="{87A7253E-1D69-4F25-BBE2-276A268FF3F4}" destId="{8D5FF00B-736F-4499-916B-7EA98EC5EFC8}" srcOrd="0" destOrd="0" presId="urn:microsoft.com/office/officeart/2005/8/layout/orgChart1"/>
    <dgm:cxn modelId="{B8E8F228-495E-42DB-8165-70962C1CC669}" type="presOf" srcId="{B8FE7F91-720A-43E5-93D5-9E776DBF7961}" destId="{50E76681-9782-4F41-B066-B986445653C3}" srcOrd="0" destOrd="0" presId="urn:microsoft.com/office/officeart/2005/8/layout/orgChart1"/>
    <dgm:cxn modelId="{B3E5C4AB-6EEF-4D24-AE99-E1204AB622FE}" type="presParOf" srcId="{221516FB-BBA7-42B5-BAA3-64768433D4A5}" destId="{5B803A9C-AA61-49D5-AAA2-A660F45724F0}" srcOrd="0" destOrd="0" presId="urn:microsoft.com/office/officeart/2005/8/layout/orgChart1"/>
    <dgm:cxn modelId="{0094D206-53C7-4D92-9915-961D211CFF97}" type="presParOf" srcId="{5B803A9C-AA61-49D5-AAA2-A660F45724F0}" destId="{430F7660-0DBF-4A58-9221-7CD431255A12}" srcOrd="0" destOrd="0" presId="urn:microsoft.com/office/officeart/2005/8/layout/orgChart1"/>
    <dgm:cxn modelId="{052B0D6B-69C1-490F-829E-C4757D7C2AE2}" type="presParOf" srcId="{430F7660-0DBF-4A58-9221-7CD431255A12}" destId="{50E76681-9782-4F41-B066-B986445653C3}" srcOrd="0" destOrd="0" presId="urn:microsoft.com/office/officeart/2005/8/layout/orgChart1"/>
    <dgm:cxn modelId="{6D8BCD36-9BCE-4B53-B451-BFC0BD93B809}" type="presParOf" srcId="{430F7660-0DBF-4A58-9221-7CD431255A12}" destId="{E40D0F9D-2EF6-4E8D-BEFE-3984B3E89C44}" srcOrd="1" destOrd="0" presId="urn:microsoft.com/office/officeart/2005/8/layout/orgChart1"/>
    <dgm:cxn modelId="{14EB475D-B53C-4BFF-AD3F-133644C8874D}" type="presParOf" srcId="{5B803A9C-AA61-49D5-AAA2-A660F45724F0}" destId="{209548DB-FD8A-414F-BE15-BA1A1889C400}" srcOrd="1" destOrd="0" presId="urn:microsoft.com/office/officeart/2005/8/layout/orgChart1"/>
    <dgm:cxn modelId="{9B80FB29-28CF-45CC-91E6-73379CFD793E}" type="presParOf" srcId="{209548DB-FD8A-414F-BE15-BA1A1889C400}" destId="{4549E2C2-D1EF-4B2C-A1C6-A5920AD5924F}" srcOrd="0" destOrd="0" presId="urn:microsoft.com/office/officeart/2005/8/layout/orgChart1"/>
    <dgm:cxn modelId="{6F900184-6218-4C23-9ABA-26A0CDF92AF0}" type="presParOf" srcId="{209548DB-FD8A-414F-BE15-BA1A1889C400}" destId="{6F17C918-E24C-45D7-8A70-9284B5675C11}" srcOrd="1" destOrd="0" presId="urn:microsoft.com/office/officeart/2005/8/layout/orgChart1"/>
    <dgm:cxn modelId="{744A2EF1-2A08-4AA6-8C10-BFEA0BF4F9EF}" type="presParOf" srcId="{6F17C918-E24C-45D7-8A70-9284B5675C11}" destId="{71A95DCA-75CF-44AF-91BF-E8BC3FC2E09D}" srcOrd="0" destOrd="0" presId="urn:microsoft.com/office/officeart/2005/8/layout/orgChart1"/>
    <dgm:cxn modelId="{5B37E2D9-F520-44C9-A9D1-4201C568BED8}" type="presParOf" srcId="{71A95DCA-75CF-44AF-91BF-E8BC3FC2E09D}" destId="{770B8E7D-2125-47CD-8061-2A1D2D7E04D1}" srcOrd="0" destOrd="0" presId="urn:microsoft.com/office/officeart/2005/8/layout/orgChart1"/>
    <dgm:cxn modelId="{9913C637-6407-458E-9089-F71339176F73}" type="presParOf" srcId="{71A95DCA-75CF-44AF-91BF-E8BC3FC2E09D}" destId="{F37A203D-BC68-45F7-88C2-6E8911E5CAFD}" srcOrd="1" destOrd="0" presId="urn:microsoft.com/office/officeart/2005/8/layout/orgChart1"/>
    <dgm:cxn modelId="{398EE325-412A-4A90-9380-C8471787B434}" type="presParOf" srcId="{6F17C918-E24C-45D7-8A70-9284B5675C11}" destId="{7BF416CE-34DF-4CE4-967D-9CAE8B40B8FA}" srcOrd="1" destOrd="0" presId="urn:microsoft.com/office/officeart/2005/8/layout/orgChart1"/>
    <dgm:cxn modelId="{7BF56D42-1351-4A2A-B417-1E6EB6390027}" type="presParOf" srcId="{6F17C918-E24C-45D7-8A70-9284B5675C11}" destId="{B6F893EC-6A9B-4ED5-B80A-C723A862D65F}" srcOrd="2" destOrd="0" presId="urn:microsoft.com/office/officeart/2005/8/layout/orgChart1"/>
    <dgm:cxn modelId="{696E1FE9-808E-4878-B0AB-9C2CCA991A50}" type="presParOf" srcId="{209548DB-FD8A-414F-BE15-BA1A1889C400}" destId="{8D5FF00B-736F-4499-916B-7EA98EC5EFC8}" srcOrd="2" destOrd="0" presId="urn:microsoft.com/office/officeart/2005/8/layout/orgChart1"/>
    <dgm:cxn modelId="{974C20EA-AF03-4661-BC3A-6A7EF950A08E}" type="presParOf" srcId="{209548DB-FD8A-414F-BE15-BA1A1889C400}" destId="{2063841A-B924-4ECE-AEDD-864134E527B3}" srcOrd="3" destOrd="0" presId="urn:microsoft.com/office/officeart/2005/8/layout/orgChart1"/>
    <dgm:cxn modelId="{38D26EC2-EA1E-4C8F-A64F-E739F714C644}" type="presParOf" srcId="{2063841A-B924-4ECE-AEDD-864134E527B3}" destId="{D789DB8B-FF6C-4BAD-8935-2906BEB541AB}" srcOrd="0" destOrd="0" presId="urn:microsoft.com/office/officeart/2005/8/layout/orgChart1"/>
    <dgm:cxn modelId="{F785C834-BBB6-470E-876E-B5A645C3CDC1}" type="presParOf" srcId="{D789DB8B-FF6C-4BAD-8935-2906BEB541AB}" destId="{FC6773D2-344A-4E1C-B1F6-D7A005FD73D5}" srcOrd="0" destOrd="0" presId="urn:microsoft.com/office/officeart/2005/8/layout/orgChart1"/>
    <dgm:cxn modelId="{EC7A8918-1AB3-4A6E-AD94-63B320A6807F}" type="presParOf" srcId="{D789DB8B-FF6C-4BAD-8935-2906BEB541AB}" destId="{4FB5DD27-47D1-45BF-B91A-81C15CE97F4F}" srcOrd="1" destOrd="0" presId="urn:microsoft.com/office/officeart/2005/8/layout/orgChart1"/>
    <dgm:cxn modelId="{31E0E5BA-D30D-4552-8568-C74A1D50795B}" type="presParOf" srcId="{2063841A-B924-4ECE-AEDD-864134E527B3}" destId="{AFD0787E-A313-4D2D-8934-C588E7A9BA6F}" srcOrd="1" destOrd="0" presId="urn:microsoft.com/office/officeart/2005/8/layout/orgChart1"/>
    <dgm:cxn modelId="{6C4CE168-6B82-4176-A924-6AF202E75D33}" type="presParOf" srcId="{AFD0787E-A313-4D2D-8934-C588E7A9BA6F}" destId="{0AF698FA-8B61-4465-B57B-613E0D0E4690}" srcOrd="0" destOrd="0" presId="urn:microsoft.com/office/officeart/2005/8/layout/orgChart1"/>
    <dgm:cxn modelId="{4F366FCA-7FCC-4C61-9A37-6646FB614D6E}" type="presParOf" srcId="{AFD0787E-A313-4D2D-8934-C588E7A9BA6F}" destId="{491F009E-C308-490B-9A3B-F36C6CFD305E}" srcOrd="1" destOrd="0" presId="urn:microsoft.com/office/officeart/2005/8/layout/orgChart1"/>
    <dgm:cxn modelId="{A753707F-CFC4-4A22-AF49-6A3EEDE648BE}" type="presParOf" srcId="{491F009E-C308-490B-9A3B-F36C6CFD305E}" destId="{D1C918D0-39BD-4C09-8BA4-15D391E5E47A}" srcOrd="0" destOrd="0" presId="urn:microsoft.com/office/officeart/2005/8/layout/orgChart1"/>
    <dgm:cxn modelId="{0113436E-FAED-4300-B4E0-10F517F2A9D6}" type="presParOf" srcId="{D1C918D0-39BD-4C09-8BA4-15D391E5E47A}" destId="{8ABF23AF-F28F-4C1E-8094-D8B372E162BB}" srcOrd="0" destOrd="0" presId="urn:microsoft.com/office/officeart/2005/8/layout/orgChart1"/>
    <dgm:cxn modelId="{A61999F4-9E75-47F0-BF51-CDD1CF4E1288}" type="presParOf" srcId="{D1C918D0-39BD-4C09-8BA4-15D391E5E47A}" destId="{91E608F4-9CDC-4DFF-BEF7-10E1E03A8904}" srcOrd="1" destOrd="0" presId="urn:microsoft.com/office/officeart/2005/8/layout/orgChart1"/>
    <dgm:cxn modelId="{484B618C-4B76-44E6-81C8-C121053FEA72}" type="presParOf" srcId="{491F009E-C308-490B-9A3B-F36C6CFD305E}" destId="{6DAFE926-9894-42A2-9ECB-62915137B771}" srcOrd="1" destOrd="0" presId="urn:microsoft.com/office/officeart/2005/8/layout/orgChart1"/>
    <dgm:cxn modelId="{3772EEBA-FBE7-4B01-9B41-95A6468E5559}" type="presParOf" srcId="{6DAFE926-9894-42A2-9ECB-62915137B771}" destId="{0AD2A2B6-142E-4423-8627-8EE4826B032E}" srcOrd="0" destOrd="0" presId="urn:microsoft.com/office/officeart/2005/8/layout/orgChart1"/>
    <dgm:cxn modelId="{C8A7812C-3E5F-4ECC-9B5A-E07BFB0B438E}" type="presParOf" srcId="{6DAFE926-9894-42A2-9ECB-62915137B771}" destId="{B1503B13-9F9A-4CC8-AA6F-5BA832F6FE1F}" srcOrd="1" destOrd="0" presId="urn:microsoft.com/office/officeart/2005/8/layout/orgChart1"/>
    <dgm:cxn modelId="{813A1685-29E0-401C-8CAC-A62B54B256CE}" type="presParOf" srcId="{B1503B13-9F9A-4CC8-AA6F-5BA832F6FE1F}" destId="{2F2CA028-F49C-431E-889C-6120B76B0221}" srcOrd="0" destOrd="0" presId="urn:microsoft.com/office/officeart/2005/8/layout/orgChart1"/>
    <dgm:cxn modelId="{D7663479-EF52-48AD-BC3F-CEA0E65E8C6E}" type="presParOf" srcId="{2F2CA028-F49C-431E-889C-6120B76B0221}" destId="{9BC1C0E0-6BB6-4B7B-8998-C7FB84CB810C}" srcOrd="0" destOrd="0" presId="urn:microsoft.com/office/officeart/2005/8/layout/orgChart1"/>
    <dgm:cxn modelId="{1772BE0D-7E6F-46A8-89E4-F54B666B759D}" type="presParOf" srcId="{2F2CA028-F49C-431E-889C-6120B76B0221}" destId="{AD9058A4-5497-4379-95D0-BEEC568C7B32}" srcOrd="1" destOrd="0" presId="urn:microsoft.com/office/officeart/2005/8/layout/orgChart1"/>
    <dgm:cxn modelId="{E350ADEF-29EB-4D47-9942-F98557877CD6}" type="presParOf" srcId="{B1503B13-9F9A-4CC8-AA6F-5BA832F6FE1F}" destId="{6665C7A8-E369-4867-9720-8B412E9F6DD8}" srcOrd="1" destOrd="0" presId="urn:microsoft.com/office/officeart/2005/8/layout/orgChart1"/>
    <dgm:cxn modelId="{1EE27FA6-2666-4741-8205-41DF28C8A412}" type="presParOf" srcId="{B1503B13-9F9A-4CC8-AA6F-5BA832F6FE1F}" destId="{F67D61E2-5815-490F-90ED-5EEFFBF8F8A2}" srcOrd="2" destOrd="0" presId="urn:microsoft.com/office/officeart/2005/8/layout/orgChart1"/>
    <dgm:cxn modelId="{37D233B4-6486-4393-A0A9-8E02F77D4BE6}" type="presParOf" srcId="{491F009E-C308-490B-9A3B-F36C6CFD305E}" destId="{25077F8E-8714-41B4-A8A2-1C3DD602F2D3}" srcOrd="2" destOrd="0" presId="urn:microsoft.com/office/officeart/2005/8/layout/orgChart1"/>
    <dgm:cxn modelId="{D45BCCB9-372D-4100-9ABA-CD73A152BACB}" type="presParOf" srcId="{AFD0787E-A313-4D2D-8934-C588E7A9BA6F}" destId="{3A9D0386-3535-4CB5-A5D1-091B6C8E5ED3}" srcOrd="2" destOrd="0" presId="urn:microsoft.com/office/officeart/2005/8/layout/orgChart1"/>
    <dgm:cxn modelId="{07ABB625-7F95-40AC-8A42-6110920893FC}" type="presParOf" srcId="{AFD0787E-A313-4D2D-8934-C588E7A9BA6F}" destId="{60D97180-D65C-4FD5-9252-2C767F0322C8}" srcOrd="3" destOrd="0" presId="urn:microsoft.com/office/officeart/2005/8/layout/orgChart1"/>
    <dgm:cxn modelId="{7BAF833D-E25D-405E-880F-A416BE23F73B}" type="presParOf" srcId="{60D97180-D65C-4FD5-9252-2C767F0322C8}" destId="{09B6FF55-DF91-4C5F-8DE5-9E249016A146}" srcOrd="0" destOrd="0" presId="urn:microsoft.com/office/officeart/2005/8/layout/orgChart1"/>
    <dgm:cxn modelId="{036767F7-75B7-4D5D-AC0F-B2D4AE5C3BE2}" type="presParOf" srcId="{09B6FF55-DF91-4C5F-8DE5-9E249016A146}" destId="{A7B99EDC-864C-4011-8C1E-C43C92F28C59}" srcOrd="0" destOrd="0" presId="urn:microsoft.com/office/officeart/2005/8/layout/orgChart1"/>
    <dgm:cxn modelId="{419B5CD9-1239-453F-913D-32045F8E6F1A}" type="presParOf" srcId="{09B6FF55-DF91-4C5F-8DE5-9E249016A146}" destId="{0370F02B-B39F-4957-850A-3C0056FE7D29}" srcOrd="1" destOrd="0" presId="urn:microsoft.com/office/officeart/2005/8/layout/orgChart1"/>
    <dgm:cxn modelId="{0BF7D46F-3EF4-4C74-A8D5-262992BA9903}" type="presParOf" srcId="{60D97180-D65C-4FD5-9252-2C767F0322C8}" destId="{BFBE203D-2AC4-44E3-9A36-A35EA191F52D}" srcOrd="1" destOrd="0" presId="urn:microsoft.com/office/officeart/2005/8/layout/orgChart1"/>
    <dgm:cxn modelId="{8D0F2AE2-0B13-4BDE-A885-02D5B4C8F611}" type="presParOf" srcId="{60D97180-D65C-4FD5-9252-2C767F0322C8}" destId="{69BB9C43-4C62-4066-A08A-2913C5FD04FD}" srcOrd="2" destOrd="0" presId="urn:microsoft.com/office/officeart/2005/8/layout/orgChart1"/>
    <dgm:cxn modelId="{B51DB085-0498-446E-8C71-CBFA4CB6D723}" type="presParOf" srcId="{2063841A-B924-4ECE-AEDD-864134E527B3}" destId="{0A526823-5AFA-4230-A3F2-F88DD207DADA}" srcOrd="2" destOrd="0" presId="urn:microsoft.com/office/officeart/2005/8/layout/orgChart1"/>
    <dgm:cxn modelId="{E7867610-1B99-4C41-B3F2-D1B6512390EF}" type="presParOf" srcId="{209548DB-FD8A-414F-BE15-BA1A1889C400}" destId="{CF2A86E3-6122-49F7-BAEA-27F3F452C448}" srcOrd="4" destOrd="0" presId="urn:microsoft.com/office/officeart/2005/8/layout/orgChart1"/>
    <dgm:cxn modelId="{62C57C90-F51A-4BC0-8FA6-4AF9EB37E384}" type="presParOf" srcId="{209548DB-FD8A-414F-BE15-BA1A1889C400}" destId="{A90BDB60-BE4B-4E8A-971B-AB568F3B69B1}" srcOrd="5" destOrd="0" presId="urn:microsoft.com/office/officeart/2005/8/layout/orgChart1"/>
    <dgm:cxn modelId="{6484E727-6D80-42DA-BF6E-9FA39E4B11D5}" type="presParOf" srcId="{A90BDB60-BE4B-4E8A-971B-AB568F3B69B1}" destId="{62665DAD-0856-49B2-9F71-BBB7EBB9BD06}" srcOrd="0" destOrd="0" presId="urn:microsoft.com/office/officeart/2005/8/layout/orgChart1"/>
    <dgm:cxn modelId="{DA2485AC-BCB9-415D-BD2E-21EE7487FA51}" type="presParOf" srcId="{62665DAD-0856-49B2-9F71-BBB7EBB9BD06}" destId="{64ABDAA8-3834-428D-85FA-56C526D26CD1}" srcOrd="0" destOrd="0" presId="urn:microsoft.com/office/officeart/2005/8/layout/orgChart1"/>
    <dgm:cxn modelId="{230B7BBD-2016-43DD-8595-775FCCFD1AD8}" type="presParOf" srcId="{62665DAD-0856-49B2-9F71-BBB7EBB9BD06}" destId="{66B0F725-CAD7-4164-AE26-79AAC04527C4}" srcOrd="1" destOrd="0" presId="urn:microsoft.com/office/officeart/2005/8/layout/orgChart1"/>
    <dgm:cxn modelId="{8671EC02-5CCB-4205-A2EA-ACAD4DB0ECF9}" type="presParOf" srcId="{A90BDB60-BE4B-4E8A-971B-AB568F3B69B1}" destId="{5FEABBEE-4143-49B8-A378-286C1B00B6CD}" srcOrd="1" destOrd="0" presId="urn:microsoft.com/office/officeart/2005/8/layout/orgChart1"/>
    <dgm:cxn modelId="{6FD39652-13A4-4820-B9D3-8418B4B93842}" type="presParOf" srcId="{A90BDB60-BE4B-4E8A-971B-AB568F3B69B1}" destId="{2D7EDF6B-50BB-4D18-9F6B-389DD7A32ECA}" srcOrd="2" destOrd="0" presId="urn:microsoft.com/office/officeart/2005/8/layout/orgChart1"/>
    <dgm:cxn modelId="{D02B9296-29FE-4932-A308-6178BA34C663}" type="presParOf" srcId="{5B803A9C-AA61-49D5-AAA2-A660F45724F0}" destId="{E1BDE83E-F781-467F-863F-DF115645FA53}" srcOrd="2" destOrd="0" presId="urn:microsoft.com/office/officeart/2005/8/layout/orgChart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E82AB5-3E7D-47DE-920C-5FD53465D5F4}">
      <dsp:nvSpPr>
        <dsp:cNvPr id="0" name=""/>
        <dsp:cNvSpPr/>
      </dsp:nvSpPr>
      <dsp:spPr>
        <a:xfrm>
          <a:off x="1781946" y="1002380"/>
          <a:ext cx="1412972" cy="77958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t>Management performance criteria and objectives</a:t>
          </a:r>
          <a:endParaRPr lang="en-US" sz="900" b="1" kern="1200">
            <a:latin typeface="+mj-lt"/>
          </a:endParaRPr>
        </a:p>
      </dsp:txBody>
      <dsp:txXfrm>
        <a:off x="1988871" y="1116547"/>
        <a:ext cx="999122" cy="551246"/>
      </dsp:txXfrm>
    </dsp:sp>
    <dsp:sp modelId="{AC15F05D-A0A7-4017-A02B-E05AF4E5662F}">
      <dsp:nvSpPr>
        <dsp:cNvPr id="0" name=""/>
        <dsp:cNvSpPr/>
      </dsp:nvSpPr>
      <dsp:spPr>
        <a:xfrm rot="16200000">
          <a:off x="2410058" y="910208"/>
          <a:ext cx="156748" cy="27597"/>
        </a:xfrm>
        <a:custGeom>
          <a:avLst/>
          <a:gdLst/>
          <a:ahLst/>
          <a:cxnLst/>
          <a:rect l="0" t="0" r="0" b="0"/>
          <a:pathLst>
            <a:path>
              <a:moveTo>
                <a:pt x="0" y="13798"/>
              </a:moveTo>
              <a:lnTo>
                <a:pt x="156748" y="1379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latin typeface="+mj-lt"/>
          </a:endParaRPr>
        </a:p>
      </dsp:txBody>
      <dsp:txXfrm>
        <a:off x="2484514" y="920088"/>
        <a:ext cx="7837" cy="7837"/>
      </dsp:txXfrm>
    </dsp:sp>
    <dsp:sp modelId="{ED56FF11-FE4B-4599-8459-9730433B84EE}">
      <dsp:nvSpPr>
        <dsp:cNvPr id="0" name=""/>
        <dsp:cNvSpPr/>
      </dsp:nvSpPr>
      <dsp:spPr>
        <a:xfrm>
          <a:off x="1833516" y="-59687"/>
          <a:ext cx="1309831" cy="905320"/>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latin typeface="+mj-lt"/>
            </a:rPr>
            <a:t>Standard performance criteria and objectives</a:t>
          </a:r>
        </a:p>
      </dsp:txBody>
      <dsp:txXfrm>
        <a:off x="2025336" y="72894"/>
        <a:ext cx="926191" cy="640158"/>
      </dsp:txXfrm>
    </dsp:sp>
    <dsp:sp modelId="{0BC69E17-45EE-482A-BF8A-6D000D330B95}">
      <dsp:nvSpPr>
        <dsp:cNvPr id="0" name=""/>
        <dsp:cNvSpPr/>
      </dsp:nvSpPr>
      <dsp:spPr>
        <a:xfrm rot="88128">
          <a:off x="3194093" y="1401433"/>
          <a:ext cx="387476" cy="27597"/>
        </a:xfrm>
        <a:custGeom>
          <a:avLst/>
          <a:gdLst/>
          <a:ahLst/>
          <a:cxnLst/>
          <a:rect l="0" t="0" r="0" b="0"/>
          <a:pathLst>
            <a:path>
              <a:moveTo>
                <a:pt x="0" y="13798"/>
              </a:moveTo>
              <a:lnTo>
                <a:pt x="387476" y="1379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latin typeface="+mj-lt"/>
          </a:endParaRPr>
        </a:p>
      </dsp:txBody>
      <dsp:txXfrm>
        <a:off x="3378145" y="1405545"/>
        <a:ext cx="19373" cy="19373"/>
      </dsp:txXfrm>
    </dsp:sp>
    <dsp:sp modelId="{B1DEBF0F-5F7E-4255-B49B-70ECFFE818D2}">
      <dsp:nvSpPr>
        <dsp:cNvPr id="0" name=""/>
        <dsp:cNvSpPr/>
      </dsp:nvSpPr>
      <dsp:spPr>
        <a:xfrm>
          <a:off x="3581089" y="958693"/>
          <a:ext cx="1325294" cy="956970"/>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GB" sz="800" kern="1200"/>
            <a:t>Performance criteria and objectives for determining the variable component of the remuneration</a:t>
          </a:r>
          <a:endParaRPr lang="en-US" sz="800" kern="1200">
            <a:solidFill>
              <a:sysClr val="windowText" lastClr="000000"/>
            </a:solidFill>
            <a:latin typeface="+mj-lt"/>
          </a:endParaRPr>
        </a:p>
      </dsp:txBody>
      <dsp:txXfrm>
        <a:off x="3775174" y="1098838"/>
        <a:ext cx="937124" cy="676680"/>
      </dsp:txXfrm>
    </dsp:sp>
    <dsp:sp modelId="{620575FF-1E69-463A-A97A-D36F0214AF41}">
      <dsp:nvSpPr>
        <dsp:cNvPr id="0" name=""/>
        <dsp:cNvSpPr/>
      </dsp:nvSpPr>
      <dsp:spPr>
        <a:xfrm rot="5400000">
          <a:off x="2403775" y="1852819"/>
          <a:ext cx="169315" cy="27597"/>
        </a:xfrm>
        <a:custGeom>
          <a:avLst/>
          <a:gdLst/>
          <a:ahLst/>
          <a:cxnLst/>
          <a:rect l="0" t="0" r="0" b="0"/>
          <a:pathLst>
            <a:path>
              <a:moveTo>
                <a:pt x="0" y="13798"/>
              </a:moveTo>
              <a:lnTo>
                <a:pt x="169315" y="1379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latin typeface="+mj-lt"/>
          </a:endParaRPr>
        </a:p>
      </dsp:txBody>
      <dsp:txXfrm>
        <a:off x="2484199" y="1862385"/>
        <a:ext cx="8465" cy="8465"/>
      </dsp:txXfrm>
    </dsp:sp>
    <dsp:sp modelId="{9656F914-AB97-40B4-9726-0CB3A9919090}">
      <dsp:nvSpPr>
        <dsp:cNvPr id="0" name=""/>
        <dsp:cNvSpPr/>
      </dsp:nvSpPr>
      <dsp:spPr>
        <a:xfrm>
          <a:off x="1821230" y="1951276"/>
          <a:ext cx="1334405" cy="880185"/>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t>Measurement indicators for the performance of the natural gas transmission service</a:t>
          </a:r>
          <a:r>
            <a:rPr lang="en-US" sz="900" kern="1200">
              <a:latin typeface="+mj-lt"/>
            </a:rPr>
            <a:t>;</a:t>
          </a:r>
        </a:p>
      </dsp:txBody>
      <dsp:txXfrm>
        <a:off x="2016649" y="2080176"/>
        <a:ext cx="943567" cy="622385"/>
      </dsp:txXfrm>
    </dsp:sp>
    <dsp:sp modelId="{6115BBFB-A724-434A-879B-C10E27C465FA}">
      <dsp:nvSpPr>
        <dsp:cNvPr id="0" name=""/>
        <dsp:cNvSpPr/>
      </dsp:nvSpPr>
      <dsp:spPr>
        <a:xfrm rot="10849925">
          <a:off x="1258590" y="1364312"/>
          <a:ext cx="523628" cy="27597"/>
        </a:xfrm>
        <a:custGeom>
          <a:avLst/>
          <a:gdLst/>
          <a:ahLst/>
          <a:cxnLst/>
          <a:rect l="0" t="0" r="0" b="0"/>
          <a:pathLst>
            <a:path>
              <a:moveTo>
                <a:pt x="0" y="13798"/>
              </a:moveTo>
              <a:lnTo>
                <a:pt x="523628" y="1379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en-US" sz="900" kern="1200">
            <a:latin typeface="+mj-lt"/>
          </a:endParaRPr>
        </a:p>
      </dsp:txBody>
      <dsp:txXfrm rot="10800000">
        <a:off x="1507313" y="1365021"/>
        <a:ext cx="26181" cy="26181"/>
      </dsp:txXfrm>
    </dsp:sp>
    <dsp:sp modelId="{0C62D884-EC83-4B27-B50B-F5903FF8E95D}">
      <dsp:nvSpPr>
        <dsp:cNvPr id="0" name=""/>
        <dsp:cNvSpPr/>
      </dsp:nvSpPr>
      <dsp:spPr>
        <a:xfrm>
          <a:off x="0" y="873445"/>
          <a:ext cx="1258726" cy="983449"/>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t>Other performance indicators.</a:t>
          </a:r>
          <a:endParaRPr lang="en-US" sz="900" kern="1200">
            <a:latin typeface="+mj-lt"/>
          </a:endParaRPr>
        </a:p>
      </dsp:txBody>
      <dsp:txXfrm>
        <a:off x="184336" y="1017468"/>
        <a:ext cx="890054" cy="6954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A86E3-6122-49F7-BAEA-27F3F452C448}">
      <dsp:nvSpPr>
        <dsp:cNvPr id="0" name=""/>
        <dsp:cNvSpPr/>
      </dsp:nvSpPr>
      <dsp:spPr>
        <a:xfrm>
          <a:off x="2743200" y="648799"/>
          <a:ext cx="1549014" cy="272143"/>
        </a:xfrm>
        <a:custGeom>
          <a:avLst/>
          <a:gdLst/>
          <a:ahLst/>
          <a:cxnLst/>
          <a:rect l="0" t="0" r="0" b="0"/>
          <a:pathLst>
            <a:path>
              <a:moveTo>
                <a:pt x="0" y="0"/>
              </a:moveTo>
              <a:lnTo>
                <a:pt x="0" y="136071"/>
              </a:lnTo>
              <a:lnTo>
                <a:pt x="1549014" y="136071"/>
              </a:lnTo>
              <a:lnTo>
                <a:pt x="1549014" y="272143"/>
              </a:lnTo>
            </a:path>
          </a:pathLst>
        </a:custGeom>
        <a:noFill/>
        <a:ln w="25400" cap="flat" cmpd="sng" algn="ctr">
          <a:solidFill>
            <a:srgbClr val="3366CC"/>
          </a:solidFill>
          <a:prstDash val="solid"/>
        </a:ln>
        <a:effectLst>
          <a:outerShdw blurRad="40000" dist="20000" dir="5400000" rotWithShape="0">
            <a:srgbClr val="000000">
              <a:alpha val="38000"/>
            </a:srgbClr>
          </a:outerShdw>
        </a:effectLst>
      </dsp:spPr>
      <dsp:style>
        <a:lnRef idx="2">
          <a:schemeClr val="accent1"/>
        </a:lnRef>
        <a:fillRef idx="0">
          <a:schemeClr val="accent1"/>
        </a:fillRef>
        <a:effectRef idx="1">
          <a:schemeClr val="accent1"/>
        </a:effectRef>
        <a:fontRef idx="minor">
          <a:schemeClr val="tx1"/>
        </a:fontRef>
      </dsp:style>
    </dsp:sp>
    <dsp:sp modelId="{3A9D0386-3535-4CB5-A5D1-091B6C8E5ED3}">
      <dsp:nvSpPr>
        <dsp:cNvPr id="0" name=""/>
        <dsp:cNvSpPr/>
      </dsp:nvSpPr>
      <dsp:spPr>
        <a:xfrm>
          <a:off x="2743200" y="1568903"/>
          <a:ext cx="784032" cy="272143"/>
        </a:xfrm>
        <a:custGeom>
          <a:avLst/>
          <a:gdLst/>
          <a:ahLst/>
          <a:cxnLst/>
          <a:rect l="0" t="0" r="0" b="0"/>
          <a:pathLst>
            <a:path>
              <a:moveTo>
                <a:pt x="0" y="0"/>
              </a:moveTo>
              <a:lnTo>
                <a:pt x="0" y="136071"/>
              </a:lnTo>
              <a:lnTo>
                <a:pt x="784032" y="136071"/>
              </a:lnTo>
              <a:lnTo>
                <a:pt x="784032" y="272143"/>
              </a:lnTo>
            </a:path>
          </a:pathLst>
        </a:custGeom>
        <a:noFill/>
        <a:ln w="25400" cap="flat" cmpd="sng" algn="ctr">
          <a:solidFill>
            <a:srgbClr val="3366CC">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AD2A2B6-142E-4423-8627-8EE4826B032E}">
      <dsp:nvSpPr>
        <dsp:cNvPr id="0" name=""/>
        <dsp:cNvSpPr/>
      </dsp:nvSpPr>
      <dsp:spPr>
        <a:xfrm>
          <a:off x="1440799" y="2489007"/>
          <a:ext cx="194388" cy="596123"/>
        </a:xfrm>
        <a:custGeom>
          <a:avLst/>
          <a:gdLst/>
          <a:ahLst/>
          <a:cxnLst/>
          <a:rect l="0" t="0" r="0" b="0"/>
          <a:pathLst>
            <a:path>
              <a:moveTo>
                <a:pt x="0" y="0"/>
              </a:moveTo>
              <a:lnTo>
                <a:pt x="0" y="596123"/>
              </a:lnTo>
              <a:lnTo>
                <a:pt x="194388" y="596123"/>
              </a:lnTo>
            </a:path>
          </a:pathLst>
        </a:custGeom>
        <a:noFill/>
        <a:ln w="25400" cap="flat" cmpd="sng" algn="ctr">
          <a:solidFill>
            <a:srgbClr val="3366CC">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AF698FA-8B61-4465-B57B-613E0D0E4690}">
      <dsp:nvSpPr>
        <dsp:cNvPr id="0" name=""/>
        <dsp:cNvSpPr/>
      </dsp:nvSpPr>
      <dsp:spPr>
        <a:xfrm>
          <a:off x="1959167" y="1568903"/>
          <a:ext cx="784032" cy="272143"/>
        </a:xfrm>
        <a:custGeom>
          <a:avLst/>
          <a:gdLst/>
          <a:ahLst/>
          <a:cxnLst/>
          <a:rect l="0" t="0" r="0" b="0"/>
          <a:pathLst>
            <a:path>
              <a:moveTo>
                <a:pt x="784032" y="0"/>
              </a:moveTo>
              <a:lnTo>
                <a:pt x="784032" y="136071"/>
              </a:lnTo>
              <a:lnTo>
                <a:pt x="0" y="136071"/>
              </a:lnTo>
              <a:lnTo>
                <a:pt x="0" y="272143"/>
              </a:lnTo>
            </a:path>
          </a:pathLst>
        </a:custGeom>
        <a:noFill/>
        <a:ln w="25400" cap="flat" cmpd="sng" algn="ctr">
          <a:solidFill>
            <a:srgbClr val="3366CC">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D5FF00B-736F-4499-916B-7EA98EC5EFC8}">
      <dsp:nvSpPr>
        <dsp:cNvPr id="0" name=""/>
        <dsp:cNvSpPr/>
      </dsp:nvSpPr>
      <dsp:spPr>
        <a:xfrm>
          <a:off x="2697480" y="648799"/>
          <a:ext cx="91440" cy="272143"/>
        </a:xfrm>
        <a:custGeom>
          <a:avLst/>
          <a:gdLst/>
          <a:ahLst/>
          <a:cxnLst/>
          <a:rect l="0" t="0" r="0" b="0"/>
          <a:pathLst>
            <a:path>
              <a:moveTo>
                <a:pt x="45720" y="0"/>
              </a:moveTo>
              <a:lnTo>
                <a:pt x="45720" y="272143"/>
              </a:lnTo>
            </a:path>
          </a:pathLst>
        </a:custGeom>
        <a:noFill/>
        <a:ln w="25400" cap="flat" cmpd="sng" algn="ctr">
          <a:solidFill>
            <a:srgbClr val="3366CC">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549E2C2-D1EF-4B2C-A1C6-A5920AD5924F}">
      <dsp:nvSpPr>
        <dsp:cNvPr id="0" name=""/>
        <dsp:cNvSpPr/>
      </dsp:nvSpPr>
      <dsp:spPr>
        <a:xfrm>
          <a:off x="1175135" y="648799"/>
          <a:ext cx="1568064" cy="272143"/>
        </a:xfrm>
        <a:custGeom>
          <a:avLst/>
          <a:gdLst/>
          <a:ahLst/>
          <a:cxnLst/>
          <a:rect l="0" t="0" r="0" b="0"/>
          <a:pathLst>
            <a:path>
              <a:moveTo>
                <a:pt x="1568064" y="0"/>
              </a:moveTo>
              <a:lnTo>
                <a:pt x="1568064" y="136071"/>
              </a:lnTo>
              <a:lnTo>
                <a:pt x="0" y="136071"/>
              </a:lnTo>
              <a:lnTo>
                <a:pt x="0" y="272143"/>
              </a:lnTo>
            </a:path>
          </a:pathLst>
        </a:custGeom>
        <a:noFill/>
        <a:ln w="25400" cap="flat" cmpd="sng" algn="ctr">
          <a:solidFill>
            <a:srgbClr val="3366CC">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0E76681-9782-4F41-B066-B986445653C3}">
      <dsp:nvSpPr>
        <dsp:cNvPr id="0" name=""/>
        <dsp:cNvSpPr/>
      </dsp:nvSpPr>
      <dsp:spPr>
        <a:xfrm>
          <a:off x="2095239" y="839"/>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o-RO" sz="1500" kern="1200">
              <a:solidFill>
                <a:sysClr val="windowText" lastClr="000000"/>
              </a:solidFill>
              <a:latin typeface="Calibri"/>
              <a:ea typeface="+mn-ea"/>
              <a:cs typeface="+mn-cs"/>
            </a:rPr>
            <a:t>DIRECTOR GENERAL</a:t>
          </a:r>
        </a:p>
      </dsp:txBody>
      <dsp:txXfrm>
        <a:off x="2095239" y="839"/>
        <a:ext cx="1295920" cy="647960"/>
      </dsp:txXfrm>
    </dsp:sp>
    <dsp:sp modelId="{770B8E7D-2125-47CD-8061-2A1D2D7E04D1}">
      <dsp:nvSpPr>
        <dsp:cNvPr id="0" name=""/>
        <dsp:cNvSpPr/>
      </dsp:nvSpPr>
      <dsp:spPr>
        <a:xfrm>
          <a:off x="527175" y="920942"/>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GB" sz="1500" kern="1200">
              <a:solidFill>
                <a:sysClr val="windowText" lastClr="000000"/>
              </a:solidFill>
              <a:latin typeface="Calibri"/>
              <a:ea typeface="+mn-ea"/>
              <a:cs typeface="+mn-cs"/>
            </a:rPr>
            <a:t>I</a:t>
          </a:r>
          <a:r>
            <a:rPr lang="ro-RO" sz="1500" kern="1200">
              <a:solidFill>
                <a:sysClr val="windowText" lastClr="000000"/>
              </a:solidFill>
              <a:latin typeface="Calibri"/>
              <a:ea typeface="+mn-ea"/>
              <a:cs typeface="+mn-cs"/>
            </a:rPr>
            <a:t>NTERN</a:t>
          </a:r>
          <a:r>
            <a:rPr lang="en-GB" sz="1500" kern="1200">
              <a:solidFill>
                <a:sysClr val="windowText" lastClr="000000"/>
              </a:solidFill>
              <a:latin typeface="Calibri"/>
              <a:ea typeface="+mn-ea"/>
              <a:cs typeface="+mn-cs"/>
            </a:rPr>
            <a:t>AL AUDIT</a:t>
          </a:r>
          <a:endParaRPr lang="ro-RO" sz="1500" kern="1200">
            <a:solidFill>
              <a:sysClr val="windowText" lastClr="000000"/>
            </a:solidFill>
            <a:latin typeface="Calibri"/>
            <a:ea typeface="+mn-ea"/>
            <a:cs typeface="+mn-cs"/>
          </a:endParaRPr>
        </a:p>
      </dsp:txBody>
      <dsp:txXfrm>
        <a:off x="527175" y="920942"/>
        <a:ext cx="1295920" cy="647960"/>
      </dsp:txXfrm>
    </dsp:sp>
    <dsp:sp modelId="{FC6773D2-344A-4E1C-B1F6-D7A005FD73D5}">
      <dsp:nvSpPr>
        <dsp:cNvPr id="0" name=""/>
        <dsp:cNvSpPr/>
      </dsp:nvSpPr>
      <dsp:spPr>
        <a:xfrm>
          <a:off x="2095239" y="920942"/>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o-RO" sz="1500" kern="1200">
              <a:solidFill>
                <a:sysClr val="windowText" lastClr="000000"/>
              </a:solidFill>
              <a:latin typeface="Calibri"/>
              <a:ea typeface="+mn-ea"/>
              <a:cs typeface="+mn-cs"/>
            </a:rPr>
            <a:t>SCIM</a:t>
          </a:r>
          <a:r>
            <a:rPr lang="en-GB" sz="1500" kern="1200">
              <a:solidFill>
                <a:sysClr val="windowText" lastClr="000000"/>
              </a:solidFill>
              <a:latin typeface="Calibri"/>
              <a:ea typeface="+mn-ea"/>
              <a:cs typeface="+mn-cs"/>
            </a:rPr>
            <a:t> COMMITTEE</a:t>
          </a:r>
          <a:endParaRPr lang="ro-RO" sz="1500" kern="1200">
            <a:solidFill>
              <a:sysClr val="windowText" lastClr="000000"/>
            </a:solidFill>
            <a:latin typeface="Calibri"/>
            <a:ea typeface="+mn-ea"/>
            <a:cs typeface="+mn-cs"/>
          </a:endParaRPr>
        </a:p>
      </dsp:txBody>
      <dsp:txXfrm>
        <a:off x="2095239" y="920942"/>
        <a:ext cx="1295920" cy="647960"/>
      </dsp:txXfrm>
    </dsp:sp>
    <dsp:sp modelId="{8ABF23AF-F28F-4C1E-8094-D8B372E162BB}">
      <dsp:nvSpPr>
        <dsp:cNvPr id="0" name=""/>
        <dsp:cNvSpPr/>
      </dsp:nvSpPr>
      <dsp:spPr>
        <a:xfrm>
          <a:off x="1311207" y="1841046"/>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GB" sz="1500" kern="1200">
              <a:solidFill>
                <a:sysClr val="windowText" lastClr="000000"/>
              </a:solidFill>
              <a:latin typeface="Calibri"/>
              <a:ea typeface="+mn-ea"/>
              <a:cs typeface="+mn-cs"/>
            </a:rPr>
            <a:t>RISK MANAGEMENT TEAM</a:t>
          </a:r>
          <a:r>
            <a:rPr lang="ro-RO" sz="1500" kern="1200">
              <a:solidFill>
                <a:sysClr val="windowText" lastClr="000000"/>
              </a:solidFill>
              <a:latin typeface="Calibri"/>
              <a:ea typeface="+mn-ea"/>
              <a:cs typeface="+mn-cs"/>
            </a:rPr>
            <a:t> (EGR)</a:t>
          </a:r>
        </a:p>
      </dsp:txBody>
      <dsp:txXfrm>
        <a:off x="1311207" y="1841046"/>
        <a:ext cx="1295920" cy="647960"/>
      </dsp:txXfrm>
    </dsp:sp>
    <dsp:sp modelId="{9BC1C0E0-6BB6-4B7B-8998-C7FB84CB810C}">
      <dsp:nvSpPr>
        <dsp:cNvPr id="0" name=""/>
        <dsp:cNvSpPr/>
      </dsp:nvSpPr>
      <dsp:spPr>
        <a:xfrm>
          <a:off x="1635187" y="2761150"/>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GB" sz="1500" kern="1200">
              <a:solidFill>
                <a:sysClr val="windowText" lastClr="000000"/>
              </a:solidFill>
              <a:latin typeface="Calibri"/>
              <a:ea typeface="+mn-ea"/>
              <a:cs typeface="+mn-cs"/>
            </a:rPr>
            <a:t>WG</a:t>
          </a:r>
          <a:r>
            <a:rPr lang="ro-RO" sz="1500" kern="1200">
              <a:solidFill>
                <a:sysClr val="windowText" lastClr="000000"/>
              </a:solidFill>
              <a:latin typeface="Calibri"/>
              <a:ea typeface="+mn-ea"/>
              <a:cs typeface="+mn-cs"/>
            </a:rPr>
            <a:t> - EGR</a:t>
          </a:r>
        </a:p>
      </dsp:txBody>
      <dsp:txXfrm>
        <a:off x="1635187" y="2761150"/>
        <a:ext cx="1295920" cy="647960"/>
      </dsp:txXfrm>
    </dsp:sp>
    <dsp:sp modelId="{A7B99EDC-864C-4011-8C1E-C43C92F28C59}">
      <dsp:nvSpPr>
        <dsp:cNvPr id="0" name=""/>
        <dsp:cNvSpPr/>
      </dsp:nvSpPr>
      <dsp:spPr>
        <a:xfrm>
          <a:off x="2879271" y="1841046"/>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n-GB" sz="1500" kern="1200">
              <a:solidFill>
                <a:sysClr val="windowText" lastClr="000000"/>
              </a:solidFill>
              <a:latin typeface="Calibri"/>
              <a:ea typeface="+mn-ea"/>
              <a:cs typeface="+mn-cs"/>
            </a:rPr>
            <a:t>WG</a:t>
          </a:r>
          <a:r>
            <a:rPr lang="ro-RO" sz="1500" kern="1200">
              <a:solidFill>
                <a:sysClr val="windowText" lastClr="000000"/>
              </a:solidFill>
              <a:latin typeface="Calibri"/>
              <a:ea typeface="+mn-ea"/>
              <a:cs typeface="+mn-cs"/>
            </a:rPr>
            <a:t> - SCIM</a:t>
          </a:r>
        </a:p>
      </dsp:txBody>
      <dsp:txXfrm>
        <a:off x="2879271" y="1841046"/>
        <a:ext cx="1295920" cy="647960"/>
      </dsp:txXfrm>
    </dsp:sp>
    <dsp:sp modelId="{64ABDAA8-3834-428D-85FA-56C526D26CD1}">
      <dsp:nvSpPr>
        <dsp:cNvPr id="0" name=""/>
        <dsp:cNvSpPr/>
      </dsp:nvSpPr>
      <dsp:spPr>
        <a:xfrm>
          <a:off x="3644253" y="920942"/>
          <a:ext cx="1295920" cy="647960"/>
        </a:xfrm>
        <a:prstGeom prst="rect">
          <a:avLst/>
        </a:prstGeom>
        <a:gradFill rotWithShape="1">
          <a:gsLst>
            <a:gs pos="0">
              <a:srgbClr val="3366CC">
                <a:tint val="50000"/>
                <a:satMod val="300000"/>
              </a:srgbClr>
            </a:gs>
            <a:gs pos="35000">
              <a:srgbClr val="3366CC">
                <a:tint val="37000"/>
                <a:satMod val="300000"/>
              </a:srgbClr>
            </a:gs>
            <a:gs pos="100000">
              <a:srgbClr val="3366CC">
                <a:tint val="15000"/>
                <a:satMod val="350000"/>
              </a:srgbClr>
            </a:gs>
          </a:gsLst>
          <a:lin ang="16200000" scaled="1"/>
        </a:gradFill>
        <a:ln w="9525" cap="flat" cmpd="sng" algn="ctr">
          <a:solidFill>
            <a:srgbClr val="3366CC">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o-RO" sz="1500" kern="1200">
              <a:solidFill>
                <a:sysClr val="windowText" lastClr="000000"/>
              </a:solidFill>
              <a:latin typeface="Calibri"/>
              <a:ea typeface="+mn-ea"/>
              <a:cs typeface="+mn-cs"/>
            </a:rPr>
            <a:t>SMICM-SSO</a:t>
          </a:r>
        </a:p>
      </dsp:txBody>
      <dsp:txXfrm>
        <a:off x="3644253" y="920942"/>
        <a:ext cx="1295920" cy="647960"/>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0.44174</cdr:x>
      <cdr:y>0.10912</cdr:y>
    </cdr:from>
    <cdr:to>
      <cdr:x>0.58162</cdr:x>
      <cdr:y>0.3894</cdr:y>
    </cdr:to>
    <cdr:sp macro="" textlink="">
      <cdr:nvSpPr>
        <cdr:cNvPr id="2" name="Down Arrow Callout 1"/>
        <cdr:cNvSpPr/>
      </cdr:nvSpPr>
      <cdr:spPr>
        <a:xfrm xmlns:a="http://schemas.openxmlformats.org/drawingml/2006/main">
          <a:off x="2099593" y="173570"/>
          <a:ext cx="664814" cy="445836"/>
        </a:xfrm>
        <a:prstGeom xmlns:a="http://schemas.openxmlformats.org/drawingml/2006/main" prst="downArrowCallout">
          <a:avLst/>
        </a:prstGeom>
        <a:ln xmlns:a="http://schemas.openxmlformats.org/drawingml/2006/mai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pPr algn="ctr"/>
          <a:r>
            <a:rPr lang="ro-RO"/>
            <a:t>-9%</a:t>
          </a:r>
        </a:p>
      </cdr:txBody>
    </cdr:sp>
  </cdr:relSizeAnchor>
</c:userShapes>
</file>

<file path=word/drawings/drawing2.xml><?xml version="1.0" encoding="utf-8"?>
<c:userShapes xmlns:c="http://schemas.openxmlformats.org/drawingml/2006/chart">
  <cdr:relSizeAnchor xmlns:cdr="http://schemas.openxmlformats.org/drawingml/2006/chartDrawing">
    <cdr:from>
      <cdr:x>0.46464</cdr:x>
      <cdr:y>0.168</cdr:y>
    </cdr:from>
    <cdr:to>
      <cdr:x>0.57684</cdr:x>
      <cdr:y>0.36533</cdr:y>
    </cdr:to>
    <cdr:sp macro="" textlink="">
      <cdr:nvSpPr>
        <cdr:cNvPr id="2" name="Flowchart: Process 1"/>
        <cdr:cNvSpPr/>
      </cdr:nvSpPr>
      <cdr:spPr>
        <a:xfrm xmlns:a="http://schemas.openxmlformats.org/drawingml/2006/main">
          <a:off x="2511428" y="200025"/>
          <a:ext cx="606447" cy="234942"/>
        </a:xfrm>
        <a:prstGeom xmlns:a="http://schemas.openxmlformats.org/drawingml/2006/main" prst="flowChartProcess">
          <a:avLst/>
        </a:prstGeom>
        <a:ln xmlns:a="http://schemas.openxmlformats.org/drawingml/2006/main" w="38100">
          <a:solidFill>
            <a:schemeClr val="bg1">
              <a:lumMod val="85000"/>
            </a:schemeClr>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ro-RO"/>
            <a:t>16,60%</a:t>
          </a:r>
        </a:p>
      </cdr:txBody>
    </cdr:sp>
  </cdr:relSizeAnchor>
</c:userShapes>
</file>

<file path=word/theme/theme1.xml><?xml version="1.0" encoding="utf-8"?>
<a:theme xmlns:a="http://schemas.openxmlformats.org/drawingml/2006/main" name="Office Theme">
  <a:themeElements>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Custom 61">
    <a:dk1>
      <a:sysClr val="windowText" lastClr="000000"/>
    </a:dk1>
    <a:lt1>
      <a:sysClr val="window" lastClr="FFFFFF"/>
    </a:lt1>
    <a:dk2>
      <a:srgbClr val="04617B"/>
    </a:dk2>
    <a:lt2>
      <a:srgbClr val="DBF5F9"/>
    </a:lt2>
    <a:accent1>
      <a:srgbClr val="3366CC"/>
    </a:accent1>
    <a:accent2>
      <a:srgbClr val="3366CC"/>
    </a:accent2>
    <a:accent3>
      <a:srgbClr val="BFBFBF"/>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Custom 61">
    <a:dk1>
      <a:sysClr val="windowText" lastClr="000000"/>
    </a:dk1>
    <a:lt1>
      <a:sysClr val="window" lastClr="FFFFFF"/>
    </a:lt1>
    <a:dk2>
      <a:srgbClr val="04617B"/>
    </a:dk2>
    <a:lt2>
      <a:srgbClr val="DBF5F9"/>
    </a:lt2>
    <a:accent1>
      <a:srgbClr val="3366CC"/>
    </a:accent1>
    <a:accent2>
      <a:srgbClr val="3366CC"/>
    </a:accent2>
    <a:accent3>
      <a:srgbClr val="BFBFBF"/>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Custom 85">
    <a:dk1>
      <a:sysClr val="windowText" lastClr="000000"/>
    </a:dk1>
    <a:lt1>
      <a:sysClr val="window" lastClr="FFFFFF"/>
    </a:lt1>
    <a:dk2>
      <a:srgbClr val="1F497D"/>
    </a:dk2>
    <a:lt2>
      <a:srgbClr val="EEECE1"/>
    </a:lt2>
    <a:accent1>
      <a:srgbClr val="4F81BD"/>
    </a:accent1>
    <a:accent2>
      <a:srgbClr val="366092"/>
    </a:accent2>
    <a:accent3>
      <a:srgbClr val="B7DDE8"/>
    </a:accent3>
    <a:accent4>
      <a:srgbClr val="8064A2"/>
    </a:accent4>
    <a:accent5>
      <a:srgbClr val="4BACC6"/>
    </a:accent5>
    <a:accent6>
      <a:srgbClr val="8DB3E2"/>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PublishDate>
  <Abstract>RAPORTUL ADMINISTRATORILOR PE SEMESTRUL I 2014</Abstract>
  <CompanyAddress>www.transgaz.ro</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F517084-8007-441C-9360-B2C95451B957}">
  <ds:schemaRefs>
    <ds:schemaRef ds:uri="http://schemas.microsoft.com/sharepoint/v3/contenttype/forms"/>
  </ds:schemaRefs>
</ds:datastoreItem>
</file>

<file path=customXml/itemProps3.xml><?xml version="1.0" encoding="utf-8"?>
<ds:datastoreItem xmlns:ds="http://schemas.openxmlformats.org/officeDocument/2006/customXml" ds:itemID="{188D6E57-FD1E-4FDE-909F-B0733FC74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anual al administratorilor 2013</Template>
  <TotalTime>28</TotalTime>
  <Pages>1</Pages>
  <Words>57740</Words>
  <Characters>334893</Characters>
  <Application>Microsoft Office Word</Application>
  <DocSecurity>0</DocSecurity>
  <Lines>2790</Lines>
  <Paragraphs>783</Paragraphs>
  <ScaleCrop>false</ScaleCrop>
  <HeadingPairs>
    <vt:vector size="2" baseType="variant">
      <vt:variant>
        <vt:lpstr>Title</vt:lpstr>
      </vt:variant>
      <vt:variant>
        <vt:i4>1</vt:i4>
      </vt:variant>
    </vt:vector>
  </HeadingPairs>
  <TitlesOfParts>
    <vt:vector size="1" baseType="lpstr">
      <vt:lpstr>REPORT ISSUED BY THE BOARD OF  ADMINISTRATION</vt:lpstr>
    </vt:vector>
  </TitlesOfParts>
  <Company>THE NATIONAL GAS TRANSMISSION COMPANY TRANSGAZ SA</Company>
  <LinksUpToDate>false</LinksUpToDate>
  <CharactersWithSpaces>391850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ISSUED BY THE BOARD OF  ADMINISTRATION</dc:title>
  <dc:subject/>
  <dc:creator>Elisabeta Ghidiu</dc:creator>
  <cp:keywords/>
  <dc:description/>
  <cp:lastModifiedBy>Claudia Szasz</cp:lastModifiedBy>
  <cp:revision>10</cp:revision>
  <cp:lastPrinted>2017-03-23T06:56:00Z</cp:lastPrinted>
  <dcterms:created xsi:type="dcterms:W3CDTF">2017-03-21T07:38:00Z</dcterms:created>
  <dcterms:modified xsi:type="dcterms:W3CDTF">2017-03-23T06:58:00Z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TC037041169991</vt:lpwstr>
  </property>
</Properties>
</file>